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 xml:space="preserve">FORM </w:t>
      </w:r>
      <w:r>
        <w:rPr>
          <w:rFonts w:ascii="Arial" w:cs="Arial" w:eastAsia="Arial" w:hAnsi="Arial"/>
          <w:sz w:val="25"/>
          <w:szCs w:val="25"/>
          <w:b w:val="1"/>
          <w:bCs w:val="1"/>
          <w:color w:val="000000"/>
        </w:rPr>
        <w:t>10-K</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540" w:firstLine="501"/>
        <w:spacing w:after="0" w:line="251" w:lineRule="auto"/>
        <w:tabs>
          <w:tab w:leader="none" w:pos="723"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ANNUAL REPORT PURSUANT TO SECTION 13 OR 15(d) OF THE SECURITIES EXCHANGE ACT OF 1934 </w:t>
      </w:r>
      <w:r>
        <w:rPr>
          <w:rFonts w:ascii="Arial" w:cs="Arial" w:eastAsia="Arial" w:hAnsi="Arial"/>
          <w:sz w:val="16"/>
          <w:szCs w:val="16"/>
          <w:color w:val="1E1E1E"/>
        </w:rPr>
        <w:t>For the fiscal year ended December 31, 2023</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 xml:space="preserve">Commission File Number: </w:t>
      </w:r>
      <w:r>
        <w:rPr>
          <w:rFonts w:ascii="Arial" w:cs="Arial" w:eastAsia="Arial" w:hAnsi="Arial"/>
          <w:sz w:val="16"/>
          <w:szCs w:val="16"/>
          <w:b w:val="1"/>
          <w:bCs w:val="1"/>
          <w:color w:val="000000"/>
        </w:rPr>
        <w:t>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r>
        <w:rPr>
          <w:rFonts w:ascii="Arial" w:cs="Arial" w:eastAsia="Arial" w:hAnsi="Arial"/>
          <w:sz w:val="16"/>
          <w:szCs w:val="16"/>
          <w:b w:val="1"/>
          <w:bCs w:val="1"/>
          <w:color w:val="FFFFFF"/>
        </w:rPr>
        <w:t>___________________________________________________</w:t>
      </w:r>
      <w:r>
        <w:rPr>
          <w:rFonts w:ascii="Arial" w:cs="Arial" w:eastAsia="Arial" w:hAnsi="Arial"/>
          <w:sz w:val="16"/>
          <w:szCs w:val="16"/>
          <w:b w:val="1"/>
          <w:bCs w:val="1"/>
          <w:color w:val="auto"/>
        </w:rPr>
        <w:t xml:space="preserve"> 46-4099738</w:t>
      </w:r>
    </w:p>
    <w:p>
      <w:pPr>
        <w:spacing w:after="0" w:line="2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(State or other jurisdiction of incorporation or organization)</w:t>
      </w:r>
      <w:r>
        <w:rPr>
          <w:rFonts w:ascii="Arial" w:cs="Arial" w:eastAsia="Arial" w:hAnsi="Arial"/>
          <w:sz w:val="16"/>
          <w:szCs w:val="16"/>
          <w:color w:val="FFFFFF"/>
        </w:rPr>
        <w:t>______________________</w:t>
      </w:r>
      <w:r>
        <w:rPr>
          <w:rFonts w:ascii="Arial" w:cs="Arial" w:eastAsia="Arial" w:hAnsi="Arial"/>
          <w:sz w:val="16"/>
          <w:szCs w:val="16"/>
          <w:color w:val="auto"/>
        </w:rPr>
        <w:t xml:space="preserve"> (I.R.S. Employer Identification No.)</w:t>
      </w: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0" w:lineRule="exact"/>
        <w:rPr>
          <w:sz w:val="24"/>
          <w:szCs w:val="24"/>
          <w:color w:val="auto"/>
        </w:rPr>
      </w:pPr>
    </w:p>
    <w:p>
      <w:pPr>
        <w:spacing w:after="0" w:line="30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6"/>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1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(Title of class)</w:t>
      </w:r>
    </w:p>
    <w:p>
      <w:pPr>
        <w:spacing w:after="0" w:line="196"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ind w:left="8100"/>
        <w:spacing w:after="0" w:line="218" w:lineRule="auto"/>
        <w:tabs>
          <w:tab w:leader="none" w:pos="8760" w:val="left"/>
        </w:tabs>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7"/>
          <w:szCs w:val="17"/>
          <w:b w:val="1"/>
          <w:bCs w:val="1"/>
          <w:color w:val="auto"/>
        </w:rPr>
        <w:t>x</w:t>
      </w:r>
      <w:r>
        <w:rPr>
          <w:sz w:val="20"/>
          <w:szCs w:val="20"/>
          <w:color w:val="auto"/>
        </w:rPr>
        <w:tab/>
      </w:r>
      <w:r>
        <w:rPr>
          <w:rFonts w:ascii="Arial" w:cs="Arial" w:eastAsia="Arial" w:hAnsi="Arial"/>
          <w:sz w:val="17"/>
          <w:szCs w:val="17"/>
          <w:color w:val="auto"/>
        </w:rPr>
        <w:t xml:space="preserve">No </w:t>
      </w:r>
      <w:r>
        <w:rPr>
          <w:rFonts w:ascii="Wingdings" w:cs="Wingdings" w:eastAsia="Wingdings" w:hAnsi="Wingdings"/>
          <w:sz w:val="17"/>
          <w:szCs w:val="17"/>
          <w:b w:val="1"/>
          <w:bCs w:val="1"/>
          <w:color w:val="auto"/>
        </w:rPr>
        <w:t>o</w:t>
      </w:r>
    </w:p>
    <w:p>
      <w:pPr>
        <w:ind w:left="20"/>
        <w:spacing w:after="0" w:line="210" w:lineRule="auto"/>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jc w:val="right"/>
        <w:ind w:right="40"/>
        <w:spacing w:after="0"/>
        <w:tabs>
          <w:tab w:leader="none" w:pos="460" w:val="left"/>
        </w:tabs>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7"/>
          <w:szCs w:val="17"/>
          <w:b w:val="1"/>
          <w:bCs w:val="1"/>
          <w:color w:val="auto"/>
        </w:rPr>
        <w:t>o</w:t>
      </w:r>
      <w:r>
        <w:rPr>
          <w:rFonts w:ascii="Arial" w:cs="Arial" w:eastAsia="Arial" w:hAnsi="Arial"/>
          <w:sz w:val="16"/>
          <w:szCs w:val="16"/>
          <w:color w:val="auto"/>
        </w:rPr>
        <w:tab/>
        <w:t xml:space="preserve">No </w:t>
      </w:r>
      <w:r>
        <w:rPr>
          <w:rFonts w:ascii="Wingdings" w:cs="Wingdings" w:eastAsia="Wingdings" w:hAnsi="Wingdings"/>
          <w:sz w:val="17"/>
          <w:szCs w:val="17"/>
          <w:b w:val="1"/>
          <w:bCs w:val="1"/>
          <w:color w:val="auto"/>
        </w:rPr>
        <w:t>x</w:t>
      </w:r>
    </w:p>
    <w:p>
      <w:pPr>
        <w:spacing w:after="0" w:line="209"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0" w:lineRule="exact"/>
        <w:rPr>
          <w:sz w:val="20"/>
          <w:szCs w:val="20"/>
          <w:color w:val="auto"/>
        </w:rPr>
      </w:pPr>
    </w:p>
    <w:p>
      <w:pPr>
        <w:ind w:right="80"/>
        <w:spacing w:after="0" w:line="18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0" w:lineRule="exact"/>
        <w:rPr>
          <w:sz w:val="20"/>
          <w:szCs w:val="20"/>
          <w:color w:val="auto"/>
        </w:rPr>
      </w:pPr>
    </w:p>
    <w:p>
      <w:pPr>
        <w:ind w:right="140"/>
        <w:spacing w:after="0" w:line="19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70" w:lineRule="exact"/>
        <w:rPr>
          <w:sz w:val="20"/>
          <w:szCs w:val="20"/>
          <w:color w:val="auto"/>
        </w:rPr>
      </w:pPr>
    </w:p>
    <w:p>
      <w:pPr>
        <w:ind w:right="160"/>
        <w:spacing w:after="0" w:line="18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7"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The aggregate market value of the 124,546,642 shares of Class A common voting stock held by non-affiliates of the Registrant, computed by reference to the closing price as reported on the Nasdaq Stock Exchange, as of the last business day of the registrant’s most recently completed second fiscal quarter (June 30, 2023) was $930.4 million.</w:t>
      </w:r>
    </w:p>
    <w:p>
      <w:pPr>
        <w:spacing w:after="0" w:line="20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As of January 31, 2024, there were 227,143,401 and 7,509,871 shares of the registrant’s Class A and B common stock, respectively, par value $0.00001 per share outstanding, respectively.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Portions of the definitive proxy statement for use in connection with the registrant’s 2024 Annual Meeting of Stockholders to be filed hereafter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857885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60"/>
          </w:cols>
          <w:pgMar w:left="1340" w:top="166" w:right="1399" w:bottom="1440" w:gutter="0" w:footer="0" w:header="0"/>
        </w:sectPr>
      </w:pPr>
    </w:p>
    <w:bookmarkStart w:id="2" w:name="page3"/>
    <w:bookmarkEnd w:id="2"/>
    <w:p>
      <w:pPr>
        <w:spacing w:after="0" w:line="86" w:lineRule="exact"/>
        <w:rPr>
          <w:sz w:val="20"/>
          <w:szCs w:val="20"/>
          <w:color w:val="auto"/>
        </w:rPr>
      </w:pPr>
    </w:p>
    <w:p>
      <w:pPr>
        <w:ind w:right="4160"/>
        <w:spacing w:after="0" w:line="319" w:lineRule="auto"/>
        <w:rPr>
          <w:sz w:val="20"/>
          <w:szCs w:val="20"/>
          <w:color w:val="auto"/>
        </w:rPr>
      </w:pPr>
      <w:r>
        <w:rPr>
          <w:rFonts w:ascii="Arial" w:cs="Arial" w:eastAsia="Arial" w:hAnsi="Arial"/>
          <w:sz w:val="54"/>
          <w:szCs w:val="54"/>
          <w:b w:val="1"/>
          <w:bCs w:val="1"/>
          <w:color w:val="523591"/>
        </w:rPr>
        <w:t>A Letter from Our Co-Founder and CEO</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1E1E1E"/>
        </w:rPr>
        <w:t>Dear current or prospective shareholder,</w:t>
      </w:r>
    </w:p>
    <w:p>
      <w:pPr>
        <w:spacing w:after="0" w:line="24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1E1E1E"/>
        </w:rPr>
        <w:t>Recursion celebrated its tenth anniversary in 2023, and as I reflect back on the past decade of building and look forward to the next decade, it feels increasingly clear that we are in the midst of a tremendous technology and AI-driven transition in our society.</w:t>
      </w:r>
    </w:p>
    <w:p>
      <w:pPr>
        <w:spacing w:after="0" w:line="16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1E1E1E"/>
        </w:rPr>
        <w:t>Knowledge workers are on the precipice of a massive transformation in their work; much of the toil embedded into the processes, systems and delivery today will give way to higher efficiency, more creativity and smart risk-taking with new tools that will enable rapid and deep experimentation and fast failure. For many, embracing this evolving landscape of work will be tumultuous, but for those who are open to the possibilities technology brings, an exciting new future awaits.</w:t>
      </w:r>
    </w:p>
    <w:p>
      <w:pPr>
        <w:spacing w:after="0" w:line="167" w:lineRule="exact"/>
        <w:rPr>
          <w:sz w:val="20"/>
          <w:szCs w:val="20"/>
          <w:color w:val="auto"/>
        </w:rPr>
      </w:pPr>
    </w:p>
    <w:p>
      <w:pPr>
        <w:ind w:right="820"/>
        <w:spacing w:after="0" w:line="321" w:lineRule="auto"/>
        <w:rPr>
          <w:sz w:val="20"/>
          <w:szCs w:val="20"/>
          <w:color w:val="auto"/>
        </w:rPr>
      </w:pPr>
      <w:r>
        <w:rPr>
          <w:rFonts w:ascii="Arial" w:cs="Arial" w:eastAsia="Arial" w:hAnsi="Arial"/>
          <w:sz w:val="16"/>
          <w:szCs w:val="16"/>
          <w:color w:val="1E1E1E"/>
        </w:rPr>
        <w:t>Like all major past shifts in society, we will face many new challenges and obstacles as we come to terms with the risks and opportunities of the new tools that are becoming increasingly available at our fingertips.</w:t>
      </w:r>
    </w:p>
    <w:p>
      <w:pPr>
        <w:spacing w:after="0" w:line="14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1E1E1E"/>
        </w:rPr>
        <w:t>The broad transformations in society will be mirrored in the life sciences with the evolution of BioTech into TechBio over the coming decade. The digitization of biology and chemistry will enable us to predict ways to map and navigate it, allowing us to design rather than discover better medicines faster with less failure. Advancements in laboratory automation, biological tools and quantified human health will allow for the emergence of massive datasets of human health and disease that will feed the AI-driven insights transforming life sciences.</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1E1E1E"/>
        </w:rPr>
        <w:t>Of course, the idea that an AI ‘black-box’ will pop out new cures at scale in the coming 12-24 months is a fallacy and we have to be careful not to be caught up in that sort of hype. Drug discovery is too complex, has too many steps and has too long of a feedback loop for that sort of ‘overnight’ shift. But looking back at how far we have come and the compounding improvements we see today, I believe that our industry will shift more in the coming decade than it ever has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243205</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660"/>
          </w:cols>
          <w:pgMar w:left="110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303" w:lineRule="auto"/>
        <w:rPr>
          <w:sz w:val="20"/>
          <w:szCs w:val="20"/>
          <w:color w:val="auto"/>
        </w:rPr>
      </w:pPr>
      <w:r>
        <w:rPr>
          <w:rFonts w:ascii="Arial" w:cs="Arial" w:eastAsia="Arial" w:hAnsi="Arial"/>
          <w:sz w:val="14"/>
          <w:szCs w:val="14"/>
          <w:b w:val="1"/>
          <w:bCs w:val="1"/>
          <w:color w:val="EE7233"/>
        </w:rPr>
        <w:t xml:space="preserve">THE WORLD HAS GENERATED MORE DATA IN THE PAST 24 MONTHS </w:t>
      </w:r>
      <w:r>
        <w:rPr>
          <w:rFonts w:ascii="Arial" w:cs="Arial" w:eastAsia="Arial" w:hAnsi="Arial"/>
          <w:sz w:val="14"/>
          <w:szCs w:val="14"/>
          <w:color w:val="1E1E1E"/>
        </w:rPr>
        <w:t>than in all</w:t>
      </w:r>
      <w:r>
        <w:rPr>
          <w:rFonts w:ascii="Arial" w:cs="Arial" w:eastAsia="Arial" w:hAnsi="Arial"/>
          <w:sz w:val="14"/>
          <w:szCs w:val="14"/>
          <w:b w:val="1"/>
          <w:bCs w:val="1"/>
          <w:color w:val="EE7233"/>
        </w:rPr>
        <w:t xml:space="preserve"> </w:t>
      </w:r>
      <w:r>
        <w:rPr>
          <w:rFonts w:ascii="Arial" w:cs="Arial" w:eastAsia="Arial" w:hAnsi="Arial"/>
          <w:sz w:val="14"/>
          <w:szCs w:val="14"/>
          <w:color w:val="1E1E1E"/>
        </w:rPr>
        <w:t>of human history before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184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-509270</wp:posOffset>
            </wp:positionV>
            <wp:extent cx="1842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1E1E1E"/>
        </w:rPr>
        <w:t>A common argument from skeptics is that biology is too complex and healthcare too complicated for such a disruptive technological transformation to be possible. But like in prior industrial revolutions, a new technology (or technologies) has set in motion a current that will fundamentally reshape the forces and assumptions that drive various fields, including our own. Here are a few facts that signal this transformation is happening right now:</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Data &amp; Compute:</w:t>
      </w:r>
    </w:p>
    <w:p>
      <w:pPr>
        <w:spacing w:after="0" w:line="71" w:lineRule="exact"/>
        <w:rPr>
          <w:sz w:val="20"/>
          <w:szCs w:val="20"/>
          <w:color w:val="auto"/>
        </w:rPr>
      </w:pPr>
    </w:p>
    <w:p>
      <w:pPr>
        <w:ind w:left="640" w:right="100" w:hanging="320"/>
        <w:spacing w:after="0" w:line="308" w:lineRule="auto"/>
        <w:tabs>
          <w:tab w:leader="none" w:pos="629" w:val="left"/>
        </w:tabs>
        <w:numPr>
          <w:ilvl w:val="0"/>
          <w:numId w:val="3"/>
        </w:numPr>
        <w:rPr>
          <w:rFonts w:ascii="Arial" w:cs="Arial" w:eastAsia="Arial" w:hAnsi="Arial"/>
          <w:sz w:val="16"/>
          <w:szCs w:val="16"/>
          <w:color w:val="1E1E1E"/>
        </w:rPr>
      </w:pPr>
      <w:r>
        <w:rPr>
          <w:rFonts w:ascii="Arial" w:cs="Arial" w:eastAsia="Arial" w:hAnsi="Arial"/>
          <w:sz w:val="16"/>
          <w:szCs w:val="16"/>
          <w:color w:val="1E1E1E"/>
        </w:rPr>
        <w:t>The world has generated more data in the past 24 months than in all of human history before that</w:t>
      </w:r>
    </w:p>
    <w:p>
      <w:pPr>
        <w:ind w:left="640" w:right="60" w:hanging="320"/>
        <w:spacing w:after="0" w:line="321" w:lineRule="auto"/>
        <w:tabs>
          <w:tab w:leader="none" w:pos="629" w:val="left"/>
        </w:tabs>
        <w:numPr>
          <w:ilvl w:val="0"/>
          <w:numId w:val="3"/>
        </w:numPr>
        <w:rPr>
          <w:rFonts w:ascii="Arial" w:cs="Arial" w:eastAsia="Arial" w:hAnsi="Arial"/>
          <w:sz w:val="16"/>
          <w:szCs w:val="16"/>
          <w:color w:val="1E1E1E"/>
        </w:rPr>
      </w:pPr>
      <w:r>
        <w:rPr>
          <w:rFonts w:ascii="Arial" w:cs="Arial" w:eastAsia="Arial" w:hAnsi="Arial"/>
          <w:sz w:val="16"/>
          <w:szCs w:val="16"/>
          <w:color w:val="1E1E1E"/>
        </w:rPr>
        <w:t>The world has consumed more computational cycles in the last 12 months than in all of human history before that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Biological Tools:</w:t>
      </w:r>
    </w:p>
    <w:p>
      <w:pPr>
        <w:spacing w:after="0" w:line="71" w:lineRule="exact"/>
        <w:rPr>
          <w:sz w:val="20"/>
          <w:szCs w:val="20"/>
          <w:color w:val="auto"/>
        </w:rPr>
      </w:pPr>
    </w:p>
    <w:p>
      <w:pPr>
        <w:ind w:left="640" w:right="100" w:hanging="320"/>
        <w:spacing w:after="0" w:line="308" w:lineRule="auto"/>
        <w:tabs>
          <w:tab w:leader="none" w:pos="629"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CRISPR-based gene editing has, in just the last five years, enabled for the first time arrayed genome-wide genetic screens</w:t>
      </w:r>
    </w:p>
    <w:p>
      <w:pPr>
        <w:ind w:left="640" w:right="140" w:hanging="320"/>
        <w:spacing w:after="0" w:line="321" w:lineRule="auto"/>
        <w:tabs>
          <w:tab w:leader="none" w:pos="629"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Innovations in induced pluripotent stem cells allow us to generate high-quality, differentiated human cells at massive scale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Automation and Reagents:</w:t>
      </w:r>
    </w:p>
    <w:p>
      <w:pPr>
        <w:spacing w:after="0" w:line="71" w:lineRule="exact"/>
        <w:rPr>
          <w:sz w:val="20"/>
          <w:szCs w:val="20"/>
          <w:color w:val="auto"/>
        </w:rPr>
      </w:pPr>
    </w:p>
    <w:p>
      <w:pPr>
        <w:ind w:left="640" w:right="80" w:hanging="320"/>
        <w:spacing w:after="0" w:line="321" w:lineRule="auto"/>
        <w:tabs>
          <w:tab w:leader="none" w:pos="629" w:val="left"/>
        </w:tabs>
        <w:numPr>
          <w:ilvl w:val="0"/>
          <w:numId w:val="5"/>
        </w:numPr>
        <w:rPr>
          <w:rFonts w:ascii="Arial" w:cs="Arial" w:eastAsia="Arial" w:hAnsi="Arial"/>
          <w:sz w:val="16"/>
          <w:szCs w:val="16"/>
          <w:color w:val="1E1E1E"/>
        </w:rPr>
      </w:pPr>
      <w:r>
        <w:rPr>
          <w:rFonts w:ascii="Arial" w:cs="Arial" w:eastAsia="Arial" w:hAnsi="Arial"/>
          <w:sz w:val="16"/>
          <w:szCs w:val="16"/>
          <w:color w:val="1E1E1E"/>
        </w:rPr>
        <w:t>Robotic laboratory systems and software enable highly standardized and quality-controlled high-throughput screening to generate relatable data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746760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459105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20" w:space="480"/>
            <w:col w:w="6360"/>
          </w:cols>
          <w:pgMar w:left="1100" w:top="1440" w:right="11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5883910</wp:posOffset>
            </wp:positionV>
            <wp:extent cx="187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page">
              <wp:posOffset>696595</wp:posOffset>
            </wp:positionH>
            <wp:positionV relativeFrom="page">
              <wp:posOffset>3192145</wp:posOffset>
            </wp:positionV>
            <wp:extent cx="1808480" cy="2082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303" w:lineRule="auto"/>
        <w:rPr>
          <w:sz w:val="20"/>
          <w:szCs w:val="20"/>
          <w:color w:val="auto"/>
        </w:rPr>
      </w:pPr>
      <w:r>
        <w:rPr>
          <w:rFonts w:ascii="Arial" w:cs="Arial" w:eastAsia="Arial" w:hAnsi="Arial"/>
          <w:sz w:val="14"/>
          <w:szCs w:val="14"/>
          <w:b w:val="1"/>
          <w:bCs w:val="1"/>
          <w:color w:val="EE7233"/>
        </w:rPr>
        <w:t xml:space="preserve">FIVE PHASE 2 CLINICAL-STAGE PROGRAMS </w:t>
      </w:r>
      <w:r>
        <w:rPr>
          <w:rFonts w:ascii="Arial" w:cs="Arial" w:eastAsia="Arial" w:hAnsi="Arial"/>
          <w:sz w:val="14"/>
          <w:szCs w:val="14"/>
          <w:color w:val="1E1E1E"/>
        </w:rPr>
        <w:t>with multiple upcoming data</w:t>
      </w:r>
      <w:r>
        <w:rPr>
          <w:rFonts w:ascii="Arial" w:cs="Arial" w:eastAsia="Arial" w:hAnsi="Arial"/>
          <w:sz w:val="14"/>
          <w:szCs w:val="14"/>
          <w:b w:val="1"/>
          <w:bCs w:val="1"/>
          <w:color w:val="EE7233"/>
        </w:rPr>
        <w:t xml:space="preserve"> </w:t>
      </w:r>
      <w:r>
        <w:rPr>
          <w:rFonts w:ascii="Arial" w:cs="Arial" w:eastAsia="Arial" w:hAnsi="Arial"/>
          <w:sz w:val="14"/>
          <w:szCs w:val="14"/>
          <w:color w:val="1E1E1E"/>
        </w:rPr>
        <w:t>readouts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98425</wp:posOffset>
            </wp:positionV>
            <wp:extent cx="187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308" w:lineRule="auto"/>
        <w:rPr>
          <w:sz w:val="20"/>
          <w:szCs w:val="20"/>
          <w:color w:val="auto"/>
        </w:rPr>
      </w:pPr>
      <w:r>
        <w:rPr>
          <w:rFonts w:ascii="Arial" w:cs="Arial" w:eastAsia="Arial" w:hAnsi="Arial"/>
          <w:sz w:val="16"/>
          <w:szCs w:val="16"/>
          <w:color w:val="1E1E1E"/>
        </w:rPr>
        <w:t>What’s more, the signs of AI-enabled point-solutions are already plentiful across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-2130425</wp:posOffset>
            </wp:positionH>
            <wp:positionV relativeFrom="paragraph">
              <wp:posOffset>-410210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ind w:left="640" w:hanging="320"/>
        <w:spacing w:after="0"/>
        <w:tabs>
          <w:tab w:leader="none" w:pos="640" w:val="left"/>
        </w:tabs>
        <w:numPr>
          <w:ilvl w:val="0"/>
          <w:numId w:val="6"/>
        </w:numPr>
        <w:rPr>
          <w:rFonts w:ascii="Arial" w:cs="Arial" w:eastAsia="Arial" w:hAnsi="Arial"/>
          <w:sz w:val="16"/>
          <w:szCs w:val="16"/>
          <w:color w:val="1E1E1E"/>
        </w:rPr>
      </w:pPr>
      <w:r>
        <w:rPr>
          <w:rFonts w:ascii="Arial" w:cs="Arial" w:eastAsia="Arial" w:hAnsi="Arial"/>
          <w:sz w:val="16"/>
          <w:szCs w:val="16"/>
          <w:color w:val="1E1E1E"/>
        </w:rPr>
        <w:t>Protein folding</w:t>
      </w:r>
    </w:p>
    <w:p>
      <w:pPr>
        <w:spacing w:after="0" w:line="86" w:lineRule="exact"/>
        <w:rPr>
          <w:rFonts w:ascii="Arial" w:cs="Arial" w:eastAsia="Arial" w:hAnsi="Arial"/>
          <w:sz w:val="16"/>
          <w:szCs w:val="16"/>
          <w:color w:val="1E1E1E"/>
        </w:rPr>
      </w:pPr>
    </w:p>
    <w:p>
      <w:pPr>
        <w:ind w:left="640" w:hanging="320"/>
        <w:spacing w:after="0"/>
        <w:tabs>
          <w:tab w:leader="none" w:pos="640" w:val="left"/>
        </w:tabs>
        <w:numPr>
          <w:ilvl w:val="0"/>
          <w:numId w:val="6"/>
        </w:numPr>
        <w:rPr>
          <w:rFonts w:ascii="Arial" w:cs="Arial" w:eastAsia="Arial" w:hAnsi="Arial"/>
          <w:sz w:val="16"/>
          <w:szCs w:val="16"/>
          <w:color w:val="1E1E1E"/>
        </w:rPr>
      </w:pPr>
      <w:r>
        <w:rPr>
          <w:rFonts w:ascii="Arial" w:cs="Arial" w:eastAsia="Arial" w:hAnsi="Arial"/>
          <w:sz w:val="16"/>
          <w:szCs w:val="16"/>
          <w:color w:val="1E1E1E"/>
        </w:rPr>
        <w:t>Scaled protein-ligand interaction prediction</w:t>
      </w:r>
    </w:p>
    <w:p>
      <w:pPr>
        <w:spacing w:after="0" w:line="72" w:lineRule="exact"/>
        <w:rPr>
          <w:rFonts w:ascii="Arial" w:cs="Arial" w:eastAsia="Arial" w:hAnsi="Arial"/>
          <w:sz w:val="16"/>
          <w:szCs w:val="16"/>
          <w:color w:val="1E1E1E"/>
        </w:rPr>
      </w:pPr>
    </w:p>
    <w:p>
      <w:pPr>
        <w:ind w:left="640" w:hanging="320"/>
        <w:spacing w:after="0"/>
        <w:tabs>
          <w:tab w:leader="none" w:pos="640" w:val="left"/>
        </w:tabs>
        <w:numPr>
          <w:ilvl w:val="0"/>
          <w:numId w:val="6"/>
        </w:numPr>
        <w:rPr>
          <w:rFonts w:ascii="Arial" w:cs="Arial" w:eastAsia="Arial" w:hAnsi="Arial"/>
          <w:sz w:val="16"/>
          <w:szCs w:val="16"/>
          <w:color w:val="1E1E1E"/>
        </w:rPr>
      </w:pPr>
      <w:r>
        <w:rPr>
          <w:rFonts w:ascii="Arial" w:cs="Arial" w:eastAsia="Arial" w:hAnsi="Arial"/>
          <w:sz w:val="16"/>
          <w:szCs w:val="16"/>
          <w:color w:val="1E1E1E"/>
        </w:rPr>
        <w:t>Generative AI for chemistry for tractable targets</w:t>
      </w:r>
    </w:p>
    <w:p>
      <w:pPr>
        <w:spacing w:after="0" w:line="86" w:lineRule="exact"/>
        <w:rPr>
          <w:rFonts w:ascii="Arial" w:cs="Arial" w:eastAsia="Arial" w:hAnsi="Arial"/>
          <w:sz w:val="16"/>
          <w:szCs w:val="16"/>
          <w:color w:val="1E1E1E"/>
        </w:rPr>
      </w:pPr>
    </w:p>
    <w:p>
      <w:pPr>
        <w:ind w:left="640" w:hanging="320"/>
        <w:spacing w:after="0"/>
        <w:tabs>
          <w:tab w:leader="none" w:pos="640" w:val="left"/>
        </w:tabs>
        <w:numPr>
          <w:ilvl w:val="0"/>
          <w:numId w:val="6"/>
        </w:numPr>
        <w:rPr>
          <w:rFonts w:ascii="Arial" w:cs="Arial" w:eastAsia="Arial" w:hAnsi="Arial"/>
          <w:sz w:val="16"/>
          <w:szCs w:val="16"/>
          <w:color w:val="1E1E1E"/>
        </w:rPr>
      </w:pPr>
      <w:r>
        <w:rPr>
          <w:rFonts w:ascii="Arial" w:cs="Arial" w:eastAsia="Arial" w:hAnsi="Arial"/>
          <w:sz w:val="16"/>
          <w:szCs w:val="16"/>
          <w:color w:val="1E1E1E"/>
        </w:rPr>
        <w:t>The FDA is already discussing the use of LLMs for program review</w:t>
      </w:r>
    </w:p>
    <w:p>
      <w:pPr>
        <w:spacing w:after="0" w:line="86" w:lineRule="exact"/>
        <w:rPr>
          <w:rFonts w:ascii="Arial" w:cs="Arial" w:eastAsia="Arial" w:hAnsi="Arial"/>
          <w:sz w:val="16"/>
          <w:szCs w:val="16"/>
          <w:color w:val="1E1E1E"/>
        </w:rPr>
      </w:pPr>
    </w:p>
    <w:p>
      <w:pPr>
        <w:ind w:left="640" w:hanging="320"/>
        <w:spacing w:after="0"/>
        <w:tabs>
          <w:tab w:leader="none" w:pos="640" w:val="left"/>
        </w:tabs>
        <w:numPr>
          <w:ilvl w:val="0"/>
          <w:numId w:val="6"/>
        </w:numPr>
        <w:rPr>
          <w:rFonts w:ascii="Arial" w:cs="Arial" w:eastAsia="Arial" w:hAnsi="Arial"/>
          <w:sz w:val="16"/>
          <w:szCs w:val="16"/>
          <w:color w:val="1E1E1E"/>
        </w:rPr>
      </w:pPr>
      <w:r>
        <w:rPr>
          <w:rFonts w:ascii="Arial" w:cs="Arial" w:eastAsia="Arial" w:hAnsi="Arial"/>
          <w:sz w:val="16"/>
          <w:szCs w:val="16"/>
          <w:color w:val="1E1E1E"/>
        </w:rPr>
        <w:t>Major pharma companies are drafting regulatory filings like INDs by LLMs</w:t>
      </w:r>
    </w:p>
    <w:p>
      <w:pPr>
        <w:spacing w:after="0" w:line="235" w:lineRule="exact"/>
        <w:rPr>
          <w:sz w:val="20"/>
          <w:szCs w:val="20"/>
          <w:color w:val="auto"/>
        </w:rPr>
      </w:pPr>
    </w:p>
    <w:p>
      <w:pPr>
        <w:spacing w:after="0" w:line="279" w:lineRule="auto"/>
        <w:rPr>
          <w:sz w:val="20"/>
          <w:szCs w:val="20"/>
          <w:color w:val="auto"/>
        </w:rPr>
      </w:pPr>
      <w:r>
        <w:rPr>
          <w:rFonts w:ascii="Arial" w:cs="Arial" w:eastAsia="Arial" w:hAnsi="Arial"/>
          <w:sz w:val="16"/>
          <w:szCs w:val="16"/>
          <w:color w:val="1E1E1E"/>
        </w:rPr>
        <w:t>These facts lay out a clear future where efficiencies and improvements across the many current AI-enabled point-solutions will begin to combine into integrated ‘tech-stacks’ and workflows that will result in compounding improvements in our ability to drug historically undruggable targets, understand the underlying networks of biology with increasing fidelity, fast-follow newly validated biology, characterize disease in increasingly robust ways and ultimately deliver more, better medicines to patients to alleviate suffering at scale. The question is no longer whether this sort of future is before us, but when and who will lead it.</w:t>
      </w:r>
    </w:p>
    <w:p>
      <w:pPr>
        <w:spacing w:after="0" w:line="204" w:lineRule="exact"/>
        <w:rPr>
          <w:sz w:val="20"/>
          <w:szCs w:val="20"/>
          <w:color w:val="auto"/>
        </w:rPr>
      </w:pPr>
    </w:p>
    <w:p>
      <w:pPr>
        <w:spacing w:after="0"/>
        <w:rPr>
          <w:sz w:val="20"/>
          <w:szCs w:val="20"/>
          <w:color w:val="auto"/>
        </w:rPr>
      </w:pPr>
      <w:r>
        <w:rPr>
          <w:rFonts w:ascii="Arial" w:cs="Arial" w:eastAsia="Arial" w:hAnsi="Arial"/>
          <w:sz w:val="27"/>
          <w:szCs w:val="27"/>
          <w:b w:val="1"/>
          <w:bCs w:val="1"/>
          <w:color w:val="E3188A"/>
        </w:rPr>
        <w:t>Looking Back at 2023 and Before</w:t>
      </w:r>
    </w:p>
    <w:p>
      <w:pPr>
        <w:spacing w:after="0" w:line="137"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1E1E1E"/>
        </w:rPr>
        <w:t>Reflecting back on late 2013 when Recursion was founded and how far we have come, it is simultaneously incredible and unsurprising to see where we are today. Recursion was then a Utah-based startup founded by two graduate students and a professor. Our first office was a conference room in the nearby University Research Park and our first laboratory was a converted storage room. Today, Recursion is a multinational, clinical-stage company leading the transition of BioTech into TechBio. We have over 500 employees, five clinical stage programs, one of the world’s largest biological and chemical datasets and two of the largest discovery collaborations in the industry with Roche/Genentech and Bayer.</w:t>
      </w:r>
    </w:p>
    <w:p>
      <w:pPr>
        <w:spacing w:after="0" w:line="17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1E1E1E"/>
        </w:rPr>
        <w:t>And in 2023, the opportunity ahead feels so much greater than it did in 2013, that in some ways it still feels like we are just getting started. In fact, from an internal perspective, 2023 felt like one of the best years in our history. In 2023 we achieved a lot of important milestones, and a lot of things we’ve been working to build, in some cases for years, really seemed to start hitting their stride, including: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Pipeline</w:t>
      </w:r>
    </w:p>
    <w:p>
      <w:pPr>
        <w:spacing w:after="0" w:line="138" w:lineRule="exact"/>
        <w:rPr>
          <w:sz w:val="20"/>
          <w:szCs w:val="20"/>
          <w:color w:val="auto"/>
        </w:rPr>
      </w:pPr>
    </w:p>
    <w:p>
      <w:pPr>
        <w:ind w:left="640" w:right="20" w:hanging="320"/>
        <w:spacing w:after="0" w:line="282" w:lineRule="auto"/>
        <w:tabs>
          <w:tab w:leader="none" w:pos="629" w:val="left"/>
        </w:tabs>
        <w:numPr>
          <w:ilvl w:val="0"/>
          <w:numId w:val="7"/>
        </w:numPr>
        <w:rPr>
          <w:rFonts w:ascii="Arial" w:cs="Arial" w:eastAsia="Arial" w:hAnsi="Arial"/>
          <w:sz w:val="16"/>
          <w:szCs w:val="16"/>
          <w:color w:val="1E1E1E"/>
        </w:rPr>
      </w:pPr>
      <w:r>
        <w:rPr>
          <w:rFonts w:ascii="Arial" w:cs="Arial" w:eastAsia="Arial" w:hAnsi="Arial"/>
          <w:sz w:val="16"/>
          <w:szCs w:val="16"/>
          <w:color w:val="1E1E1E"/>
        </w:rPr>
        <w:t>Five phase 2 clinical-stage programs with multiple upcoming data readouts expected, including REC-994 in cerebral cavernous malformation (CCM) in Q3 2024, REC-2282 in neurofibromatosis type 2 (NF2) in Q4 2024, REC-4881 in familial adenomatous polyposis (FAP) in H1 2025, and REC-4881 in AXIN1 or APC mutant solid tumors in H1 2025</w:t>
      </w:r>
    </w:p>
    <w:p>
      <w:pPr>
        <w:spacing w:after="0" w:line="26" w:lineRule="exact"/>
        <w:rPr>
          <w:rFonts w:ascii="Arial" w:cs="Arial" w:eastAsia="Arial" w:hAnsi="Arial"/>
          <w:sz w:val="16"/>
          <w:szCs w:val="16"/>
          <w:color w:val="1E1E1E"/>
        </w:rPr>
      </w:pPr>
    </w:p>
    <w:p>
      <w:pPr>
        <w:jc w:val="both"/>
        <w:ind w:left="640" w:right="600" w:hanging="320"/>
        <w:spacing w:after="0" w:line="292" w:lineRule="auto"/>
        <w:tabs>
          <w:tab w:leader="none" w:pos="629" w:val="left"/>
        </w:tabs>
        <w:numPr>
          <w:ilvl w:val="0"/>
          <w:numId w:val="7"/>
        </w:numPr>
        <w:rPr>
          <w:rFonts w:ascii="Arial" w:cs="Arial" w:eastAsia="Arial" w:hAnsi="Arial"/>
          <w:sz w:val="16"/>
          <w:szCs w:val="16"/>
          <w:color w:val="1E1E1E"/>
        </w:rPr>
      </w:pPr>
      <w:r>
        <w:rPr>
          <w:rFonts w:ascii="Arial" w:cs="Arial" w:eastAsia="Arial" w:hAnsi="Arial"/>
          <w:sz w:val="16"/>
          <w:szCs w:val="16"/>
          <w:color w:val="1E1E1E"/>
        </w:rPr>
        <w:t>Completed a Phase 1 study for REC-3964 in healthy volunteers for the potential treatment of Clostridioides difficile (C. difficile) infection with a favorable safety and tolerability profile</w:t>
      </w:r>
    </w:p>
    <w:p>
      <w:pPr>
        <w:spacing w:after="0" w:line="16" w:lineRule="exact"/>
        <w:rPr>
          <w:rFonts w:ascii="Arial" w:cs="Arial" w:eastAsia="Arial" w:hAnsi="Arial"/>
          <w:sz w:val="16"/>
          <w:szCs w:val="16"/>
          <w:color w:val="1E1E1E"/>
        </w:rPr>
      </w:pPr>
    </w:p>
    <w:p>
      <w:pPr>
        <w:ind w:left="640" w:hanging="320"/>
        <w:spacing w:after="0" w:line="304" w:lineRule="auto"/>
        <w:tabs>
          <w:tab w:leader="none" w:pos="629" w:val="left"/>
        </w:tabs>
        <w:numPr>
          <w:ilvl w:val="0"/>
          <w:numId w:val="7"/>
        </w:numPr>
        <w:rPr>
          <w:rFonts w:ascii="Arial" w:cs="Arial" w:eastAsia="Arial" w:hAnsi="Arial"/>
          <w:sz w:val="16"/>
          <w:szCs w:val="16"/>
          <w:color w:val="1E1E1E"/>
        </w:rPr>
      </w:pPr>
      <w:r>
        <w:rPr>
          <w:rFonts w:ascii="Arial" w:cs="Arial" w:eastAsia="Arial" w:hAnsi="Arial"/>
          <w:sz w:val="16"/>
          <w:szCs w:val="16"/>
          <w:color w:val="1E1E1E"/>
        </w:rPr>
        <w:t>Advanced our RBM39 program in homologous recombination proficient ovarian cancer and other solid tumors to IND-enabling studies</w:t>
      </w:r>
    </w:p>
    <w:p>
      <w:pPr>
        <w:spacing w:after="0" w:line="6" w:lineRule="exact"/>
        <w:rPr>
          <w:rFonts w:ascii="Arial" w:cs="Arial" w:eastAsia="Arial" w:hAnsi="Arial"/>
          <w:sz w:val="16"/>
          <w:szCs w:val="16"/>
          <w:color w:val="1E1E1E"/>
        </w:rPr>
      </w:pPr>
    </w:p>
    <w:p>
      <w:pPr>
        <w:ind w:left="640" w:right="240" w:hanging="320"/>
        <w:spacing w:after="0" w:line="292" w:lineRule="auto"/>
        <w:tabs>
          <w:tab w:leader="none" w:pos="629" w:val="left"/>
        </w:tabs>
        <w:numPr>
          <w:ilvl w:val="0"/>
          <w:numId w:val="7"/>
        </w:numPr>
        <w:rPr>
          <w:rFonts w:ascii="Arial" w:cs="Arial" w:eastAsia="Arial" w:hAnsi="Arial"/>
          <w:sz w:val="16"/>
          <w:szCs w:val="16"/>
          <w:color w:val="1E1E1E"/>
        </w:rPr>
      </w:pPr>
      <w:r>
        <w:rPr>
          <w:rFonts w:ascii="Arial" w:cs="Arial" w:eastAsia="Arial" w:hAnsi="Arial"/>
          <w:sz w:val="16"/>
          <w:szCs w:val="16"/>
          <w:color w:val="1E1E1E"/>
        </w:rPr>
        <w:t>In-licensed a program (Target Epsilon) that emerged from our fibrosis collaboration with Bayer that represents a novel approach to treating fibrotic diseases with compelling early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1130300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842645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60" w:space="680"/>
            <w:col w:w="6300"/>
          </w:cols>
          <w:pgMar w:left="1100" w:top="1151" w:right="1159" w:bottom="1440" w:gutter="0" w:footer="0" w:header="0"/>
        </w:sectPr>
      </w:pPr>
    </w:p>
    <w:bookmarkStart w:id="4" w:name="page5"/>
    <w:bookmarkEnd w:id="4"/>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1E1E1E"/>
        </w:rPr>
        <w:t>Our Collaborators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184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1E1E1E"/>
        </w:rPr>
        <w:t>Roche and Genentech</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1E1E1E"/>
        </w:rPr>
        <w:t>Bayer</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1E1E1E"/>
        </w:rPr>
        <w:t>NVIDIA</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1E1E1E"/>
        </w:rPr>
        <w:t>Tempus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1E1E1E"/>
        </w:rPr>
        <w:t>Enamine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2370455</wp:posOffset>
            </wp:positionV>
            <wp:extent cx="184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b w:val="1"/>
          <w:bCs w:val="1"/>
          <w:color w:val="EE7233"/>
        </w:rPr>
        <w:t>LOWE (LARGE LANGUAGE MODEL-ORCHESTRATED WORKFLOW ENGINE)</w:t>
      </w:r>
    </w:p>
    <w:p>
      <w:pPr>
        <w:ind w:right="180"/>
        <w:spacing w:after="0" w:line="285" w:lineRule="auto"/>
        <w:rPr>
          <w:sz w:val="20"/>
          <w:szCs w:val="20"/>
          <w:color w:val="auto"/>
        </w:rPr>
      </w:pPr>
      <w:r>
        <w:rPr>
          <w:rFonts w:ascii="Arial" w:cs="Arial" w:eastAsia="Arial" w:hAnsi="Arial"/>
          <w:sz w:val="14"/>
          <w:szCs w:val="14"/>
          <w:color w:val="1E1E1E"/>
        </w:rPr>
        <w:t>is connecting wet-lab and dry-lab components of the Recursion OS using a natural language interface to streamline complex drug discovery tasks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1024255</wp:posOffset>
            </wp:positionV>
            <wp:extent cx="1842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277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107315</wp:posOffset>
            </wp:positionV>
            <wp:extent cx="184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1E1E1E"/>
        </w:rPr>
        <w:t>&gt;1 Trillion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EE7233"/>
        </w:rPr>
        <w:t>HUMAN INDUCED PLURIPOTENT</w:t>
      </w:r>
    </w:p>
    <w:p>
      <w:pPr>
        <w:spacing w:after="0" w:line="21" w:lineRule="exact"/>
        <w:rPr>
          <w:sz w:val="20"/>
          <w:szCs w:val="20"/>
          <w:color w:val="auto"/>
        </w:rPr>
      </w:pPr>
    </w:p>
    <w:p>
      <w:pPr>
        <w:spacing w:after="0" w:line="314" w:lineRule="auto"/>
        <w:rPr>
          <w:sz w:val="20"/>
          <w:szCs w:val="20"/>
          <w:color w:val="auto"/>
        </w:rPr>
      </w:pPr>
      <w:r>
        <w:rPr>
          <w:rFonts w:ascii="Arial" w:cs="Arial" w:eastAsia="Arial" w:hAnsi="Arial"/>
          <w:sz w:val="14"/>
          <w:szCs w:val="14"/>
          <w:b w:val="1"/>
          <w:bCs w:val="1"/>
          <w:color w:val="EE7233"/>
        </w:rPr>
        <w:t xml:space="preserve">STEM CELL </w:t>
      </w:r>
      <w:r>
        <w:rPr>
          <w:rFonts w:ascii="Arial" w:cs="Arial" w:eastAsia="Arial" w:hAnsi="Arial"/>
          <w:sz w:val="14"/>
          <w:szCs w:val="14"/>
          <w:color w:val="1E1E1E"/>
        </w:rPr>
        <w:t>(hiPSC)-derived neuronal cells</w:t>
      </w:r>
      <w:r>
        <w:rPr>
          <w:rFonts w:ascii="Arial" w:cs="Arial" w:eastAsia="Arial" w:hAnsi="Arial"/>
          <w:sz w:val="14"/>
          <w:szCs w:val="14"/>
          <w:b w:val="1"/>
          <w:bCs w:val="1"/>
          <w:color w:val="EE7233"/>
        </w:rPr>
        <w:t xml:space="preserve"> </w:t>
      </w:r>
      <w:r>
        <w:rPr>
          <w:rFonts w:ascii="Arial" w:cs="Arial" w:eastAsia="Arial" w:hAnsi="Arial"/>
          <w:sz w:val="14"/>
          <w:szCs w:val="14"/>
          <w:color w:val="1E1E1E"/>
        </w:rPr>
        <w:t>produced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184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1E1E1E"/>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-228600</wp:posOffset>
            </wp:positionV>
            <wp:extent cx="6172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18" w:lineRule="exact"/>
        <w:rPr>
          <w:sz w:val="20"/>
          <w:szCs w:val="20"/>
          <w:color w:val="auto"/>
        </w:rPr>
      </w:pPr>
    </w:p>
    <w:p>
      <w:pPr>
        <w:ind w:left="640" w:hanging="320"/>
        <w:spacing w:after="0" w:line="283" w:lineRule="auto"/>
        <w:tabs>
          <w:tab w:leader="none" w:pos="629"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Made significant progress against both the gastrointestinal-oncology and neuroscience portions of our collaboration with Roche and Genentech, including Roche exercising its Small Molecule Validated Hit Option to further advance our first partnership program in GI-oncology</w:t>
      </w:r>
    </w:p>
    <w:p>
      <w:pPr>
        <w:spacing w:after="0" w:line="23" w:lineRule="exact"/>
        <w:rPr>
          <w:rFonts w:ascii="Arial" w:cs="Arial" w:eastAsia="Arial" w:hAnsi="Arial"/>
          <w:sz w:val="16"/>
          <w:szCs w:val="16"/>
          <w:color w:val="1E1E1E"/>
        </w:rPr>
      </w:pPr>
    </w:p>
    <w:p>
      <w:pPr>
        <w:ind w:left="640" w:right="460" w:hanging="320"/>
        <w:spacing w:after="0" w:line="292" w:lineRule="auto"/>
        <w:tabs>
          <w:tab w:leader="none" w:pos="629"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Updated our collaboration with Bayer to focus on challenging oncology indications with high unmet need, commensurate with higher per program milestone payments</w:t>
      </w:r>
    </w:p>
    <w:p>
      <w:pPr>
        <w:spacing w:after="0" w:line="16" w:lineRule="exact"/>
        <w:rPr>
          <w:rFonts w:ascii="Arial" w:cs="Arial" w:eastAsia="Arial" w:hAnsi="Arial"/>
          <w:sz w:val="16"/>
          <w:szCs w:val="16"/>
          <w:color w:val="1E1E1E"/>
        </w:rPr>
      </w:pPr>
    </w:p>
    <w:p>
      <w:pPr>
        <w:ind w:left="640" w:hanging="320"/>
        <w:spacing w:after="0" w:line="282" w:lineRule="auto"/>
        <w:tabs>
          <w:tab w:leader="none" w:pos="629"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Entered into a collaboration with NVIDIA to accelerate the construction, optimization and deployment of foundation models for biology and chemistry as well as host Recursion-built computational and data tools on BioNeMo (NVIDIA’s drug discovery platform) – additionally, NVIDIA invested $50 million in Recursion via a private placement</w:t>
      </w:r>
    </w:p>
    <w:p>
      <w:pPr>
        <w:spacing w:after="0" w:line="26" w:lineRule="exact"/>
        <w:rPr>
          <w:rFonts w:ascii="Arial" w:cs="Arial" w:eastAsia="Arial" w:hAnsi="Arial"/>
          <w:sz w:val="16"/>
          <w:szCs w:val="16"/>
          <w:color w:val="1E1E1E"/>
        </w:rPr>
      </w:pPr>
    </w:p>
    <w:p>
      <w:pPr>
        <w:ind w:left="640" w:right="140" w:hanging="320"/>
        <w:spacing w:after="0" w:line="289" w:lineRule="auto"/>
        <w:tabs>
          <w:tab w:leader="none" w:pos="629"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Entered into a collaboration with Tempus giving Recursion access to over 20 petabytes of proprietary de-identified, multimodal patient oncology data for the purpose of training causal AI models for the discovery of novel therapeutic hypotheses, biomarker strategies and patient cohort selection</w:t>
      </w:r>
    </w:p>
    <w:p>
      <w:pPr>
        <w:spacing w:after="0" w:line="4" w:lineRule="exact"/>
        <w:rPr>
          <w:rFonts w:ascii="Arial" w:cs="Arial" w:eastAsia="Arial" w:hAnsi="Arial"/>
          <w:sz w:val="16"/>
          <w:szCs w:val="16"/>
          <w:color w:val="1E1E1E"/>
        </w:rPr>
      </w:pPr>
    </w:p>
    <w:p>
      <w:pPr>
        <w:ind w:left="640" w:right="340" w:hanging="320"/>
        <w:spacing w:after="0" w:line="289" w:lineRule="auto"/>
        <w:tabs>
          <w:tab w:leader="none" w:pos="629"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Entered into a partnership with Enamine to generate enriched screening libraries with insights from Recursion’s protein-ligand interaction predictions spanning across Enamine’s massive library of approximately 36 billion compounds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Recursion OS</w:t>
      </w:r>
    </w:p>
    <w:p>
      <w:pPr>
        <w:spacing w:after="0" w:line="138" w:lineRule="exact"/>
        <w:rPr>
          <w:sz w:val="20"/>
          <w:szCs w:val="20"/>
          <w:color w:val="auto"/>
        </w:rPr>
      </w:pPr>
    </w:p>
    <w:p>
      <w:pPr>
        <w:ind w:left="640" w:right="360" w:hanging="320"/>
        <w:spacing w:after="0" w:line="292" w:lineRule="auto"/>
        <w:tabs>
          <w:tab w:leader="none" w:pos="629"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Built, scaled and industrialized multiple tools and technologies to heavily automate workflows across the drug discovery process, creating one of the most complete full-stack TechBio solutions</w:t>
      </w:r>
    </w:p>
    <w:p>
      <w:pPr>
        <w:spacing w:after="0" w:line="16" w:lineRule="exact"/>
        <w:rPr>
          <w:rFonts w:ascii="Arial" w:cs="Arial" w:eastAsia="Arial" w:hAnsi="Arial"/>
          <w:sz w:val="16"/>
          <w:szCs w:val="16"/>
          <w:color w:val="1E1E1E"/>
        </w:rPr>
      </w:pPr>
    </w:p>
    <w:p>
      <w:pPr>
        <w:jc w:val="both"/>
        <w:ind w:left="640" w:right="540" w:hanging="320"/>
        <w:spacing w:after="0" w:line="292" w:lineRule="auto"/>
        <w:tabs>
          <w:tab w:leader="none" w:pos="629"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Created LOWE (Large Language Model-Orchestrated Workflow Engine) connecting wet-lab and dry-lab components of the Recursion OS using a natural language interface to streamline complex drug discovery tasks</w:t>
      </w:r>
    </w:p>
    <w:p>
      <w:pPr>
        <w:spacing w:after="0" w:line="16" w:lineRule="exact"/>
        <w:rPr>
          <w:rFonts w:ascii="Arial" w:cs="Arial" w:eastAsia="Arial" w:hAnsi="Arial"/>
          <w:sz w:val="16"/>
          <w:szCs w:val="16"/>
          <w:color w:val="1E1E1E"/>
        </w:rPr>
      </w:pPr>
    </w:p>
    <w:p>
      <w:pPr>
        <w:ind w:left="640" w:right="460" w:hanging="320"/>
        <w:spacing w:after="0" w:line="292" w:lineRule="auto"/>
        <w:tabs>
          <w:tab w:leader="none" w:pos="629"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Deployed large language models (LLMs) to map scientific literature in conjunction with our internally derived proprietary maps for the purpose of autonomously identifying novel opportunities in areas of unmet need</w:t>
      </w:r>
    </w:p>
    <w:p>
      <w:pPr>
        <w:spacing w:after="0" w:line="3" w:lineRule="exact"/>
        <w:rPr>
          <w:rFonts w:ascii="Arial" w:cs="Arial" w:eastAsia="Arial" w:hAnsi="Arial"/>
          <w:sz w:val="16"/>
          <w:szCs w:val="16"/>
          <w:color w:val="1E1E1E"/>
        </w:rPr>
      </w:pPr>
    </w:p>
    <w:p>
      <w:pPr>
        <w:ind w:left="640" w:right="160" w:hanging="320"/>
        <w:spacing w:after="0" w:line="289" w:lineRule="auto"/>
        <w:tabs>
          <w:tab w:leader="none" w:pos="629"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Deployed Phenom-1, a vision transformer utilizing hundreds of millions of parameters trained on billions of biological images from our proprietary data, which we believe to be the world’s largest phenomics foundation model at this time</w:t>
      </w:r>
    </w:p>
    <w:p>
      <w:pPr>
        <w:spacing w:after="0" w:line="18" w:lineRule="exact"/>
        <w:rPr>
          <w:rFonts w:ascii="Arial" w:cs="Arial" w:eastAsia="Arial" w:hAnsi="Arial"/>
          <w:sz w:val="16"/>
          <w:szCs w:val="16"/>
          <w:color w:val="1E1E1E"/>
        </w:rPr>
      </w:pPr>
    </w:p>
    <w:p>
      <w:pPr>
        <w:ind w:left="640" w:right="20" w:hanging="320"/>
        <w:spacing w:after="0" w:line="292" w:lineRule="auto"/>
        <w:tabs>
          <w:tab w:leader="none" w:pos="629"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Deployed new digital chemistry tools to predict the ligand-protein interactions for approximately 36 billion compounds in the Enamine REAL Space, reported to be the largest synthesizable chemical library</w:t>
      </w:r>
    </w:p>
    <w:p>
      <w:pPr>
        <w:spacing w:after="0" w:line="16" w:lineRule="exact"/>
        <w:rPr>
          <w:rFonts w:ascii="Arial" w:cs="Arial" w:eastAsia="Arial" w:hAnsi="Arial"/>
          <w:sz w:val="16"/>
          <w:szCs w:val="16"/>
          <w:color w:val="1E1E1E"/>
        </w:rPr>
      </w:pPr>
    </w:p>
    <w:p>
      <w:pPr>
        <w:jc w:val="both"/>
        <w:ind w:left="640" w:right="260" w:hanging="320"/>
        <w:spacing w:after="0" w:line="292" w:lineRule="auto"/>
        <w:tabs>
          <w:tab w:leader="none" w:pos="629"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Produced over 1 trillion human induced pluripotent stem cell (hiPSC)-derived neuronal cells since 2022, likely making Recursion one of the world’s largest producers of neuronal cells</w:t>
      </w:r>
    </w:p>
    <w:p>
      <w:pPr>
        <w:spacing w:after="0" w:line="3" w:lineRule="exact"/>
        <w:rPr>
          <w:rFonts w:ascii="Arial" w:cs="Arial" w:eastAsia="Arial" w:hAnsi="Arial"/>
          <w:sz w:val="16"/>
          <w:szCs w:val="16"/>
          <w:color w:val="1E1E1E"/>
        </w:rPr>
      </w:pPr>
    </w:p>
    <w:p>
      <w:pPr>
        <w:ind w:left="640" w:right="240" w:hanging="320"/>
        <w:spacing w:after="0" w:line="301" w:lineRule="auto"/>
        <w:tabs>
          <w:tab w:leader="none" w:pos="629"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Began training causal AI models leveraging over 20 petabytes of multi-modal precision oncology patient data from Tempus to support the discovery of potential biomarker-enriched therapeutics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1673860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1386840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00" w:space="500"/>
            <w:col w:w="6380"/>
          </w:cols>
          <w:pgMar w:left="1100" w:top="1153" w:right="1119" w:bottom="1440" w:gutter="0" w:footer="0" w:header="0"/>
        </w:sectPr>
      </w:pPr>
    </w:p>
    <w:bookmarkStart w:id="5" w:name="page6"/>
    <w:bookmarkEnd w:id="5"/>
    <w:p>
      <w:pPr>
        <w:spacing w:after="0" w:line="3" w:lineRule="exact"/>
        <w:rPr>
          <w:sz w:val="20"/>
          <w:szCs w:val="20"/>
          <w:color w:val="auto"/>
        </w:rPr>
      </w:pPr>
    </w:p>
    <w:p>
      <w:pPr>
        <w:spacing w:after="0" w:line="303" w:lineRule="auto"/>
        <w:rPr>
          <w:sz w:val="20"/>
          <w:szCs w:val="20"/>
          <w:color w:val="auto"/>
        </w:rPr>
      </w:pPr>
      <w:r>
        <w:rPr>
          <w:rFonts w:ascii="Arial" w:cs="Arial" w:eastAsia="Arial" w:hAnsi="Arial"/>
          <w:sz w:val="14"/>
          <w:szCs w:val="14"/>
          <w:b w:val="1"/>
          <w:bCs w:val="1"/>
          <w:color w:val="EE7233"/>
        </w:rPr>
        <w:t xml:space="preserve">ACQUIRED CYCLICA AND VALENCE DISCOVERY TO BOLSTER </w:t>
      </w:r>
      <w:r>
        <w:rPr>
          <w:rFonts w:ascii="Arial" w:cs="Arial" w:eastAsia="Arial" w:hAnsi="Arial"/>
          <w:sz w:val="14"/>
          <w:szCs w:val="14"/>
          <w:color w:val="1E1E1E"/>
        </w:rPr>
        <w:t>digital chemistry</w:t>
      </w:r>
      <w:r>
        <w:rPr>
          <w:rFonts w:ascii="Arial" w:cs="Arial" w:eastAsia="Arial" w:hAnsi="Arial"/>
          <w:sz w:val="14"/>
          <w:szCs w:val="14"/>
          <w:b w:val="1"/>
          <w:bCs w:val="1"/>
          <w:color w:val="EE7233"/>
        </w:rPr>
        <w:t xml:space="preserve"> </w:t>
      </w:r>
      <w:r>
        <w:rPr>
          <w:rFonts w:ascii="Arial" w:cs="Arial" w:eastAsia="Arial" w:hAnsi="Arial"/>
          <w:sz w:val="14"/>
          <w:szCs w:val="14"/>
          <w:color w:val="1E1E1E"/>
        </w:rPr>
        <w:t>and generative AI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98425</wp:posOffset>
            </wp:positionV>
            <wp:extent cx="1877060" cy="673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7060" cy="6737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1E1E1E"/>
        </w:rPr>
        <w:t>Company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-2130425</wp:posOffset>
            </wp:positionH>
            <wp:positionV relativeFrom="paragraph">
              <wp:posOffset>-228600</wp:posOffset>
            </wp:positionV>
            <wp:extent cx="6172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18" w:lineRule="exact"/>
        <w:rPr>
          <w:sz w:val="20"/>
          <w:szCs w:val="20"/>
          <w:color w:val="auto"/>
        </w:rPr>
      </w:pPr>
    </w:p>
    <w:p>
      <w:pPr>
        <w:ind w:left="640" w:right="580" w:hanging="320"/>
        <w:spacing w:after="0" w:line="304" w:lineRule="auto"/>
        <w:tabs>
          <w:tab w:leader="none" w:pos="629"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Acquired Cyclica and Valence Discovery to bolster digital chemistry and generative AI capabilities</w:t>
      </w:r>
    </w:p>
    <w:p>
      <w:pPr>
        <w:spacing w:after="0" w:line="6" w:lineRule="exact"/>
        <w:rPr>
          <w:rFonts w:ascii="Arial" w:cs="Arial" w:eastAsia="Arial" w:hAnsi="Arial"/>
          <w:sz w:val="16"/>
          <w:szCs w:val="16"/>
          <w:color w:val="1E1E1E"/>
        </w:rPr>
      </w:pPr>
    </w:p>
    <w:p>
      <w:pPr>
        <w:ind w:left="640" w:right="520" w:hanging="320"/>
        <w:spacing w:after="0" w:line="292" w:lineRule="auto"/>
        <w:tabs>
          <w:tab w:leader="none" w:pos="629"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Expanded our operations in Salt Lake City and Montréal and opened our Canadian headquarters in Toronto with a focus on growing our machine learning and digital chemistry teams</w:t>
      </w:r>
    </w:p>
    <w:p>
      <w:pPr>
        <w:spacing w:after="0" w:line="16" w:lineRule="exact"/>
        <w:rPr>
          <w:rFonts w:ascii="Arial" w:cs="Arial" w:eastAsia="Arial" w:hAnsi="Arial"/>
          <w:sz w:val="16"/>
          <w:szCs w:val="16"/>
          <w:color w:val="1E1E1E"/>
        </w:rPr>
      </w:pPr>
    </w:p>
    <w:p>
      <w:pPr>
        <w:ind w:left="640" w:right="180" w:hanging="320"/>
        <w:spacing w:after="0" w:line="282" w:lineRule="auto"/>
        <w:tabs>
          <w:tab w:leader="none" w:pos="629"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Committed to quadrupling the capacity of our supercomputer, BioHive-1, to support our pipeline, partnerships and the construction of foundation models across the multiple modalities of biology, chemistry and patient-centric data – we believe that this expansion should make our supercomputer a top 50 supercomputer across any industry according to the TOP500 list</w:t>
      </w:r>
    </w:p>
    <w:p>
      <w:pPr>
        <w:spacing w:after="0" w:line="18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1E1E1E"/>
        </w:rPr>
        <w:t>As one of the leading TechBio companies, Recursion has played a critical role in driving the pace and scale of adoption of new TechBio tools across the industry. And while I am very proud of how our team delivered in 2023, the most important shift for our business happened outside our walls this year. We finally found the ideas embedded in TechBio, and in particular the belief in the utility of AI in our industry, finding mainstream support among some of the larger and more traditional companies in the space.</w:t>
      </w:r>
    </w:p>
    <w:p>
      <w:pPr>
        <w:spacing w:after="0" w:line="17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1E1E1E"/>
        </w:rPr>
        <w:t>While there is no doubt there will be massive short-term volatility in the space, there is an increasing consensus among leaders in BioPharma that ML and AI are going to play a very important role over the coming decade. While we have incredible work before us, it feels as if we are no longer sailing into the wind, but now the wind is starting to shift to our backs. And I believe that there is no team in the world better prepared to sail fast in this new environment and continue to put deep blue water between us and many of our competitors as we look out over the coming years.</w:t>
      </w:r>
    </w:p>
    <w:p>
      <w:pPr>
        <w:spacing w:after="0" w:line="186" w:lineRule="exact"/>
        <w:rPr>
          <w:sz w:val="20"/>
          <w:szCs w:val="20"/>
          <w:color w:val="auto"/>
        </w:rPr>
      </w:pPr>
    </w:p>
    <w:p>
      <w:pPr>
        <w:spacing w:after="0"/>
        <w:rPr>
          <w:sz w:val="20"/>
          <w:szCs w:val="20"/>
          <w:color w:val="auto"/>
        </w:rPr>
      </w:pPr>
      <w:r>
        <w:rPr>
          <w:rFonts w:ascii="Arial" w:cs="Arial" w:eastAsia="Arial" w:hAnsi="Arial"/>
          <w:sz w:val="27"/>
          <w:szCs w:val="27"/>
          <w:b w:val="1"/>
          <w:bCs w:val="1"/>
          <w:color w:val="E3188A"/>
        </w:rPr>
        <w:t>Looking Out at 2024 and Beyond</w:t>
      </w:r>
    </w:p>
    <w:p>
      <w:pPr>
        <w:spacing w:after="0" w:line="13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1E1E1E"/>
        </w:rPr>
        <w:t>You could almost taste the shift in sentiment around TechBio at the J.P. Morgan Healthcare Conference at the beginning of this year when compared to years prior. While some skepticism still prevails, it no longer carries the room in most places as a shift towards cautious optimism permeates the executive teams and boards of the most powerful companies in our space.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Following the announcement of our partnership with NVIDIA in 2023, we co-hosted an event with them at the JP Morgan conference. We brought together members of the executive teams and boards of many of the largest biopharma companies in the world, many of the CEOs of leading TechBio companies, executives of leading tech companies, and investors and analysts who either already invest in or cover this convergence or are tempted to do so.</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1E1E1E"/>
        </w:rPr>
        <w:t>That evening, attendees heard from life science luminaries like Scott Gottlieb, Aviv Regev and Amy Abernethy as well as Jensen Huang, the CEO of NVIDIA. They heard conviction from those leaders about how clearly the trend of ML and AI will impact our industry going forward. What I found most interesting was how fluent the tech leaders among the group were in speaking the language of biopharma. Far more fluent, I would argue, than the leaders of biopharma are in speaking ‘tech.’ And that presents a risk for biopharma and an opportunity for companies like Recursion that are positioned as leaders in TechBio.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1412875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1125855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80" w:space="460"/>
            <w:col w:w="6340"/>
          </w:cols>
          <w:pgMar w:left="1100" w:top="1153" w:right="11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1923415</wp:posOffset>
            </wp:positionV>
            <wp:extent cx="1877060" cy="2289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706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hanging="80"/>
        <w:spacing w:after="0" w:line="286" w:lineRule="auto"/>
        <w:rPr>
          <w:sz w:val="20"/>
          <w:szCs w:val="20"/>
          <w:color w:val="auto"/>
        </w:rPr>
      </w:pPr>
      <w:r>
        <w:rPr>
          <w:rFonts w:ascii="Arial" w:cs="Arial" w:eastAsia="Arial" w:hAnsi="Arial"/>
          <w:sz w:val="25"/>
          <w:szCs w:val="25"/>
          <w:color w:val="523591"/>
        </w:rPr>
        <w:t>"We are a company building a platform to deliver many medicines over time."</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1E1E1E"/>
        </w:rPr>
        <w:t>But despite all the excitement around our space, we are part of an industry with a mission to alleviate suffering by bringing new, better medicines to patients. That is how we ultimately measure our impact. And as I look ahead to the next 18 months, Recursion will take meaningful steps toward that goal as we read out our first four phase 2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-2130425</wp:posOffset>
            </wp:positionH>
            <wp:positionV relativeFrom="paragraph">
              <wp:posOffset>-665480</wp:posOffset>
            </wp:positionV>
            <wp:extent cx="6172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7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1E1E1E"/>
        </w:rPr>
        <w:t>This is incredibly exciting as it represents the first opportunity for us to demonstrate utility for the patients we aim to serve. But it is also important to come into these initial readouts with a focus on how they can help us learn and tune our platform.</w:t>
      </w:r>
    </w:p>
    <w:p>
      <w:pPr>
        <w:spacing w:after="0" w:line="17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The trials that will read out this year are from the earliest iterations of our Recursion OS. They represent repurposing opportunities in rare genetic diseases we modeled using challenging tools like siRNA. New generations of our operating system using more and more powerful biology tools, chemistry tools and AI tools are leading us to identify and advance more exciting programs with some even already moving to the clinic.</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The industry average success rate for Phase 2 readouts is approximately 20-30%. This suggests that if even one of our upcoming four readouts demonstrates a useful signal, we are on the right track to developing meaningful potential treatments for patients. And while we hope to do better than that, for the good of all the patients we seek to treat, we are in this for the long-run and we will use every piece of data, positive or negative, to learn and feedback into the Recursion OS so that we can maximize our long term impact.</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1E1E1E"/>
        </w:rPr>
        <w:t>It is important to understand that we are not a company who built a platform to deliver a handful of medicines; we are a company who is building a platform to deliver many medicines over time. And if our thesis holds, our system should improve over time with decreasing rates of late-stage failures. We believe we have built an operating system capable of discovering and developing many medicines, both within our own pipeline and via partnerships with others in the industry.</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And beyond the excitement we all have for all we will learn from our first generation of programs reading out in the near term, we are also tremendously excited to be helping the rest of the industry adopt tools and technologies that can help them put the power of our operating system at their fingertips.</w:t>
      </w:r>
    </w:p>
    <w:p>
      <w:pPr>
        <w:spacing w:after="0" w:line="18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1E1E1E"/>
        </w:rPr>
        <w:t xml:space="preserve">We announced LOWE (Large Language Model Orchestrated Workflow Engine) at JP Morgan via a live software demonstration at the conference. Together with the audience we started a mock oncology program, from leveraging Recursion’s proprietary data to identify a target of interest in oncology, to designing and ordering potential small molecule modulators of the target, to scheduling follow-up experiments on our platform to evaluate the molecules in a first cycle of SAR. You can view a version of this demonstration and our software tool LOWE here: </w:t>
      </w:r>
      <w:r>
        <w:rPr>
          <w:rFonts w:ascii="Arial" w:cs="Arial" w:eastAsia="Arial" w:hAnsi="Arial"/>
          <w:sz w:val="16"/>
          <w:szCs w:val="16"/>
          <w:b w:val="1"/>
          <w:bCs w:val="1"/>
          <w:i w:val="1"/>
          <w:iCs w:val="1"/>
          <w:color w:val="1E1E1E"/>
        </w:rPr>
        <w:t>https://www.youtube.com/watch?</w:t>
      </w:r>
      <w:r>
        <w:rPr>
          <w:rFonts w:ascii="Arial" w:cs="Arial" w:eastAsia="Arial" w:hAnsi="Arial"/>
          <w:sz w:val="16"/>
          <w:szCs w:val="16"/>
          <w:color w:val="1E1E1E"/>
        </w:rPr>
        <w:t xml:space="preserve"> </w:t>
      </w:r>
      <w:r>
        <w:rPr>
          <w:rFonts w:ascii="Arial" w:cs="Arial" w:eastAsia="Arial" w:hAnsi="Arial"/>
          <w:sz w:val="16"/>
          <w:szCs w:val="16"/>
          <w:b w:val="1"/>
          <w:bCs w:val="1"/>
          <w:i w:val="1"/>
          <w:iCs w:val="1"/>
          <w:color w:val="1E1E1E"/>
        </w:rPr>
        <w:t>v=Hf1bb9rPQtE</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While this was a fun and exciting way to engage with the audience at JPM, we are actively discussing making LOWE available to various potential partners for deployment within their own R&amp;D engine. While we don’t know exactly what the future holds for LOWE, this represents an exciting new opportunity for Recursion to help accelerate the industry and the broader adoption of TechBio by integrating portions of our RecursionOS into the engine of other companies in the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904240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617220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40" w:space="620"/>
            <w:col w:w="6320"/>
          </w:cols>
          <w:pgMar w:left="1180" w:top="1151" w:right="1139" w:bottom="1440" w:gutter="0" w:footer="0" w:header="0"/>
        </w:sectPr>
      </w:pPr>
    </w:p>
    <w:bookmarkStart w:id="7" w:name="page8"/>
    <w:bookmarkEnd w:id="7"/>
    <w:p>
      <w:pPr>
        <w:ind w:hanging="80"/>
        <w:spacing w:after="0" w:line="282" w:lineRule="auto"/>
        <w:rPr>
          <w:sz w:val="20"/>
          <w:szCs w:val="20"/>
          <w:color w:val="auto"/>
        </w:rPr>
      </w:pPr>
      <w:r>
        <w:rPr>
          <w:rFonts w:ascii="Arial" w:cs="Arial" w:eastAsia="Arial" w:hAnsi="Arial"/>
          <w:sz w:val="25"/>
          <w:szCs w:val="25"/>
          <w:color w:val="523591"/>
        </w:rPr>
        <w:t>“From our perspective there are two key drivers that will determine the winners in this race: data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1788160</wp:posOffset>
            </wp:positionV>
            <wp:extent cx="1868805" cy="2366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68805" cy="2366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b w:val="1"/>
          <w:bCs w:val="1"/>
          <w:color w:val="E3188A"/>
        </w:rPr>
        <w:t>The Differentiator Will Be Data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-2117725</wp:posOffset>
            </wp:positionH>
            <wp:positionV relativeFrom="paragraph">
              <wp:posOffset>-314960</wp:posOffset>
            </wp:positionV>
            <wp:extent cx="61722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Extending our view out beyond the near term and over the next decade, it feels possible, and even probable, that there will be a small number of very powerful companies in TechBio who may supplant much of what we call BioTech today. Who will these companies be and how will they win?</w:t>
      </w:r>
    </w:p>
    <w:p>
      <w:pPr>
        <w:spacing w:after="0" w:line="167" w:lineRule="exact"/>
        <w:rPr>
          <w:sz w:val="20"/>
          <w:szCs w:val="20"/>
          <w:color w:val="auto"/>
        </w:rPr>
      </w:pPr>
    </w:p>
    <w:p>
      <w:pPr>
        <w:spacing w:after="0" w:line="280" w:lineRule="auto"/>
        <w:rPr>
          <w:sz w:val="20"/>
          <w:szCs w:val="20"/>
          <w:color w:val="auto"/>
        </w:rPr>
      </w:pPr>
      <w:r>
        <w:rPr>
          <w:rFonts w:ascii="Arial" w:cs="Arial" w:eastAsia="Arial" w:hAnsi="Arial"/>
          <w:sz w:val="16"/>
          <w:szCs w:val="16"/>
          <w:color w:val="1E1E1E"/>
        </w:rPr>
        <w:t>While compute is supply-constrained right now, it has also never been anywhere near as abundant as it is today. Table-stakes in this race over the next few years will be access to dedicated compute and robust ML/AI and software engineering teams. That is why Recursion has continued investing in BioHive-1, our on-premise supercomputer. We announced in late 2023 an expansion of the computer with our partners at NVIDIA that is likely to make it the fastest supercomputer wholly owned and operated by any biopharma company on Earth, including all the big ones. We also have an incredible, talented and growing team of ML researchers and engineers working to leverage this compute to advance the OS. We’ve grown both organically on these teams and by acquisition when needed. But as I said, these are table stakes.</w:t>
      </w:r>
    </w:p>
    <w:p>
      <w:pPr>
        <w:spacing w:after="0" w:line="176"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1E1E1E"/>
        </w:rPr>
        <w:t>From our perspective there are two key drivers that will determine the winners in this race: data and execution.</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6"/>
          <w:szCs w:val="16"/>
          <w:color w:val="1E1E1E"/>
        </w:rPr>
        <w:t>There is a divergence of opinions on what sort of data to use. There are those who believe that much of the data needed to solve the biggest problems in drug discovery and development exist today, either publicly or in the hands of large pharmaceutical companies. There is some evidence to support this idea; for example, the incredible progress in protein folding has been driven by sophisticated compute applied to the Protein Data Bank (PDB), a publicly available dataset. But there are few other examples in our field of data as robustly and carefully annotated as in the PDB. In fact, it is well-understood that the majority of data in the published literature cannot be recapitulated by other laboratories.</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1E1E1E"/>
        </w:rPr>
        <w:t>Turning to large pharmaceutical companies, who obviously have large quantities of data from their longstanding operations in drug discovery and development, we find more headwinds. First, few if any of these large datasets were built for the purpose of machine-learning. And while that doesn’t mean machine learning and AI cannot be a useful tool, the unimodal nature of the data in these sources and the lack of inter-experiment controls, especially from preclinical and clinical sides, will make it challenging to extract enough value. Further, the success of large language models trained across the internet and the subsequent lawsuits we are beginning to see from content purveyors whose data was used to train these models (e.g., https://www.nytimes.com/2023/12/27/business/media/new-york-times-open-ai-microsoft-lawsuit.html) should be making it clear to large pharma companies that they must be cautious about sharing these data.</w:t>
      </w:r>
    </w:p>
    <w:p>
      <w:pPr>
        <w:spacing w:after="0" w:line="19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1E1E1E"/>
        </w:rPr>
        <w:t>For all of the reasons above, at Recursion we have always believed that generating and aggregating large-scale, iterative many-modal data will be the fastest path to achieving our mission to decode biology. We have now done more than 200 million experiments across multiple -omics modalities. We have also signed our first data aggregation partnership with Tempus, where we now have access to the DNA and RNA-sequencing data of over 100K oncology patients on which we can train causal-AI models. And while each layer of our data is powerful, the true magic is found when we combine them together to train more general models of biology spanning massive cellular -omics data, animal omics data and human patient omics data. We believe this deeply enough that you can expect us to continue investing deeply in building data across new layers and partnering to aggregate the proprietary datasets we believe are key to our long-term ambition.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798195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511175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780" w:space="460"/>
            <w:col w:w="6360"/>
          </w:cols>
          <w:pgMar w:left="1180" w:top="1157" w:right="1119" w:bottom="1440" w:gutter="0" w:footer="0" w:header="0"/>
        </w:sectPr>
      </w:pPr>
    </w:p>
    <w:bookmarkStart w:id="8" w:name="page9"/>
    <w:bookmarkEnd w:id="8"/>
    <w:p>
      <w:pPr>
        <w:ind w:left="3000"/>
        <w:spacing w:after="0" w:line="277" w:lineRule="auto"/>
        <w:rPr>
          <w:sz w:val="20"/>
          <w:szCs w:val="20"/>
          <w:color w:val="auto"/>
        </w:rPr>
      </w:pPr>
      <w:r>
        <w:rPr>
          <w:rFonts w:ascii="Arial" w:cs="Arial" w:eastAsia="Arial" w:hAnsi="Arial"/>
          <w:sz w:val="16"/>
          <w:szCs w:val="16"/>
          <w:color w:val="1E1E1E"/>
        </w:rPr>
        <w:drawing>
          <wp:anchor simplePos="0" relativeHeight="251657728" behindDoc="1" locked="0" layoutInCell="0" allowOverlap="1">
            <wp:simplePos x="0" y="0"/>
            <wp:positionH relativeFrom="page">
              <wp:posOffset>688340</wp:posOffset>
            </wp:positionH>
            <wp:positionV relativeFrom="page">
              <wp:posOffset>620395</wp:posOffset>
            </wp:positionV>
            <wp:extent cx="6172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8255"/>
                    </a:xfrm>
                    <a:prstGeom prst="rect">
                      <a:avLst/>
                    </a:prstGeom>
                    <a:noFill/>
                  </pic:spPr>
                </pic:pic>
              </a:graphicData>
            </a:graphic>
          </wp:anchor>
        </w:drawing>
        <w:t>Finally, while it seems obvious to state that execution will be a differentiator in our space, the type of execution and the perspective from which decisions are made matters deeply here. The scale of the opportunity before us is so great that we are making decisions at Recursion which we believe are most likely to increase the probability of success that we are the first company to build a general utility AI model of biology. That is, to achieve our mission by decoding biology such that we can predict or simulate how any perturbation might affect not only a human cell, but a human patient. And while realization of that mission may take another decade or two, if a company were to achieve it well-ahead of other companies in the space or alongside a small set of other companies, there could be an opportunity to aggregate much of the multi-trillion dollar value of biopharma across one or a handful of companies, as opposed to the broad distribution of valuable companies we see in biopharma today (e.g. there are about a dozen public biopharma companies with market caps solidly above $100B as of writing this note). As such, we will make decisions that we believe increase the probability we will be one of a handful of big winners in this space versus decisions that increase the probability we achieve intermediate successes.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-1059180</wp:posOffset>
            </wp:positionV>
            <wp:extent cx="1808480" cy="20148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8480" cy="2014855"/>
                    </a:xfrm>
                    <a:prstGeom prst="rect">
                      <a:avLst/>
                    </a:prstGeom>
                    <a:noFill/>
                  </pic:spPr>
                </pic:pic>
              </a:graphicData>
            </a:graphic>
          </wp:anchor>
        </w:drawing>
      </w:r>
    </w:p>
    <w:p>
      <w:pPr>
        <w:spacing w:after="0" w:line="173" w:lineRule="exact"/>
        <w:rPr>
          <w:sz w:val="20"/>
          <w:szCs w:val="20"/>
          <w:color w:val="auto"/>
        </w:rPr>
      </w:pPr>
    </w:p>
    <w:p>
      <w:pPr>
        <w:ind w:left="3000" w:right="20"/>
        <w:spacing w:after="0" w:line="283" w:lineRule="auto"/>
        <w:rPr>
          <w:sz w:val="20"/>
          <w:szCs w:val="20"/>
          <w:color w:val="auto"/>
        </w:rPr>
      </w:pPr>
      <w:r>
        <w:rPr>
          <w:rFonts w:ascii="Arial" w:cs="Arial" w:eastAsia="Arial" w:hAnsi="Arial"/>
          <w:sz w:val="16"/>
          <w:szCs w:val="16"/>
          <w:color w:val="1E1E1E"/>
        </w:rPr>
        <w:t>The next decade is going to be absolutely incredible for biopharma, where the pace of change will be much higher than at any point in our past. While there is much more work to do to best take advantage of the creative destruction that is ahead, I cannot imagine many other teams who are more ready to take this on and prepared to win.</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6"/>
          <w:szCs w:val="16"/>
          <w:color w:val="1E1E1E"/>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89535</wp:posOffset>
            </wp:positionV>
            <wp:extent cx="77978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97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1E1E1E"/>
        </w:rPr>
        <w:t>Chris Gibson, Ph.D.</w:t>
      </w:r>
    </w:p>
    <w:p>
      <w:pPr>
        <w:spacing w:after="0" w:line="86" w:lineRule="exact"/>
        <w:rPr>
          <w:sz w:val="20"/>
          <w:szCs w:val="20"/>
          <w:color w:val="auto"/>
        </w:rPr>
      </w:pPr>
    </w:p>
    <w:p>
      <w:pPr>
        <w:ind w:left="3000"/>
        <w:spacing w:after="0"/>
        <w:rPr>
          <w:sz w:val="20"/>
          <w:szCs w:val="20"/>
          <w:color w:val="auto"/>
        </w:rPr>
      </w:pPr>
      <w:r>
        <w:rPr>
          <w:rFonts w:ascii="Arial" w:cs="Arial" w:eastAsia="Arial" w:hAnsi="Arial"/>
          <w:sz w:val="16"/>
          <w:szCs w:val="16"/>
          <w:color w:val="1E1E1E"/>
        </w:rPr>
        <w:t>Co-Founder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1045210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758190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40"/>
          </w:cols>
          <w:pgMar w:left="1440" w:top="1151" w:right="11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60" w:type="dxa"/>
            <w:vAlign w:val="bottom"/>
            <w:gridSpan w:val="11"/>
          </w:tcPr>
          <w:p>
            <w:pPr>
              <w:jc w:val="center"/>
              <w:ind w:right="4060"/>
              <w:spacing w:after="0"/>
              <w:rPr>
                <w:sz w:val="20"/>
                <w:szCs w:val="20"/>
                <w:color w:val="auto"/>
              </w:rPr>
            </w:pPr>
            <w:r>
              <w:rPr>
                <w:rFonts w:ascii="Arial" w:cs="Arial" w:eastAsia="Arial" w:hAnsi="Arial"/>
                <w:sz w:val="18"/>
                <w:szCs w:val="18"/>
                <w:b w:val="1"/>
                <w:bCs w:val="1"/>
                <w:color w:val="1E1E1E"/>
                <w:w w:val="98"/>
              </w:rPr>
              <w:t>TABLE OF CONTENTS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0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4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4"/>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740" w:type="dxa"/>
            <w:vAlign w:val="bottom"/>
          </w:tcPr>
          <w:p>
            <w:pPr>
              <w:spacing w:after="0"/>
              <w:rPr>
                <w:sz w:val="20"/>
                <w:szCs w:val="20"/>
                <w:color w:val="auto"/>
              </w:rPr>
            </w:pPr>
            <w:r>
              <w:rPr>
                <w:rFonts w:ascii="Arial" w:cs="Arial" w:eastAsia="Arial" w:hAnsi="Arial"/>
                <w:sz w:val="18"/>
                <w:szCs w:val="18"/>
                <w:color w:val="0000EE"/>
                <w:w w:val="98"/>
              </w:rPr>
              <w:t>Business</w:t>
            </w:r>
          </w:p>
        </w:tc>
        <w:tc>
          <w:tcPr>
            <w:tcW w:w="8500" w:type="dxa"/>
            <w:vAlign w:val="bottom"/>
            <w:gridSpan w:val="21"/>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0000EE"/>
                <w:w w:val="99"/>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4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260" w:type="dxa"/>
            <w:vAlign w:val="bottom"/>
            <w:gridSpan w:val="2"/>
          </w:tcPr>
          <w:p>
            <w:pPr>
              <w:jc w:val="center"/>
              <w:spacing w:after="0"/>
              <w:rPr>
                <w:sz w:val="20"/>
                <w:szCs w:val="20"/>
                <w:color w:val="auto"/>
              </w:rPr>
            </w:pPr>
            <w:r>
              <w:rPr>
                <w:rFonts w:ascii="Arial" w:cs="Arial" w:eastAsia="Arial" w:hAnsi="Arial"/>
                <w:sz w:val="18"/>
                <w:szCs w:val="18"/>
                <w:color w:val="0000EE"/>
                <w:w w:val="99"/>
              </w:rPr>
              <w:t>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260" w:type="dxa"/>
            <w:vAlign w:val="bottom"/>
            <w:gridSpan w:val="10"/>
          </w:tcPr>
          <w:p>
            <w:pPr>
              <w:spacing w:after="0"/>
              <w:rPr>
                <w:sz w:val="20"/>
                <w:szCs w:val="20"/>
                <w:color w:val="auto"/>
              </w:rPr>
            </w:pPr>
            <w:r>
              <w:rPr>
                <w:rFonts w:ascii="Arial" w:cs="Arial" w:eastAsia="Arial" w:hAnsi="Arial"/>
                <w:sz w:val="18"/>
                <w:szCs w:val="18"/>
                <w:color w:val="0000EE"/>
                <w:w w:val="99"/>
              </w:rPr>
              <w:t>Unresolved Staff Comments</w:t>
            </w:r>
          </w:p>
        </w:tc>
        <w:tc>
          <w:tcPr>
            <w:tcW w:w="6980" w:type="dxa"/>
            <w:vAlign w:val="bottom"/>
            <w:gridSpan w:val="12"/>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146</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IC.</w:t>
            </w:r>
          </w:p>
        </w:tc>
        <w:tc>
          <w:tcPr>
            <w:tcW w:w="2260" w:type="dxa"/>
            <w:vAlign w:val="bottom"/>
            <w:gridSpan w:val="10"/>
          </w:tcPr>
          <w:p>
            <w:pPr>
              <w:spacing w:after="0"/>
              <w:rPr>
                <w:sz w:val="20"/>
                <w:szCs w:val="20"/>
                <w:color w:val="auto"/>
              </w:rPr>
            </w:pPr>
            <w:r>
              <w:rPr>
                <w:rFonts w:ascii="Arial" w:cs="Arial" w:eastAsia="Arial" w:hAnsi="Arial"/>
                <w:sz w:val="18"/>
                <w:szCs w:val="18"/>
                <w:color w:val="0000FF"/>
              </w:rPr>
              <w:t>Cybersecurity</w:t>
            </w:r>
          </w:p>
        </w:tc>
        <w:tc>
          <w:tcPr>
            <w:tcW w:w="6980" w:type="dxa"/>
            <w:vAlign w:val="bottom"/>
            <w:gridSpan w:val="12"/>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146</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1100" w:type="dxa"/>
            <w:vAlign w:val="bottom"/>
            <w:gridSpan w:val="5"/>
          </w:tcPr>
          <w:p>
            <w:pPr>
              <w:spacing w:after="0"/>
              <w:rPr>
                <w:sz w:val="20"/>
                <w:szCs w:val="20"/>
                <w:color w:val="auto"/>
              </w:rPr>
            </w:pPr>
            <w:r>
              <w:rPr>
                <w:rFonts w:ascii="Arial" w:cs="Arial" w:eastAsia="Arial" w:hAnsi="Arial"/>
                <w:sz w:val="18"/>
                <w:szCs w:val="18"/>
                <w:color w:val="0000EE"/>
              </w:rPr>
              <w:t>Properties</w:t>
            </w:r>
          </w:p>
        </w:tc>
        <w:tc>
          <w:tcPr>
            <w:tcW w:w="8140" w:type="dxa"/>
            <w:vAlign w:val="bottom"/>
            <w:gridSpan w:val="17"/>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147</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500" w:type="dxa"/>
            <w:vAlign w:val="bottom"/>
            <w:gridSpan w:val="7"/>
          </w:tcPr>
          <w:p>
            <w:pPr>
              <w:spacing w:after="0"/>
              <w:rPr>
                <w:sz w:val="20"/>
                <w:szCs w:val="20"/>
                <w:color w:val="auto"/>
              </w:rPr>
            </w:pPr>
            <w:r>
              <w:rPr>
                <w:rFonts w:ascii="Arial" w:cs="Arial" w:eastAsia="Arial" w:hAnsi="Arial"/>
                <w:sz w:val="18"/>
                <w:szCs w:val="18"/>
                <w:color w:val="0000EE"/>
                <w:w w:val="99"/>
              </w:rPr>
              <w:t>Legal Proceedings</w:t>
            </w:r>
          </w:p>
        </w:tc>
        <w:tc>
          <w:tcPr>
            <w:tcW w:w="7740" w:type="dxa"/>
            <w:vAlign w:val="bottom"/>
            <w:gridSpan w:val="15"/>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147</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22"/>
          </w:tcPr>
          <w:p>
            <w:pPr>
              <w:spacing w:after="0"/>
              <w:rPr>
                <w:sz w:val="20"/>
                <w:szCs w:val="20"/>
                <w:color w:val="auto"/>
              </w:rPr>
            </w:pPr>
            <w:r>
              <w:rPr>
                <w:rFonts w:ascii="Arial" w:cs="Arial" w:eastAsia="Arial" w:hAnsi="Arial"/>
                <w:sz w:val="18"/>
                <w:szCs w:val="18"/>
                <w:color w:val="0000EE"/>
              </w:rPr>
              <w:t>Mine Safety Disclosures</w:t>
            </w: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147</w:t>
            </w: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b w:val="1"/>
                <w:bCs w:val="1"/>
                <w:color w:val="0000EE"/>
              </w:rPr>
              <w:t>Part II</w:t>
            </w:r>
          </w:p>
        </w:tc>
        <w:tc>
          <w:tcPr>
            <w:tcW w:w="7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21"/>
          </w:tcPr>
          <w:p>
            <w:pPr>
              <w:spacing w:after="0"/>
              <w:rPr>
                <w:sz w:val="20"/>
                <w:szCs w:val="20"/>
                <w:color w:val="auto"/>
              </w:rPr>
            </w:pPr>
            <w:r>
              <w:rPr>
                <w:rFonts w:ascii="Arial" w:cs="Arial" w:eastAsia="Arial" w:hAnsi="Arial"/>
                <w:sz w:val="18"/>
                <w:szCs w:val="18"/>
                <w:color w:val="0000EE"/>
                <w:w w:val="99"/>
              </w:rPr>
              <w:t>Market for Registrant's Common Equity, Related Stockholder Matters and Issuer Purchases of Equity Securities</w:t>
            </w:r>
          </w:p>
        </w:tc>
        <w:tc>
          <w:tcPr>
            <w:tcW w:w="360" w:type="dxa"/>
            <w:vAlign w:val="bottom"/>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148</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80" w:type="dxa"/>
            <w:vAlign w:val="bottom"/>
            <w:gridSpan w:val="3"/>
          </w:tcPr>
          <w:p>
            <w:pPr>
              <w:spacing w:after="0"/>
              <w:rPr>
                <w:sz w:val="20"/>
                <w:szCs w:val="20"/>
                <w:color w:val="auto"/>
              </w:rPr>
            </w:pPr>
            <w:r>
              <w:rPr>
                <w:rFonts w:ascii="Arial" w:cs="Arial" w:eastAsia="Arial" w:hAnsi="Arial"/>
                <w:sz w:val="18"/>
                <w:szCs w:val="18"/>
                <w:color w:val="0000EE"/>
                <w:w w:val="96"/>
              </w:rPr>
              <w:t>[Reserved]</w:t>
            </w:r>
          </w:p>
        </w:tc>
        <w:tc>
          <w:tcPr>
            <w:tcW w:w="8000" w:type="dxa"/>
            <w:vAlign w:val="bottom"/>
            <w:gridSpan w:val="18"/>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150</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8"/>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160" w:type="dxa"/>
            <w:vAlign w:val="bottom"/>
            <w:gridSpan w:val="4"/>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152</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720" w:type="dxa"/>
            <w:vAlign w:val="bottom"/>
            <w:gridSpan w:val="15"/>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3"/>
          </w:tcPr>
          <w:p>
            <w:pPr>
              <w:spacing w:after="0"/>
              <w:rPr>
                <w:sz w:val="18"/>
                <w:szCs w:val="18"/>
                <w:color w:val="auto"/>
              </w:rPr>
            </w:pPr>
          </w:p>
        </w:tc>
        <w:tc>
          <w:tcPr>
            <w:tcW w:w="2160" w:type="dxa"/>
            <w:vAlign w:val="bottom"/>
            <w:gridSpan w:val="4"/>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161</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720" w:type="dxa"/>
            <w:vAlign w:val="bottom"/>
            <w:gridSpan w:val="15"/>
          </w:tcPr>
          <w:p>
            <w:pPr>
              <w:spacing w:after="0"/>
              <w:rPr>
                <w:sz w:val="20"/>
                <w:szCs w:val="20"/>
                <w:color w:val="auto"/>
              </w:rPr>
            </w:pPr>
            <w:r>
              <w:rPr>
                <w:rFonts w:ascii="Arial" w:cs="Arial" w:eastAsia="Arial" w:hAnsi="Arial"/>
                <w:sz w:val="18"/>
                <w:szCs w:val="18"/>
                <w:color w:val="0000EE"/>
              </w:rPr>
              <w:t>Financial Statements and Supplementary Data</w:t>
            </w:r>
          </w:p>
        </w:tc>
        <w:tc>
          <w:tcPr>
            <w:tcW w:w="4520" w:type="dxa"/>
            <w:vAlign w:val="bottom"/>
            <w:gridSpan w:val="7"/>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164</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240" w:type="dxa"/>
            <w:vAlign w:val="bottom"/>
            <w:gridSpan w:val="22"/>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Disclosures</w:t>
            </w: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196</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2000" w:type="dxa"/>
            <w:vAlign w:val="bottom"/>
            <w:gridSpan w:val="9"/>
          </w:tcPr>
          <w:p>
            <w:pPr>
              <w:spacing w:after="0"/>
              <w:rPr>
                <w:sz w:val="20"/>
                <w:szCs w:val="20"/>
                <w:color w:val="auto"/>
              </w:rPr>
            </w:pPr>
            <w:r>
              <w:rPr>
                <w:rFonts w:ascii="Arial" w:cs="Arial" w:eastAsia="Arial" w:hAnsi="Arial"/>
                <w:sz w:val="18"/>
                <w:szCs w:val="18"/>
                <w:color w:val="0000EE"/>
                <w:w w:val="98"/>
              </w:rPr>
              <w:t>Controls and Procedures</w:t>
            </w:r>
          </w:p>
        </w:tc>
        <w:tc>
          <w:tcPr>
            <w:tcW w:w="5260" w:type="dxa"/>
            <w:vAlign w:val="bottom"/>
            <w:gridSpan w:val="10"/>
          </w:tcPr>
          <w:p>
            <w:pPr>
              <w:spacing w:after="0"/>
              <w:rPr>
                <w:sz w:val="18"/>
                <w:szCs w:val="18"/>
                <w:color w:val="auto"/>
              </w:rPr>
            </w:pPr>
          </w:p>
        </w:tc>
        <w:tc>
          <w:tcPr>
            <w:tcW w:w="1980" w:type="dxa"/>
            <w:vAlign w:val="bottom"/>
            <w:gridSpan w:val="3"/>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196</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2000" w:type="dxa"/>
            <w:vAlign w:val="bottom"/>
            <w:gridSpan w:val="9"/>
          </w:tcPr>
          <w:p>
            <w:pPr>
              <w:spacing w:after="0"/>
              <w:rPr>
                <w:sz w:val="20"/>
                <w:szCs w:val="20"/>
                <w:color w:val="auto"/>
              </w:rPr>
            </w:pPr>
            <w:r>
              <w:rPr>
                <w:rFonts w:ascii="Arial" w:cs="Arial" w:eastAsia="Arial" w:hAnsi="Arial"/>
                <w:sz w:val="18"/>
                <w:szCs w:val="18"/>
                <w:color w:val="0000EE"/>
              </w:rPr>
              <w:t>Other Information</w:t>
            </w:r>
          </w:p>
        </w:tc>
        <w:tc>
          <w:tcPr>
            <w:tcW w:w="7240" w:type="dxa"/>
            <w:vAlign w:val="bottom"/>
            <w:gridSpan w:val="13"/>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197</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24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197</w:t>
            </w: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8"/>
              </w:rPr>
              <w:t>Part III</w:t>
            </w:r>
          </w:p>
        </w:tc>
        <w:tc>
          <w:tcPr>
            <w:tcW w:w="860" w:type="dxa"/>
            <w:vAlign w:val="bottom"/>
            <w:gridSpan w:val="2"/>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240" w:type="dxa"/>
            <w:vAlign w:val="bottom"/>
            <w:gridSpan w:val="22"/>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198</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2000" w:type="dxa"/>
            <w:vAlign w:val="bottom"/>
            <w:gridSpan w:val="9"/>
          </w:tcPr>
          <w:p>
            <w:pPr>
              <w:spacing w:after="0"/>
              <w:rPr>
                <w:sz w:val="20"/>
                <w:szCs w:val="20"/>
                <w:color w:val="auto"/>
              </w:rPr>
            </w:pPr>
            <w:r>
              <w:rPr>
                <w:rFonts w:ascii="Arial" w:cs="Arial" w:eastAsia="Arial" w:hAnsi="Arial"/>
                <w:sz w:val="18"/>
                <w:szCs w:val="18"/>
                <w:color w:val="0000EE"/>
                <w:w w:val="98"/>
              </w:rPr>
              <w:t>Executive Compensation</w:t>
            </w:r>
          </w:p>
        </w:tc>
        <w:tc>
          <w:tcPr>
            <w:tcW w:w="2500" w:type="dxa"/>
            <w:vAlign w:val="bottom"/>
            <w:gridSpan w:val="5"/>
          </w:tcPr>
          <w:p>
            <w:pPr>
              <w:spacing w:after="0"/>
              <w:rPr>
                <w:sz w:val="18"/>
                <w:szCs w:val="18"/>
                <w:color w:val="auto"/>
              </w:rPr>
            </w:pPr>
          </w:p>
        </w:tc>
        <w:tc>
          <w:tcPr>
            <w:tcW w:w="4740" w:type="dxa"/>
            <w:vAlign w:val="bottom"/>
            <w:gridSpan w:val="8"/>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198</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240" w:type="dxa"/>
            <w:vAlign w:val="bottom"/>
            <w:gridSpan w:val="22"/>
          </w:tcPr>
          <w:p>
            <w:pPr>
              <w:spacing w:after="0"/>
              <w:rPr>
                <w:sz w:val="20"/>
                <w:szCs w:val="20"/>
                <w:color w:val="auto"/>
              </w:rPr>
            </w:pPr>
            <w:r>
              <w:rPr>
                <w:rFonts w:ascii="Arial" w:cs="Arial" w:eastAsia="Arial" w:hAnsi="Arial"/>
                <w:sz w:val="18"/>
                <w:szCs w:val="18"/>
                <w:color w:val="0000EE"/>
              </w:rPr>
              <w:t>Security Ownership of Certain Beneficial Owner and Management and Related Stockholder Matters</w:t>
            </w: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198</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920" w:type="dxa"/>
            <w:vAlign w:val="bottom"/>
            <w:gridSpan w:val="20"/>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1320" w:type="dxa"/>
            <w:vAlign w:val="bottom"/>
            <w:gridSpan w:val="2"/>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198</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6020" w:type="dxa"/>
            <w:vAlign w:val="bottom"/>
            <w:gridSpan w:val="17"/>
          </w:tcPr>
          <w:p>
            <w:pPr>
              <w:spacing w:after="0"/>
              <w:rPr>
                <w:sz w:val="20"/>
                <w:szCs w:val="20"/>
                <w:color w:val="auto"/>
              </w:rPr>
            </w:pPr>
            <w:r>
              <w:rPr>
                <w:rFonts w:ascii="Arial" w:cs="Arial" w:eastAsia="Arial" w:hAnsi="Arial"/>
                <w:sz w:val="18"/>
                <w:szCs w:val="18"/>
                <w:color w:val="0000EE"/>
              </w:rPr>
              <w:t>Principal Accounting Fees and Services</w:t>
            </w:r>
          </w:p>
        </w:tc>
        <w:tc>
          <w:tcPr>
            <w:tcW w:w="3220" w:type="dxa"/>
            <w:vAlign w:val="bottom"/>
            <w:gridSpan w:val="5"/>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198</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IV</w:t>
            </w:r>
          </w:p>
        </w:tc>
        <w:tc>
          <w:tcPr>
            <w:tcW w:w="840" w:type="dxa"/>
            <w:vAlign w:val="bottom"/>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520" w:type="dxa"/>
            <w:vAlign w:val="bottom"/>
            <w:gridSpan w:val="12"/>
          </w:tcPr>
          <w:p>
            <w:pPr>
              <w:spacing w:after="0"/>
              <w:rPr>
                <w:sz w:val="20"/>
                <w:szCs w:val="20"/>
                <w:color w:val="auto"/>
              </w:rPr>
            </w:pPr>
            <w:r>
              <w:rPr>
                <w:rFonts w:ascii="Arial" w:cs="Arial" w:eastAsia="Arial" w:hAnsi="Arial"/>
                <w:sz w:val="18"/>
                <w:szCs w:val="18"/>
                <w:color w:val="0000EE"/>
                <w:w w:val="99"/>
              </w:rPr>
              <w:t>Exhibits and Financial Statement Schedules</w:t>
            </w:r>
          </w:p>
        </w:tc>
        <w:tc>
          <w:tcPr>
            <w:tcW w:w="5720" w:type="dxa"/>
            <w:vAlign w:val="bottom"/>
            <w:gridSpan w:val="10"/>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199</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1680" w:type="dxa"/>
            <w:vAlign w:val="bottom"/>
            <w:gridSpan w:val="8"/>
          </w:tcPr>
          <w:p>
            <w:pPr>
              <w:spacing w:after="0"/>
              <w:rPr>
                <w:sz w:val="20"/>
                <w:szCs w:val="20"/>
                <w:color w:val="auto"/>
              </w:rPr>
            </w:pPr>
            <w:r>
              <w:rPr>
                <w:rFonts w:ascii="Arial" w:cs="Arial" w:eastAsia="Arial" w:hAnsi="Arial"/>
                <w:sz w:val="18"/>
                <w:szCs w:val="18"/>
                <w:color w:val="0000EE"/>
                <w:w w:val="99"/>
              </w:rPr>
              <w:t>Form 10-K Summary</w:t>
            </w:r>
          </w:p>
        </w:tc>
        <w:tc>
          <w:tcPr>
            <w:tcW w:w="1840" w:type="dxa"/>
            <w:vAlign w:val="bottom"/>
            <w:gridSpan w:val="4"/>
          </w:tcPr>
          <w:p>
            <w:pPr>
              <w:spacing w:after="0"/>
              <w:rPr>
                <w:sz w:val="18"/>
                <w:szCs w:val="18"/>
                <w:color w:val="auto"/>
              </w:rPr>
            </w:pPr>
          </w:p>
        </w:tc>
        <w:tc>
          <w:tcPr>
            <w:tcW w:w="5720" w:type="dxa"/>
            <w:vAlign w:val="bottom"/>
            <w:gridSpan w:val="10"/>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201</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EE"/>
              </w:rPr>
              <w:t>Signatures</w:t>
            </w:r>
          </w:p>
        </w:tc>
        <w:tc>
          <w:tcPr>
            <w:tcW w:w="7560" w:type="dxa"/>
            <w:vAlign w:val="bottom"/>
            <w:gridSpan w:val="14"/>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8"/>
                <w:szCs w:val="18"/>
                <w:color w:val="0000EE"/>
                <w:w w:val="99"/>
              </w:rPr>
              <w:t>202</w:t>
            </w:r>
          </w:p>
        </w:tc>
        <w:tc>
          <w:tcPr>
            <w:tcW w:w="220" w:type="dxa"/>
            <w:vAlign w:val="bottom"/>
          </w:tcPr>
          <w:p>
            <w:pPr>
              <w:spacing w:after="0"/>
              <w:rPr>
                <w:sz w:val="18"/>
                <w:szCs w:val="18"/>
                <w:color w:val="auto"/>
              </w:rPr>
            </w:pPr>
          </w:p>
        </w:tc>
      </w:tr>
      <w:tr>
        <w:trPr>
          <w:trHeight w:val="92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Borders>
              <w:top w:val="single" w:sz="8" w:color="0000EE"/>
            </w:tcBorders>
            <w:gridSpan w:val="3"/>
          </w:tcPr>
          <w:p>
            <w:pPr>
              <w:spacing w:after="0"/>
              <w:rPr>
                <w:sz w:val="24"/>
                <w:szCs w:val="24"/>
                <w:color w:val="auto"/>
              </w:rPr>
            </w:pPr>
          </w:p>
        </w:tc>
        <w:tc>
          <w:tcPr>
            <w:tcW w:w="3620" w:type="dxa"/>
            <w:vAlign w:val="bottom"/>
            <w:gridSpan w:val="11"/>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Below is a summary of the principal factors that make an investment in the common stock of Recursion Pharmaceuticals, Inc. (Recursion, the Company, we, us, or our) risky or speculative. This summary does not address all of the risks we face. Additional discussion of the risks summarized below, and other risks that we face, can be found in the section titled “Item 1A. Risk Factors” in this Annual Report on Form 10-K.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Limited Operating History, Financial Position, and Need for Additional Capital</w:t>
      </w:r>
    </w:p>
    <w:p>
      <w:pPr>
        <w:ind w:left="660" w:right="860" w:hanging="409"/>
        <w:spacing w:after="0" w:line="234"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 clinical-stage biotechnology company with a limited operating history and no products approved by regulators for commercial sale, which may make it difficult to evaluate our current and future business prospects</w:t>
      </w:r>
    </w:p>
    <w:p>
      <w:pPr>
        <w:spacing w:after="0" w:line="1" w:lineRule="exact"/>
        <w:rPr>
          <w:rFonts w:ascii="Arial" w:cs="Arial" w:eastAsia="Arial" w:hAnsi="Arial"/>
          <w:sz w:val="18"/>
          <w:szCs w:val="18"/>
          <w:color w:val="auto"/>
        </w:rPr>
      </w:pPr>
    </w:p>
    <w:p>
      <w:pPr>
        <w:ind w:left="660" w:right="920" w:hanging="409"/>
        <w:spacing w:after="0" w:line="234"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incur continued losses for the foreseeable future.</w:t>
      </w:r>
    </w:p>
    <w:p>
      <w:pPr>
        <w:spacing w:after="0" w:line="1" w:lineRule="exact"/>
        <w:rPr>
          <w:rFonts w:ascii="Arial" w:cs="Arial" w:eastAsia="Arial" w:hAnsi="Arial"/>
          <w:sz w:val="18"/>
          <w:szCs w:val="18"/>
          <w:color w:val="auto"/>
        </w:rPr>
      </w:pPr>
    </w:p>
    <w:p>
      <w:pPr>
        <w:ind w:left="660" w:right="280" w:hanging="409"/>
        <w:spacing w:after="0" w:line="234"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we would be forced to delay, reduce, or eliminate at least some of our product development programs, business development plans, strategic investments, and potential commercialization efforts, and to possibly cease operations.</w:t>
      </w:r>
    </w:p>
    <w:p>
      <w:pPr>
        <w:spacing w:after="0" w:line="2" w:lineRule="exact"/>
        <w:rPr>
          <w:rFonts w:ascii="Arial" w:cs="Arial" w:eastAsia="Arial" w:hAnsi="Arial"/>
          <w:sz w:val="18"/>
          <w:szCs w:val="18"/>
          <w:color w:val="auto"/>
        </w:rPr>
      </w:pPr>
    </w:p>
    <w:p>
      <w:pPr>
        <w:ind w:left="660" w:right="160" w:hanging="409"/>
        <w:spacing w:after="0" w:line="234"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Raising additional capital and issuing additional securities may cause dilution to our stockholders, restrict our operations, require us to relinquish rights to our technologies or drug candidates, and divert management’s attention from our core business.</w:t>
      </w:r>
    </w:p>
    <w:p>
      <w:pPr>
        <w:spacing w:after="0" w:line="1" w:lineRule="exact"/>
        <w:rPr>
          <w:rFonts w:ascii="Arial" w:cs="Arial" w:eastAsia="Arial" w:hAnsi="Arial"/>
          <w:sz w:val="18"/>
          <w:szCs w:val="18"/>
          <w:color w:val="auto"/>
        </w:rPr>
      </w:pPr>
    </w:p>
    <w:p>
      <w:pPr>
        <w:ind w:left="660" w:right="220" w:hanging="409"/>
        <w:spacing w:after="0" w:line="230"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engaged in strategic collaborations and we intend to seek to establish additional collaborations, including for the clinical development or commercialization of our drug candidates. If we are unable to establish collaborations on commercially reasonable terms or at all, or if current and future collaborations are not successful, we may have to alter our development and commercialization plans.</w:t>
      </w:r>
    </w:p>
    <w:p>
      <w:pPr>
        <w:spacing w:after="0" w:line="3" w:lineRule="exact"/>
        <w:rPr>
          <w:rFonts w:ascii="Arial" w:cs="Arial" w:eastAsia="Arial" w:hAnsi="Arial"/>
          <w:sz w:val="18"/>
          <w:szCs w:val="18"/>
          <w:color w:val="auto"/>
        </w:rPr>
      </w:pPr>
    </w:p>
    <w:p>
      <w:pPr>
        <w:ind w:left="660" w:right="120" w:hanging="409"/>
        <w:spacing w:after="0" w:line="234"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have not generated any revenue from product sales. We or our current and future collaborators may never successfully develop and commercialize our drug candidates, which would negatively affect our results of operation and our ability to continue our business operations.</w:t>
      </w:r>
    </w:p>
    <w:p>
      <w:pPr>
        <w:spacing w:after="0" w:line="2" w:lineRule="exact"/>
        <w:rPr>
          <w:rFonts w:ascii="Arial" w:cs="Arial" w:eastAsia="Arial" w:hAnsi="Arial"/>
          <w:sz w:val="18"/>
          <w:szCs w:val="18"/>
          <w:color w:val="auto"/>
        </w:rPr>
      </w:pPr>
    </w:p>
    <w:p>
      <w:pPr>
        <w:ind w:left="660" w:hanging="409"/>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engage in future acquisitions or strategic partnerships, this may increase our capital requirements, dilute our stockholders’</w:t>
      </w:r>
    </w:p>
    <w:p>
      <w:pPr>
        <w:ind w:left="660"/>
        <w:spacing w:after="0" w:line="235" w:lineRule="auto"/>
        <w:rPr>
          <w:sz w:val="20"/>
          <w:szCs w:val="20"/>
          <w:color w:val="auto"/>
        </w:rPr>
      </w:pPr>
      <w:r>
        <w:rPr>
          <w:rFonts w:ascii="Arial" w:cs="Arial" w:eastAsia="Arial" w:hAnsi="Arial"/>
          <w:sz w:val="18"/>
          <w:szCs w:val="18"/>
          <w:color w:val="auto"/>
        </w:rPr>
        <w:t>equity, cause us to incur debt or assume contingent liabilities, and subject us to other risks.</w:t>
      </w:r>
    </w:p>
    <w:p>
      <w:pPr>
        <w:spacing w:after="0" w:line="235" w:lineRule="auto"/>
        <w:rPr>
          <w:sz w:val="20"/>
          <w:szCs w:val="20"/>
          <w:color w:val="auto"/>
        </w:rPr>
      </w:pPr>
      <w:r>
        <w:rPr>
          <w:rFonts w:ascii="Arial" w:cs="Arial" w:eastAsia="Arial" w:hAnsi="Arial"/>
          <w:sz w:val="18"/>
          <w:szCs w:val="18"/>
          <w:i w:val="1"/>
          <w:iCs w:val="1"/>
          <w:color w:val="auto"/>
        </w:rPr>
        <w:t>Risks Related to the Discovery and Development of Drug Candidates</w:t>
      </w:r>
    </w:p>
    <w:p>
      <w:pPr>
        <w:ind w:left="660" w:right="20" w:hanging="409"/>
        <w:spacing w:after="0" w:line="234"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approach to drug discovery is unique and may not lead to successful drug products for various reasons, including, but not limited to, challenges identifying mechanisms of action for our candidates.</w:t>
      </w:r>
    </w:p>
    <w:p>
      <w:pPr>
        <w:spacing w:after="0" w:line="1" w:lineRule="exact"/>
        <w:rPr>
          <w:rFonts w:ascii="Arial" w:cs="Arial" w:eastAsia="Arial" w:hAnsi="Arial"/>
          <w:sz w:val="18"/>
          <w:szCs w:val="18"/>
          <w:color w:val="auto"/>
        </w:rPr>
      </w:pPr>
    </w:p>
    <w:p>
      <w:pPr>
        <w:ind w:left="660" w:right="160" w:hanging="409"/>
        <w:spacing w:after="0" w:line="234"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drug candidates are in preclinical or clinical development, which are lengthy and expensive processes with uncertain outcomes and the potential for substantial delays.</w:t>
      </w:r>
    </w:p>
    <w:p>
      <w:pPr>
        <w:spacing w:after="0" w:line="1" w:lineRule="exact"/>
        <w:rPr>
          <w:rFonts w:ascii="Arial" w:cs="Arial" w:eastAsia="Arial" w:hAnsi="Arial"/>
          <w:sz w:val="18"/>
          <w:szCs w:val="18"/>
          <w:color w:val="auto"/>
        </w:rPr>
      </w:pPr>
    </w:p>
    <w:p>
      <w:pPr>
        <w:ind w:left="660" w:hanging="409"/>
        <w:spacing w:after="0" w:line="234"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1" w:lineRule="exact"/>
        <w:rPr>
          <w:rFonts w:ascii="Arial" w:cs="Arial" w:eastAsia="Arial" w:hAnsi="Arial"/>
          <w:sz w:val="18"/>
          <w:szCs w:val="18"/>
          <w:color w:val="auto"/>
        </w:rPr>
      </w:pPr>
    </w:p>
    <w:p>
      <w:pPr>
        <w:ind w:left="660" w:right="160" w:hanging="409"/>
        <w:spacing w:after="0" w:line="229"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planned clinical trials, or those of our current and potential future collaborators, may not be successful or may reveal significant adverse events not seen in our preclinical or nonclinical studies, which may result in a safety profile that could inhibit regulatory approval or market acceptance of any of our drug candidates.</w:t>
      </w:r>
    </w:p>
    <w:p>
      <w:pPr>
        <w:spacing w:after="0" w:line="1" w:lineRule="exact"/>
        <w:rPr>
          <w:rFonts w:ascii="Arial" w:cs="Arial" w:eastAsia="Arial" w:hAnsi="Arial"/>
          <w:sz w:val="18"/>
          <w:szCs w:val="18"/>
          <w:color w:val="auto"/>
        </w:rPr>
      </w:pPr>
    </w:p>
    <w:p>
      <w:pPr>
        <w:ind w:left="660" w:right="300" w:hanging="409"/>
        <w:spacing w:after="0" w:line="234"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conduct clinical trials for our drug candidates outside the United States, and the FDA and similar foreign regulatory authorities may not accept data from such trials.</w:t>
      </w:r>
    </w:p>
    <w:p>
      <w:pPr>
        <w:spacing w:after="0" w:line="1" w:lineRule="exact"/>
        <w:rPr>
          <w:rFonts w:ascii="Arial" w:cs="Arial" w:eastAsia="Arial" w:hAnsi="Arial"/>
          <w:sz w:val="18"/>
          <w:szCs w:val="18"/>
          <w:color w:val="auto"/>
        </w:rPr>
      </w:pPr>
    </w:p>
    <w:p>
      <w:pPr>
        <w:ind w:left="660" w:right="180" w:hanging="409"/>
        <w:spacing w:after="0" w:line="248" w:lineRule="auto"/>
        <w:tabs>
          <w:tab w:leader="none" w:pos="6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 is difficult to establish with precision the incidence and prevalence for target patient populations of our drug candidates.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 w:lineRule="exact"/>
        <w:rPr>
          <w:rFonts w:ascii="Arial" w:cs="Arial" w:eastAsia="Arial" w:hAnsi="Arial"/>
          <w:sz w:val="17"/>
          <w:szCs w:val="17"/>
          <w:color w:val="auto"/>
        </w:rPr>
      </w:pPr>
    </w:p>
    <w:p>
      <w:pPr>
        <w:ind w:left="660" w:hanging="409"/>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never realize a return on our investment of resources and cash in our drug discovery collaborations.</w:t>
      </w:r>
    </w:p>
    <w:p>
      <w:pPr>
        <w:ind w:left="660" w:right="320" w:hanging="409"/>
        <w:spacing w:after="0" w:line="234"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 w:lineRule="exact"/>
        <w:rPr>
          <w:rFonts w:ascii="Arial" w:cs="Arial" w:eastAsia="Arial" w:hAnsi="Arial"/>
          <w:sz w:val="18"/>
          <w:szCs w:val="18"/>
          <w:color w:val="auto"/>
        </w:rPr>
      </w:pPr>
    </w:p>
    <w:p>
      <w:pPr>
        <w:ind w:left="660" w:hanging="409"/>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we have multiple programs and drug candidates in our development pipeline and are pursuing a variety of target indications</w:t>
      </w:r>
    </w:p>
    <w:p>
      <w:pPr>
        <w:spacing w:after="0" w:line="1" w:lineRule="exact"/>
        <w:rPr>
          <w:sz w:val="20"/>
          <w:szCs w:val="20"/>
          <w:color w:val="auto"/>
        </w:rPr>
      </w:pPr>
    </w:p>
    <w:p>
      <w:pPr>
        <w:ind w:left="660" w:right="560"/>
        <w:spacing w:after="0"/>
        <w:rPr>
          <w:sz w:val="20"/>
          <w:szCs w:val="20"/>
          <w:color w:val="auto"/>
        </w:rPr>
      </w:pPr>
      <w:r>
        <w:rPr>
          <w:rFonts w:ascii="Arial" w:cs="Arial" w:eastAsia="Arial" w:hAnsi="Arial"/>
          <w:sz w:val="17"/>
          <w:szCs w:val="17"/>
          <w:color w:val="auto"/>
        </w:rPr>
        <w:t>and treatment modalities, we may expend our limited resources to pursue a particular drug candidate and fail to capitalize on development opportunities or drug candidates that may be more profitable or for which there is a greater likelihood of success.</w:t>
      </w:r>
    </w:p>
    <w:p>
      <w:pPr>
        <w:spacing w:after="0" w:line="235" w:lineRule="auto"/>
        <w:rPr>
          <w:sz w:val="20"/>
          <w:szCs w:val="20"/>
          <w:color w:val="auto"/>
        </w:rPr>
      </w:pPr>
      <w:r>
        <w:rPr>
          <w:rFonts w:ascii="Arial" w:cs="Arial" w:eastAsia="Arial" w:hAnsi="Arial"/>
          <w:sz w:val="18"/>
          <w:szCs w:val="18"/>
          <w:i w:val="1"/>
          <w:iCs w:val="1"/>
          <w:color w:val="auto"/>
        </w:rPr>
        <w:t>Risks Related to Our Platform and Data</w:t>
      </w:r>
    </w:p>
    <w:p>
      <w:pPr>
        <w:ind w:left="660" w:right="400" w:hanging="409"/>
        <w:spacing w:after="0" w:line="234"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invested, and expect to continue to invest, in research and development efforts to further enhance our drug discovery platform, which is central to our mission. If the return on these investments is lower or develops more slowly than we expect, our business and operating results may suffer.</w:t>
      </w:r>
    </w:p>
    <w:p>
      <w:pPr>
        <w:spacing w:after="0" w:line="2" w:lineRule="exact"/>
        <w:rPr>
          <w:rFonts w:ascii="Arial" w:cs="Arial" w:eastAsia="Arial" w:hAnsi="Arial"/>
          <w:sz w:val="18"/>
          <w:szCs w:val="18"/>
          <w:color w:val="auto"/>
        </w:rPr>
      </w:pPr>
    </w:p>
    <w:p>
      <w:pPr>
        <w:ind w:left="660" w:right="240" w:hanging="409"/>
        <w:spacing w:after="0" w:line="250"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information technology systems and infrastructure may fail or experience security breaches and incidents that could adversely impact our business and operations and subject us to liability.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660" w:right="180" w:hanging="409"/>
        <w:spacing w:after="0" w:line="245"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ind w:left="660" w:right="540" w:hanging="409"/>
        <w:spacing w:after="0" w:line="234"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solutions utilize third-party open source software (OSS), which presents risks that could adversely affect our business and subject us to possible litigation.</w:t>
      </w:r>
    </w:p>
    <w:p>
      <w:pPr>
        <w:spacing w:after="0" w:line="1" w:lineRule="exact"/>
        <w:rPr>
          <w:rFonts w:ascii="Arial" w:cs="Arial" w:eastAsia="Arial" w:hAnsi="Arial"/>
          <w:sz w:val="18"/>
          <w:szCs w:val="18"/>
          <w:color w:val="auto"/>
        </w:rPr>
      </w:pPr>
    </w:p>
    <w:p>
      <w:pPr>
        <w:ind w:left="660" w:right="540" w:hanging="409"/>
        <w:spacing w:after="0" w:line="250"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Issues relating to the use of artificial intelligence and machine learning in our offerings could adversely affect our business and operating results.</w:t>
      </w:r>
    </w:p>
    <w:p>
      <w:pPr>
        <w:spacing w:after="0" w:line="145" w:lineRule="exact"/>
        <w:rPr>
          <w:sz w:val="20"/>
          <w:szCs w:val="20"/>
          <w:color w:val="auto"/>
        </w:rPr>
      </w:pPr>
    </w:p>
    <w:p>
      <w:pPr>
        <w:ind w:left="660" w:right="280" w:hanging="409"/>
        <w:spacing w:after="0" w:line="245" w:lineRule="auto"/>
        <w:tabs>
          <w:tab w:leader="none" w:pos="6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any drug candidates we develop receive marketing approval, they may fail to achieve the degree of market acceptance by physicians, patients, healthcare payors, and others in the medical community necessary for commercial success.</w:t>
      </w:r>
    </w:p>
    <w:p>
      <w:pPr>
        <w:ind w:left="660" w:right="140" w:hanging="409"/>
        <w:spacing w:after="0" w:line="248" w:lineRule="auto"/>
        <w:tabs>
          <w:tab w:leader="none" w:pos="65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are unable to establish sales and marketing capabilities or enter into agreements with third parties to sell and market any drug candidates we may develop, we may not be successful in commercializing those drug candidates, if and when they are approved.</w:t>
      </w:r>
    </w:p>
    <w:p>
      <w:pPr>
        <w:spacing w:after="0" w:line="1" w:lineRule="exact"/>
        <w:rPr>
          <w:rFonts w:ascii="Arial" w:cs="Arial" w:eastAsia="Arial" w:hAnsi="Arial"/>
          <w:sz w:val="17"/>
          <w:szCs w:val="17"/>
          <w:color w:val="auto"/>
        </w:rPr>
      </w:pPr>
    </w:p>
    <w:p>
      <w:pPr>
        <w:ind w:left="660" w:right="120" w:hanging="409"/>
        <w:spacing w:after="0" w:line="250" w:lineRule="auto"/>
        <w:tabs>
          <w:tab w:leader="none" w:pos="6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regulatory and operational risks associated with the physical and digital infrastructure at both our internal facilities and those of our external service providers.</w:t>
      </w:r>
    </w:p>
    <w:p>
      <w:pPr>
        <w:spacing w:after="0" w:line="158" w:lineRule="exact"/>
        <w:rPr>
          <w:sz w:val="20"/>
          <w:szCs w:val="20"/>
          <w:color w:val="auto"/>
        </w:rPr>
      </w:pPr>
    </w:p>
    <w:p>
      <w:pPr>
        <w:ind w:left="660" w:right="340" w:hanging="409"/>
        <w:spacing w:after="0" w:line="241"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significantly depends on our ability to obtain and maintain patents of adequate scope covering our proprietary technology and drug candidate products. Obtaining and maintaining patent assets is inherently challenging, and our pending and future patent applications may not issue with the scope we need, if at all.</w:t>
      </w:r>
    </w:p>
    <w:p>
      <w:pPr>
        <w:spacing w:after="0" w:line="1" w:lineRule="exact"/>
        <w:rPr>
          <w:rFonts w:ascii="Arial" w:cs="Arial" w:eastAsia="Arial" w:hAnsi="Arial"/>
          <w:sz w:val="18"/>
          <w:szCs w:val="18"/>
          <w:color w:val="auto"/>
        </w:rPr>
      </w:pPr>
    </w:p>
    <w:p>
      <w:pPr>
        <w:ind w:left="660" w:right="160" w:hanging="409"/>
        <w:spacing w:after="0" w:line="229"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proprietary position for certain drug product candidates depends upon our owned or in-licensed patent filings covering components of such drug product candidates, manufacturing-related methods, formulations, and/or methods of use, which may not adequately prevent a competitor or other third party from using the same drug candidate for the same or a different use.</w:t>
      </w:r>
    </w:p>
    <w:p>
      <w:pPr>
        <w:spacing w:after="0" w:line="1" w:lineRule="exact"/>
        <w:rPr>
          <w:rFonts w:ascii="Arial" w:cs="Arial" w:eastAsia="Arial" w:hAnsi="Arial"/>
          <w:sz w:val="18"/>
          <w:szCs w:val="18"/>
          <w:color w:val="auto"/>
        </w:rPr>
      </w:pPr>
    </w:p>
    <w:p>
      <w:pPr>
        <w:ind w:left="660" w:hanging="409"/>
        <w:spacing w:after="0" w:line="23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ind w:left="660" w:hanging="409"/>
        <w:spacing w:after="0" w:line="234"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do not obtain patent term extension and data exclusivity for any drug product candidates we may develop, our business may be materially harmed.</w:t>
      </w:r>
    </w:p>
    <w:p>
      <w:pPr>
        <w:spacing w:after="0" w:line="1" w:lineRule="exact"/>
        <w:rPr>
          <w:rFonts w:ascii="Arial" w:cs="Arial" w:eastAsia="Arial" w:hAnsi="Arial"/>
          <w:sz w:val="18"/>
          <w:szCs w:val="18"/>
          <w:color w:val="auto"/>
        </w:rPr>
      </w:pPr>
    </w:p>
    <w:p>
      <w:pPr>
        <w:ind w:left="660" w:right="660" w:hanging="409"/>
        <w:spacing w:after="0" w:line="234"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spacing w:after="0" w:line="1" w:lineRule="exact"/>
        <w:rPr>
          <w:rFonts w:ascii="Arial" w:cs="Arial" w:eastAsia="Arial" w:hAnsi="Arial"/>
          <w:sz w:val="18"/>
          <w:szCs w:val="18"/>
          <w:color w:val="auto"/>
        </w:rPr>
      </w:pPr>
    </w:p>
    <w:p>
      <w:pPr>
        <w:ind w:left="660" w:hanging="409"/>
        <w:spacing w:after="0" w:line="23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U.S. patent law could diminish the value of patents in general, thereby impairing our ability to protect our products.</w:t>
      </w:r>
    </w:p>
    <w:p>
      <w:pPr>
        <w:ind w:left="660" w:hanging="409"/>
        <w:spacing w:after="0" w:line="23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Issued patents covering our drug product candidates and proprietary technology that we have developed or may develop in the</w:t>
      </w:r>
    </w:p>
    <w:p>
      <w:pPr>
        <w:spacing w:after="0" w:line="1" w:lineRule="exact"/>
        <w:rPr>
          <w:sz w:val="20"/>
          <w:szCs w:val="20"/>
          <w:color w:val="auto"/>
        </w:rPr>
      </w:pPr>
    </w:p>
    <w:p>
      <w:pPr>
        <w:ind w:right="220" w:firstLine="648"/>
        <w:spacing w:after="0" w:line="234" w:lineRule="auto"/>
        <w:rPr>
          <w:sz w:val="20"/>
          <w:szCs w:val="20"/>
          <w:color w:val="auto"/>
        </w:rPr>
      </w:pPr>
      <w:r>
        <w:rPr>
          <w:rFonts w:ascii="Arial" w:cs="Arial" w:eastAsia="Arial" w:hAnsi="Arial"/>
          <w:sz w:val="18"/>
          <w:szCs w:val="18"/>
          <w:color w:val="auto"/>
        </w:rPr>
        <w:t xml:space="preserve">future could be found invalid or unenforceable if challenged in court or before administrative bodies in the United States or abroad. </w:t>
      </w:r>
      <w:r>
        <w:rPr>
          <w:rFonts w:ascii="Arial" w:cs="Arial" w:eastAsia="Arial" w:hAnsi="Arial"/>
          <w:sz w:val="18"/>
          <w:szCs w:val="18"/>
          <w:i w:val="1"/>
          <w:iCs w:val="1"/>
          <w:color w:val="auto"/>
        </w:rPr>
        <w:t>Risks Related to Government Regulation</w:t>
      </w:r>
    </w:p>
    <w:p>
      <w:pPr>
        <w:spacing w:after="0" w:line="1" w:lineRule="exact"/>
        <w:rPr>
          <w:sz w:val="20"/>
          <w:szCs w:val="20"/>
          <w:color w:val="auto"/>
        </w:rPr>
      </w:pPr>
    </w:p>
    <w:p>
      <w:pPr>
        <w:ind w:left="660" w:right="100" w:hanging="409"/>
        <w:spacing w:after="0" w:line="234"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we receive FDA or other regulatory approval for any of our drug candidates, we will be subject to ongoing regulatory obligations and other conditions that may result in significant additional expense, as well as the potential recall or market withdrawal of an approved product if unanticipated safety issues are discovered.</w:t>
      </w:r>
    </w:p>
    <w:p>
      <w:pPr>
        <w:spacing w:after="0" w:line="2" w:lineRule="exact"/>
        <w:rPr>
          <w:rFonts w:ascii="Arial" w:cs="Arial" w:eastAsia="Arial" w:hAnsi="Arial"/>
          <w:sz w:val="18"/>
          <w:szCs w:val="18"/>
          <w:color w:val="auto"/>
        </w:rPr>
      </w:pPr>
    </w:p>
    <w:p>
      <w:pPr>
        <w:ind w:left="660" w:right="380" w:hanging="409"/>
        <w:spacing w:after="0" w:line="226"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Though we have been granted orphan drug designation for certain of our drug candidates, we may be unsuccessful or unable to maintain the benefits associated with such a designation, including the potential for market exclusivity.</w:t>
      </w:r>
    </w:p>
    <w:p>
      <w:pPr>
        <w:spacing w:after="0" w:line="1" w:lineRule="exact"/>
        <w:rPr>
          <w:rFonts w:ascii="Arial" w:cs="Arial" w:eastAsia="Arial" w:hAnsi="Arial"/>
          <w:sz w:val="18"/>
          <w:szCs w:val="18"/>
          <w:color w:val="auto"/>
        </w:rPr>
      </w:pPr>
    </w:p>
    <w:p>
      <w:pPr>
        <w:ind w:left="660" w:right="60" w:hanging="409"/>
        <w:spacing w:after="0" w:line="234"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subject to U.S. and foreign laws regarding privacy, data protection, and data security that could entail substantial compliance costs, while the failure to comply could subject us to significant liability.</w:t>
      </w:r>
    </w:p>
    <w:p>
      <w:pPr>
        <w:spacing w:after="0" w:line="1" w:lineRule="exact"/>
        <w:rPr>
          <w:rFonts w:ascii="Arial" w:cs="Arial" w:eastAsia="Arial" w:hAnsi="Arial"/>
          <w:sz w:val="18"/>
          <w:szCs w:val="18"/>
          <w:color w:val="auto"/>
        </w:rPr>
      </w:pPr>
    </w:p>
    <w:p>
      <w:pPr>
        <w:ind w:left="660" w:right="60" w:hanging="409"/>
        <w:spacing w:after="0" w:line="250"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and legislative developments related to the use of AI could adversely affect our use of such technologies in our products, services, and business.</w:t>
      </w:r>
    </w:p>
    <w:p>
      <w:pPr>
        <w:spacing w:after="0" w:line="158" w:lineRule="exact"/>
        <w:rPr>
          <w:sz w:val="20"/>
          <w:szCs w:val="20"/>
          <w:color w:val="auto"/>
        </w:rPr>
      </w:pPr>
    </w:p>
    <w:p>
      <w:pPr>
        <w:ind w:left="660" w:right="180" w:hanging="409"/>
        <w:spacing w:after="0" w:line="245" w:lineRule="auto"/>
        <w:tabs>
          <w:tab w:leader="none" w:pos="6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parties that perform some of our research and preclinical testing or conduct our clinical trials may not perform satisfactorily or their agreements may be terminated.</w:t>
      </w:r>
    </w:p>
    <w:p>
      <w:pPr>
        <w:ind w:left="660" w:right="20" w:hanging="409"/>
        <w:spacing w:after="0" w:line="234" w:lineRule="auto"/>
        <w:tabs>
          <w:tab w:leader="none" w:pos="6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parties that manufacture our drug candidates for preclinical development, clinical testing, and future commercialization may not provide sufficient quantities of our drug candidates or products at an acceptable cost, which could delay, impair, or prevent our development or commercialization efforts.</w:t>
      </w:r>
    </w:p>
    <w:p>
      <w:pPr>
        <w:spacing w:after="0" w:line="2" w:lineRule="exact"/>
        <w:rPr>
          <w:rFonts w:ascii="Arial" w:cs="Arial" w:eastAsia="Arial" w:hAnsi="Arial"/>
          <w:sz w:val="18"/>
          <w:szCs w:val="18"/>
          <w:color w:val="auto"/>
        </w:rPr>
      </w:pPr>
    </w:p>
    <w:p>
      <w:pPr>
        <w:ind w:left="660" w:hanging="409"/>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realize all of the anticipated outcomes and benefits of our Acquisitions.</w:t>
      </w:r>
    </w:p>
    <w:p>
      <w:pPr>
        <w:ind w:left="660" w:right="320" w:hanging="409"/>
        <w:spacing w:after="0" w:line="234" w:lineRule="auto"/>
        <w:tabs>
          <w:tab w:leader="none" w:pos="6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experienced scientists, and to attract, retain, and motivate qualified personnel.</w:t>
      </w:r>
    </w:p>
    <w:p>
      <w:pPr>
        <w:spacing w:after="0" w:line="1" w:lineRule="exact"/>
        <w:rPr>
          <w:rFonts w:ascii="Arial" w:cs="Arial" w:eastAsia="Arial" w:hAnsi="Arial"/>
          <w:sz w:val="18"/>
          <w:szCs w:val="18"/>
          <w:color w:val="auto"/>
        </w:rPr>
      </w:pPr>
    </w:p>
    <w:p>
      <w:pPr>
        <w:ind w:left="660" w:hanging="40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Annual Report on Form 10-K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209"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27" w:lineRule="exact"/>
        <w:rPr>
          <w:rFonts w:ascii="Arial" w:cs="Arial" w:eastAsia="Arial" w:hAnsi="Arial"/>
          <w:sz w:val="18"/>
          <w:szCs w:val="18"/>
          <w:color w:val="auto"/>
        </w:rPr>
      </w:pPr>
    </w:p>
    <w:p>
      <w:pPr>
        <w:ind w:left="340" w:right="14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drug candidates, and other positive results;</w:t>
      </w:r>
    </w:p>
    <w:p>
      <w:pPr>
        <w:spacing w:after="0" w:line="9" w:lineRule="exact"/>
        <w:rPr>
          <w:rFonts w:ascii="Arial" w:cs="Arial" w:eastAsia="Arial" w:hAnsi="Arial"/>
          <w:sz w:val="18"/>
          <w:szCs w:val="18"/>
          <w:color w:val="auto"/>
        </w:rPr>
      </w:pPr>
    </w:p>
    <w:p>
      <w:pPr>
        <w:ind w:left="340" w:right="30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and willingness of our collaborators to continue research and development activities relating to our development candidates and investigational medicines;</w:t>
      </w:r>
    </w:p>
    <w:p>
      <w:pPr>
        <w:ind w:left="340" w:right="32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investigational medicines and any other approved product;</w:t>
      </w:r>
    </w:p>
    <w:p>
      <w:pPr>
        <w:ind w:left="34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 including our ability to maintain any such approvals;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the potential market opportunity for TechBio companies;</w:t>
      </w:r>
    </w:p>
    <w:p>
      <w:pPr>
        <w:spacing w:after="0" w:line="9" w:lineRule="exact"/>
        <w:rPr>
          <w:rFonts w:ascii="Arial" w:cs="Arial" w:eastAsia="Arial" w:hAnsi="Arial"/>
          <w:sz w:val="18"/>
          <w:szCs w:val="18"/>
          <w:color w:val="auto"/>
        </w:rPr>
      </w:pPr>
    </w:p>
    <w:p>
      <w:pPr>
        <w:ind w:left="340" w:right="6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the potential market opportunity for our drug candidates, including our estimates of the number of patients who suffer from the diseases we are targeting;</w:t>
      </w:r>
    </w:p>
    <w:p>
      <w:pPr>
        <w:ind w:left="340" w:right="36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identify viable new drug candidates for clinical development and the rate at which we expect to identify such candidates, whether through an inferential approach or otherwise;</w:t>
      </w:r>
    </w:p>
    <w:p>
      <w:pPr>
        <w:ind w:left="340" w:right="44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 that the assets that will drive the most value for us are those that we will identify in the future using our datasets and tools;</w:t>
      </w: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advance our current drug candidates and programs into, and successfully complete, clinical studies;</w:t>
      </w:r>
    </w:p>
    <w:p>
      <w:pPr>
        <w:spacing w:after="0" w:line="9" w:lineRule="exact"/>
        <w:rPr>
          <w:rFonts w:ascii="Arial" w:cs="Arial" w:eastAsia="Arial" w:hAnsi="Arial"/>
          <w:sz w:val="18"/>
          <w:szCs w:val="18"/>
          <w:color w:val="auto"/>
        </w:rPr>
      </w:pPr>
    </w:p>
    <w:p>
      <w:pPr>
        <w:ind w:left="340" w:right="6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reduce the time or cost or increase the likelihood of success of our research and development relative to the traditional drug discovery paradigm;</w:t>
      </w:r>
    </w:p>
    <w:p>
      <w:pPr>
        <w:ind w:left="340" w:right="4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improve, and the rate of improvement in, our infrastructure, datasets, biology, technology tools, and drug discovery platform, and our ability to realize benefits from such improvements;</w:t>
      </w: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effectively use machine learning and artificial intelligence in our drug development process;</w:t>
      </w:r>
    </w:p>
    <w:p>
      <w:pPr>
        <w:spacing w:after="0" w:line="9" w:lineRule="exact"/>
        <w:rPr>
          <w:rFonts w:ascii="Arial" w:cs="Arial" w:eastAsia="Arial" w:hAnsi="Arial"/>
          <w:sz w:val="18"/>
          <w:szCs w:val="18"/>
          <w:color w:val="auto"/>
        </w:rPr>
      </w:pPr>
    </w:p>
    <w:p>
      <w:pPr>
        <w:ind w:left="340" w:right="6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use the assets acquired in recent acquisitions to expand our technology-enabled drug discovery process and accelerate our digital chemistry capabilities;</w:t>
      </w: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leverage our collaborations and partnerships to develop our products and grow our business;</w:t>
      </w:r>
    </w:p>
    <w:p>
      <w:pPr>
        <w:spacing w:after="0" w:line="9" w:lineRule="exact"/>
        <w:rPr>
          <w:rFonts w:ascii="Arial" w:cs="Arial" w:eastAsia="Arial" w:hAnsi="Arial"/>
          <w:sz w:val="18"/>
          <w:szCs w:val="18"/>
          <w:color w:val="auto"/>
        </w:rPr>
      </w:pPr>
    </w:p>
    <w:p>
      <w:pPr>
        <w:ind w:left="340" w:right="56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related to the performance and benefits of our BioHive-1 supercomputer, Recursion OS, and our digital chemistry platform;</w:t>
      </w:r>
    </w:p>
    <w:p>
      <w:pPr>
        <w:ind w:left="320" w:hanging="312"/>
        <w:spacing w:after="0" w:line="23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realize a return on our investment of resources and cash in our drug discovery collaborations;</w:t>
      </w: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sell or license assets and re-invest proceeds into funding our long-term strategy;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8"/>
          <w:szCs w:val="18"/>
          <w:color w:val="auto"/>
        </w:rPr>
        <w:t>our ability to scale like a technology company and to add more programs to our pipeline each year;</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compete in a highly competitive market;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plans relating to commercializing our drug candidates, if approved, including the geographic areas of focus and sales strategy;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drug candidates in combination with other drugs;</w:t>
      </w:r>
    </w:p>
    <w:p>
      <w:pPr>
        <w:spacing w:after="0" w:line="9" w:lineRule="exact"/>
        <w:rPr>
          <w:rFonts w:ascii="Arial" w:cs="Arial" w:eastAsia="Arial" w:hAnsi="Arial"/>
          <w:sz w:val="18"/>
          <w:szCs w:val="18"/>
          <w:color w:val="auto"/>
        </w:rPr>
      </w:pPr>
    </w:p>
    <w:p>
      <w:pPr>
        <w:ind w:left="340" w:right="260" w:hanging="332"/>
        <w:spacing w:after="0" w:line="250"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drug candidates, if approved, and other drug candidates we may develop;</w:t>
      </w: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approaches that are or may become available;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 and the timing of their enrollment;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drug candidates;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plans for further development of our drug candidates, including additional indications we may pursue;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left="340" w:right="40" w:hanging="332"/>
        <w:spacing w:after="0" w:line="254"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8"/>
          <w:szCs w:val="18"/>
          <w:color w:val="auto"/>
        </w:rPr>
      </w:pPr>
    </w:p>
    <w:p>
      <w:pPr>
        <w:ind w:left="340" w:right="640" w:hanging="332"/>
        <w:spacing w:after="0" w:line="25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any intellectual property disputes and our ability to defend against claims of infringement, misappropriation, or other violations of intellectual property rights;</w:t>
      </w: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keep pace with new technological developments;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utilize third-party open source software and cloud-based infrastructure, on which we are dependent;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insurance policies and the scope of their coverage;</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achieve net-zero greenhouse gas emissions across our operations;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our technical operations infrastructure to avoid errors, delays, or cybersecurity breaches;</w:t>
      </w:r>
    </w:p>
    <w:p>
      <w:pPr>
        <w:spacing w:after="0" w:line="9" w:lineRule="exact"/>
        <w:rPr>
          <w:rFonts w:ascii="Arial" w:cs="Arial" w:eastAsia="Arial" w:hAnsi="Arial"/>
          <w:sz w:val="18"/>
          <w:szCs w:val="18"/>
          <w:color w:val="auto"/>
        </w:rPr>
      </w:pPr>
    </w:p>
    <w:p>
      <w:pPr>
        <w:ind w:left="340" w:right="400" w:hanging="332"/>
        <w:spacing w:after="0" w:line="25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drug candidates, and for the manufacture of our drug candidates for preclinical studies and clinical trials;</w:t>
      </w:r>
    </w:p>
    <w:p>
      <w:pPr>
        <w:ind w:left="340" w:right="540" w:hanging="332"/>
        <w:spacing w:after="0" w:line="25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research, develop, manufacture, or commercialize our platform and drug candidates;</w:t>
      </w: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and reimbursement of our current drug candidates and other drug candidates we may develop, if approved;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raise substantial additional funding;</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 and our ability to comply with all regulations that we are, or may become, subject to;</w:t>
      </w: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any current or future litigation, which may arise during the ordinary course of business and be costly to defend;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9" w:lineRule="exact"/>
        <w:rPr>
          <w:rFonts w:ascii="Arial" w:cs="Arial" w:eastAsia="Arial" w:hAnsi="Arial"/>
          <w:sz w:val="18"/>
          <w:szCs w:val="18"/>
          <w:color w:val="auto"/>
        </w:rPr>
      </w:pPr>
    </w:p>
    <w:p>
      <w:pPr>
        <w:ind w:left="340" w:right="360" w:hanging="332"/>
        <w:spacing w:after="0" w:line="25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 and disclosure controls and procedures, including our ability to remediate the material weakness in internal control over financial reporting;</w:t>
      </w: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our initial public offering;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titled “Risk Factors.”</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0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potentially available relevant information. These statements are inherently uncertain and you are cautioned not to unduly rely upon them.</w:t>
      </w:r>
    </w:p>
    <w:p>
      <w:pPr>
        <w:sectPr>
          <w:pgSz w:w="11900" w:h="16838" w:orient="portrait"/>
          <w:cols w:equalWidth="0" w:num="1">
            <w:col w:w="10880"/>
          </w:cols>
          <w:pgMar w:left="320" w:top="93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31" w:right="699" w:bottom="1440" w:gutter="0" w:footer="0" w:header="0"/>
          <w:type w:val="continuous"/>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02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920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Recursion is a leading clinical stage TechBio company decoding biology to industrialize drug discovery. Central to our mission is the Recursion Operating System (OS), a platform built across diverse technologies that enables us to map and navigate trillions of biological, chemical, and patient-centric relationships across over 50 petabytes of proprietary data. We frame this integration of the physical and digital components as iterative loops, where scaled ‘wet-lab’ biology, chemistry, and patient-centric experimental data are organized by ‘dry-lab’ computational tools in order to identify, validate, and translate therapeutic insights. We believe Recursion’s unbiased, data-driven approach to understanding biology will bring more, new, and better medicines at higher scale and lower cost to patients.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key value-drivers at Recursion:</w:t>
      </w:r>
    </w:p>
    <w:p>
      <w:pPr>
        <w:spacing w:after="0" w:line="252" w:lineRule="exact"/>
        <w:rPr>
          <w:sz w:val="20"/>
          <w:szCs w:val="20"/>
          <w:color w:val="auto"/>
        </w:rPr>
      </w:pPr>
    </w:p>
    <w:p>
      <w:pPr>
        <w:ind w:left="660" w:right="6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 expansive </w:t>
      </w:r>
      <w:r>
        <w:rPr>
          <w:rFonts w:ascii="Arial" w:cs="Arial" w:eastAsia="Arial" w:hAnsi="Arial"/>
          <w:sz w:val="18"/>
          <w:szCs w:val="18"/>
          <w:b w:val="1"/>
          <w:bCs w:val="1"/>
          <w:color w:val="auto"/>
        </w:rPr>
        <w:t>pipeline</w:t>
      </w:r>
      <w:r>
        <w:rPr>
          <w:rFonts w:ascii="Arial" w:cs="Arial" w:eastAsia="Arial" w:hAnsi="Arial"/>
          <w:sz w:val="18"/>
          <w:szCs w:val="18"/>
          <w:color w:val="auto"/>
        </w:rPr>
        <w:t xml:space="preserve"> of internally developed clinical and preclinical programs focused on precision oncology and genetically driven rare diseases with significant unmet need and market opportunities that could potentially exceed $1 billion in annual sales in some cases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Transformational </w:t>
      </w:r>
      <w:r>
        <w:rPr>
          <w:rFonts w:ascii="Arial" w:cs="Arial" w:eastAsia="Arial" w:hAnsi="Arial"/>
          <w:sz w:val="18"/>
          <w:szCs w:val="18"/>
          <w:b w:val="1"/>
          <w:bCs w:val="1"/>
          <w:color w:val="auto"/>
        </w:rPr>
        <w:t>partnerships</w:t>
      </w:r>
      <w:r>
        <w:rPr>
          <w:rFonts w:ascii="Arial" w:cs="Arial" w:eastAsia="Arial" w:hAnsi="Arial"/>
          <w:sz w:val="18"/>
          <w:szCs w:val="18"/>
          <w:color w:val="auto"/>
        </w:rPr>
        <w:t xml:space="preserve"> with leading biopharma and technology companies to map and navigate intractable areas of biology, identify novel targets, and develop potential new medicines by using advanced computational and data resources</w:t>
      </w:r>
    </w:p>
    <w:p>
      <w:pPr>
        <w:ind w:left="660" w:right="400" w:hanging="328"/>
        <w:spacing w:after="0" w:line="26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 industry-leading </w:t>
      </w:r>
      <w:r>
        <w:rPr>
          <w:rFonts w:ascii="Arial" w:cs="Arial" w:eastAsia="Arial" w:hAnsi="Arial"/>
          <w:sz w:val="18"/>
          <w:szCs w:val="18"/>
          <w:b w:val="1"/>
          <w:bCs w:val="1"/>
          <w:color w:val="auto"/>
        </w:rPr>
        <w:t>dataset</w:t>
      </w:r>
      <w:r>
        <w:rPr>
          <w:rFonts w:ascii="Arial" w:cs="Arial" w:eastAsia="Arial" w:hAnsi="Arial"/>
          <w:sz w:val="18"/>
          <w:szCs w:val="18"/>
          <w:color w:val="auto"/>
        </w:rPr>
        <w:t xml:space="preserve"> intentionally designed to capitalize on computational tools and accelerate value created through our pipeline, partnerships and technology products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Achievements in 2023</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250" w:lineRule="exact"/>
        <w:rPr>
          <w:sz w:val="20"/>
          <w:szCs w:val="20"/>
          <w:color w:val="auto"/>
        </w:rPr>
      </w:pPr>
    </w:p>
    <w:p>
      <w:pPr>
        <w:ind w:left="660" w:right="48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Five phase 2 clinical-stage programs with multiple upcoming data readouts expected, including REC-994 in cerebral cavernous malformation (CCM) in Q3 2024, REC-2282 in neurofibromatosis type 2 (NF2) in Q4 2024, REC-4881 in familial adenomatous polyposis (FAP) in H1 2025, and REC-4881 in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solid tumors in H1 2025</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Completed a Phase 1 study for REC-3964 in healthy volunteers for the potential treatment of </w:t>
      </w:r>
      <w:r>
        <w:rPr>
          <w:rFonts w:ascii="Arial" w:cs="Arial" w:eastAsia="Arial" w:hAnsi="Arial"/>
          <w:sz w:val="18"/>
          <w:szCs w:val="18"/>
          <w:i w:val="1"/>
          <w:iCs w:val="1"/>
          <w:color w:val="auto"/>
        </w:rPr>
        <w:t>Clostridioides difficile</w:t>
      </w:r>
      <w:r>
        <w:rPr>
          <w:rFonts w:ascii="Arial" w:cs="Arial" w:eastAsia="Arial" w:hAnsi="Arial"/>
          <w:sz w:val="18"/>
          <w:szCs w:val="18"/>
          <w:color w:val="auto"/>
        </w:rPr>
        <w:t xml:space="preserve"> (</w:t>
      </w:r>
      <w:r>
        <w:rPr>
          <w:rFonts w:ascii="Arial" w:cs="Arial" w:eastAsia="Arial" w:hAnsi="Arial"/>
          <w:sz w:val="18"/>
          <w:szCs w:val="18"/>
          <w:i w:val="1"/>
          <w:iCs w:val="1"/>
          <w:color w:val="auto"/>
        </w:rPr>
        <w:t>C. difficile</w:t>
      </w:r>
      <w:r>
        <w:rPr>
          <w:rFonts w:ascii="Arial" w:cs="Arial" w:eastAsia="Arial" w:hAnsi="Arial"/>
          <w:sz w:val="18"/>
          <w:szCs w:val="18"/>
          <w:color w:val="auto"/>
        </w:rPr>
        <w:t>) infection with a favorable safety and tolerability profile</w:t>
      </w:r>
    </w:p>
    <w:p>
      <w:pPr>
        <w:ind w:left="660" w:right="5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Advanced our RBM39 program in homologous recombination proficient ovarian cancer and other solid tumors to IND-enabling studies</w:t>
      </w:r>
    </w:p>
    <w:p>
      <w:pPr>
        <w:ind w:left="660" w:right="240" w:hanging="328"/>
        <w:spacing w:after="0" w:line="26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In-licensed a program (Target Epsilon) that emerged from our fibrosis collaboration with Bayer that represents a novel approach to treating fibrotic diseases with compelling early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w:t>
      </w:r>
    </w:p>
    <w:p>
      <w:pPr>
        <w:spacing w:after="0" w:line="250" w:lineRule="exact"/>
        <w:rPr>
          <w:sz w:val="20"/>
          <w:szCs w:val="20"/>
          <w:color w:val="auto"/>
        </w:rPr>
      </w:pPr>
    </w:p>
    <w:p>
      <w:pPr>
        <w:ind w:left="660" w:right="2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Made significant progress against both the gastrointestinal-oncology and neuroscience portions of our collaboration with Roche and Genentech, including Roche exercising its Small Molecule Validated Hit Option to further advance our first partnership program in GI-oncology</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Updated our collaboration with Bayer to focus on challenging oncology indications with high unmet need, commensurate with higher per program milestone payments</w:t>
      </w:r>
    </w:p>
    <w:p>
      <w:pPr>
        <w:ind w:left="660" w:right="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a collaboration with NVIDIA to accelerate the construction, optimization and deployment of foundation models for biology and chemistry as well as host Recursion-built computational and data tools on BioNeMo (NVIDIA’s drug discovery platform) – additionally, NVIDIA invested $50 million in Recursion via a private placement</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a collaboration with Tempus giving Recursion access to over 20 petabytes of proprietary deidentified, multimodal patient oncology data for the purpose of training causal AI models for the discovery of novel therapeutic hypotheses, biomarker strategies and patient cohort selection</w:t>
      </w:r>
    </w:p>
    <w:p>
      <w:pPr>
        <w:spacing w:after="0" w:line="1" w:lineRule="exact"/>
        <w:rPr>
          <w:rFonts w:ascii="Arial" w:cs="Arial" w:eastAsia="Arial" w:hAnsi="Arial"/>
          <w:sz w:val="18"/>
          <w:szCs w:val="18"/>
          <w:color w:val="auto"/>
        </w:rPr>
      </w:pPr>
    </w:p>
    <w:p>
      <w:pPr>
        <w:ind w:left="660" w:right="62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a partnership with Enamine to generate enriched screening libraries with insights from Recursion’s protein-ligand interaction predictions spanning across Enamine’s massive library of approximately 36 billion compounds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Recursion OS</w:t>
      </w:r>
    </w:p>
    <w:p>
      <w:pPr>
        <w:spacing w:after="0" w:line="250" w:lineRule="exact"/>
        <w:rPr>
          <w:sz w:val="20"/>
          <w:szCs w:val="20"/>
          <w:color w:val="auto"/>
        </w:rPr>
      </w:pPr>
    </w:p>
    <w:p>
      <w:pPr>
        <w:ind w:left="660" w:right="38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Built, scaled and industrialized multiple tools and technologies to heavily automate workflows across the drug discovery process, creating one of the most complete full-stack TechBio solutions</w:t>
      </w:r>
    </w:p>
    <w:p>
      <w:pPr>
        <w:spacing w:after="0" w:line="1" w:lineRule="exact"/>
        <w:rPr>
          <w:rFonts w:ascii="Arial" w:cs="Arial" w:eastAsia="Arial" w:hAnsi="Arial"/>
          <w:sz w:val="18"/>
          <w:szCs w:val="18"/>
          <w:color w:val="auto"/>
        </w:rPr>
      </w:pPr>
    </w:p>
    <w:p>
      <w:pPr>
        <w:ind w:left="660" w:right="8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Created LOWE (Large Language Model-Orchestrated Workflow Engine) connecting wet-lab and dry-lab components of the Recursion OS using a natural language interface to streamline complex drug discovery tasks</w:t>
      </w:r>
    </w:p>
    <w:p>
      <w:pPr>
        <w:ind w:left="660" w:right="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Deployed large language models (LLMs) to map scientific literature in conjunction with our internally derived proprietary maps for the purpose of autonomously identifying novel opportunities in areas of unmet need</w:t>
      </w: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Deployed Phenom-1, a vision transformer utilizing hundreds of millions of parameters trained on billions of biological images from our proprietary data, which we believe to be the world’s largest phenomics foundation model at this time</w:t>
      </w:r>
    </w:p>
    <w:p>
      <w:pPr>
        <w:ind w:left="660" w:right="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Deployed new digital chemistry tools to predict the ligand-protein interactions for approximately 36 billion compounds in the Enamine REAL Space, reported to be the largest synthesizable chemical library</w:t>
      </w:r>
    </w:p>
    <w:p>
      <w:pPr>
        <w:ind w:left="660" w:right="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Produced over 1 trillion human induced pluripotent stem cell (hiPSC)-derived neuronal cells since 2022, likely making Recursion one of the world’s largest producers of neuronal cells</w:t>
      </w:r>
    </w:p>
    <w:p>
      <w:pPr>
        <w:ind w:left="660" w:right="60" w:hanging="328"/>
        <w:spacing w:after="0" w:line="26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Began training causal AI models leveraging over 20 petabytes of multimodal precision oncology patient data from Tempus to support the discovery of potential biomarker-enriched therapeutics at scale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Building</w:t>
      </w:r>
    </w:p>
    <w:p>
      <w:pPr>
        <w:spacing w:after="0" w:line="25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Acquired Cyclica and Valence Discovery to bolster digital chemistry and generative AI capabilities</w:t>
      </w:r>
    </w:p>
    <w:p>
      <w:pPr>
        <w:spacing w:after="0" w:line="27"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Expanded our operations in Salt Lake City and Montréal and opened our Canadian headquarters in Toronto with a focus on growing our machine learning and digital chemistry teams</w:t>
      </w:r>
    </w:p>
    <w:p>
      <w:pPr>
        <w:ind w:left="660" w:right="4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Committed to quadrupling the capacity of our supercomputer, BioHive-1, to support our pipeline, partnerships and the construction of foundation models across the multiple modalities of biology, chemistry and patient-centric data – we believe that this expansion should make our supercomputer a top 50 supercomputer across any industry according to the TOP500 list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Vision, Mission, People and Culture</w:t>
      </w:r>
    </w:p>
    <w:p>
      <w:pPr>
        <w:spacing w:after="0" w:line="26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Human biology is an incredibly complex system for which human intelligence alone is insufficient to fully comprehend it. Our world is transiting its next industrial revolution based on extraordinary progress in automation, computation, machine learning (ML), and artificial intelligence (AI). This progress is apparent through the rapid rise of LLMs, generative AI, and accessible applications like ChatGPT. Undoubtedly, remarkable shifts in perception occurred in 2023 amongst technology and biopharma companies as well as among regulators and policymakers, who highlight the utility of AI/ML for broad drug discovery and development from novel target discovery through next-generation manufacturing.</w:t>
      </w:r>
    </w:p>
    <w:p>
      <w:pPr>
        <w:spacing w:after="0" w:line="20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However, a key lesson from numerous other industries is that computational sophistication alone is rarely sufficient to create disruptive change. It is when computational sophistication is paired with the right data, typically in an iterative process of ongoing learning, prediction, and refinement, that outsized change is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386080</wp:posOffset>
            </wp:positionV>
            <wp:extent cx="5323205" cy="3008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2320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color w:val="auto"/>
        </w:rPr>
        <w:t xml:space="preserve">Figure 1. A simple formula is used across technology industries to map and navigate complex systems. </w:t>
      </w:r>
      <w:r>
        <w:rPr>
          <w:rFonts w:ascii="Arial" w:cs="Arial" w:eastAsia="Arial" w:hAnsi="Arial"/>
          <w:sz w:val="16"/>
          <w:szCs w:val="16"/>
          <w:color w:val="auto"/>
        </w:rPr>
        <w:t>First, high-dimensional data is generated,</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aggregated and organized to create digital representations. Then, AI/ML algorithms make predictions about that system that can be tested in reality. The result is a virtuous cycle of learning and iteration.</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Recursion was founded in 2013 with a vision to capitalize on the convergence of advancements in computation and machine learning to address the decreasing efficiency of drug discovery and development. We believe that this opportunity represents one of the most positively impactful applications of ML and AI. Our vision is to leverage technology to map and navigate biology, chemistry, and patient-centric outcomes in order to increasingly transition the process of developing medicines from discovery to design. We believe that neither advanced computational approaches, massive datasets, nor human intelligence alone can fundamentally shift the efficiency curve of drug discovery and development; instead, we believe that those companies that augment their teams with sophisticated computational tools and focus deeply on generating and aggregating the right datasets will have a significant advantage. Our success and the success of the burgeoning TechBio sector has the promise to drive more, new, and better medicines to patients at higher scale and lower prices in the coming decades. We are working to not only lead this space but define it.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386080</wp:posOffset>
            </wp:positionV>
            <wp:extent cx="5932170" cy="3051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3217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2. Eroom’s Law observes that while technology advancements have made many processes faster and less expensive over the years, drug</w:t>
      </w:r>
    </w:p>
    <w:p>
      <w:pPr>
        <w:spacing w:after="0" w:line="39"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b w:val="1"/>
          <w:bCs w:val="1"/>
          <w:color w:val="auto"/>
        </w:rPr>
        <w:t>discovery is becoming slower and more expensive</w:t>
      </w:r>
      <w:r>
        <w:rPr>
          <w:rFonts w:ascii="Arial" w:cs="Arial" w:eastAsia="Arial" w:hAnsi="Arial"/>
          <w:sz w:val="17"/>
          <w:szCs w:val="17"/>
          <w:b w:val="1"/>
          <w:bCs w:val="1"/>
          <w:color w:val="auto"/>
        </w:rPr>
        <w:t>.</w:t>
      </w:r>
      <w:r>
        <w:rPr>
          <w:rFonts w:ascii="Arial" w:cs="Arial" w:eastAsia="Arial" w:hAnsi="Arial"/>
          <w:sz w:val="23"/>
          <w:szCs w:val="23"/>
          <w:b w:val="1"/>
          <w:bCs w:val="1"/>
          <w:color w:val="auto"/>
          <w:vertAlign w:val="superscript"/>
        </w:rPr>
        <w:t>1,2</w:t>
      </w:r>
      <w:r>
        <w:rPr>
          <w:rFonts w:ascii="Arial" w:cs="Arial" w:eastAsia="Arial" w:hAnsi="Arial"/>
          <w:sz w:val="16"/>
          <w:szCs w:val="16"/>
          <w:b w:val="1"/>
          <w:bCs w:val="1"/>
          <w:color w:val="auto"/>
        </w:rPr>
        <w:t xml:space="preserve"> </w:t>
      </w:r>
      <w:r>
        <w:rPr>
          <w:rFonts w:ascii="Arial" w:cs="Arial" w:eastAsia="Arial" w:hAnsi="Arial"/>
          <w:sz w:val="16"/>
          <w:szCs w:val="16"/>
          <w:color w:val="auto"/>
        </w:rPr>
        <w:t>Recursion was created to take advantage of the discontinuity between these fields and harness</w:t>
      </w:r>
      <w:r>
        <w:rPr>
          <w:rFonts w:ascii="Arial" w:cs="Arial" w:eastAsia="Arial" w:hAnsi="Arial"/>
          <w:sz w:val="16"/>
          <w:szCs w:val="16"/>
          <w:b w:val="1"/>
          <w:bCs w:val="1"/>
          <w:color w:val="auto"/>
        </w:rPr>
        <w:t xml:space="preserve"> </w:t>
      </w:r>
      <w:r>
        <w:rPr>
          <w:rFonts w:ascii="Arial" w:cs="Arial" w:eastAsia="Arial" w:hAnsi="Arial"/>
          <w:sz w:val="16"/>
          <w:szCs w:val="16"/>
          <w:color w:val="auto"/>
        </w:rPr>
        <w:t>the power of accelerating technological innovations to improve the efficiency of drug discovery and development.</w:t>
      </w:r>
    </w:p>
    <w:p>
      <w:pPr>
        <w:spacing w:after="0" w:line="2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Our mission at Recursion, </w:t>
      </w:r>
      <w:r>
        <w:rPr>
          <w:rFonts w:ascii="Arial" w:cs="Arial" w:eastAsia="Arial" w:hAnsi="Arial"/>
          <w:sz w:val="18"/>
          <w:szCs w:val="18"/>
          <w:b w:val="1"/>
          <w:bCs w:val="1"/>
          <w:i w:val="1"/>
          <w:iCs w:val="1"/>
          <w:color w:val="auto"/>
        </w:rPr>
        <w:t>Decoding Biology to Radically Improve Lives</w:t>
      </w:r>
      <w:r>
        <w:rPr>
          <w:rFonts w:ascii="Arial" w:cs="Arial" w:eastAsia="Arial" w:hAnsi="Arial"/>
          <w:sz w:val="18"/>
          <w:szCs w:val="18"/>
          <w:i w:val="1"/>
          <w:iCs w:val="1"/>
          <w:color w:val="auto"/>
        </w:rPr>
        <w:t>,</w:t>
      </w:r>
      <w:r>
        <w:rPr>
          <w:rFonts w:ascii="Arial" w:cs="Arial" w:eastAsia="Arial" w:hAnsi="Arial"/>
          <w:sz w:val="18"/>
          <w:szCs w:val="18"/>
          <w:color w:val="auto"/>
        </w:rPr>
        <w:t xml:space="preserve"> flows naturally from our vision. We interpret our mission expansively and believe it to be a durable direction and source of inspiration for our team. We started pioneering, scaling, and industrializing phenomics (data based on images of cellular structures) over a decade ago, but we recognize that drug discovery is made up of many steps, and a point solution targeting one or two steps is insufficient to generate efficiencies across the entire process. To decode biology, we must construct a full-stack technology platform capable of integrating and industrializing many complex workflows. Success in decoding biology implies our ability to predict ways to navigate it. The ability to predictably navigate biology may enable us to build an expansive pipeline of medicines, either by ourselves, with partners, or both. As part of that work, we seek not only to radically improve the lives of patients who could benefit from the medicines we help to deliver, but the lives of those who care for those patients, the lives of our employees and their families, as well as the communities in which we operate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714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0" w:hanging="92"/>
        <w:spacing w:after="0"/>
        <w:tabs>
          <w:tab w:leader="none" w:pos="10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 xml:space="preserve">Adapted from Scannell, J et al (2012). Diagnosing the decline in pharmaceutical R&amp;D efficiency. </w:t>
      </w:r>
      <w:r>
        <w:rPr>
          <w:rFonts w:ascii="Arial" w:cs="Arial" w:eastAsia="Arial" w:hAnsi="Arial"/>
          <w:sz w:val="14"/>
          <w:szCs w:val="14"/>
          <w:i w:val="1"/>
          <w:iCs w:val="1"/>
          <w:color w:val="auto"/>
        </w:rPr>
        <w:t>Nat Rev Drug Discov</w:t>
      </w:r>
      <w:r>
        <w:rPr>
          <w:rFonts w:ascii="Arial" w:cs="Arial" w:eastAsia="Arial" w:hAnsi="Arial"/>
          <w:sz w:val="14"/>
          <w:szCs w:val="14"/>
          <w:color w:val="auto"/>
        </w:rPr>
        <w:t>, 11, 191-200.</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Adapted from Roser, M et al. (2013). Technological Change. </w:t>
      </w:r>
      <w:r>
        <w:rPr>
          <w:rFonts w:ascii="Arial" w:cs="Arial" w:eastAsia="Arial" w:hAnsi="Arial"/>
          <w:sz w:val="14"/>
          <w:szCs w:val="14"/>
          <w:i w:val="1"/>
          <w:iCs w:val="1"/>
          <w:color w:val="auto"/>
        </w:rPr>
        <w:t>OurWorldInData.org</w:t>
      </w:r>
      <w:r>
        <w:rPr>
          <w:rFonts w:ascii="Arial" w:cs="Arial" w:eastAsia="Arial" w:hAnsi="Arial"/>
          <w:sz w:val="14"/>
          <w:szCs w:val="14"/>
          <w:color w:val="auto"/>
        </w:rPr>
        <w: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386080</wp:posOffset>
            </wp:positionV>
            <wp:extent cx="3446145" cy="30175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4614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Figure 3: Recursion’s Founding Principles and Values support our ambitious mission. </w:t>
      </w:r>
      <w:r>
        <w:rPr>
          <w:rFonts w:ascii="Arial" w:cs="Arial" w:eastAsia="Arial" w:hAnsi="Arial"/>
          <w:sz w:val="16"/>
          <w:szCs w:val="16"/>
          <w:color w:val="auto"/>
        </w:rPr>
        <w:t>Together, these elements shape Recursion’s culture by guiding</w:t>
      </w:r>
      <w:r>
        <w:rPr>
          <w:rFonts w:ascii="Arial" w:cs="Arial" w:eastAsia="Arial" w:hAnsi="Arial"/>
          <w:sz w:val="16"/>
          <w:szCs w:val="16"/>
          <w:b w:val="1"/>
          <w:bCs w:val="1"/>
          <w:color w:val="auto"/>
        </w:rPr>
        <w:t xml:space="preserve"> </w:t>
      </w:r>
      <w:r>
        <w:rPr>
          <w:rFonts w:ascii="Arial" w:cs="Arial" w:eastAsia="Arial" w:hAnsi="Arial"/>
          <w:sz w:val="16"/>
          <w:szCs w:val="16"/>
          <w:color w:val="auto"/>
        </w:rPr>
        <w:t>our people to high-impact decision-making and behaviors.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culture at Recursion is intentionally designed to fuel our mission. We believe culture drives delivery. Essential to decoding biology in our context is the Recursion Mindset, a deep commitment to achieving impact at unprecedented scale through pioneering new industrialized approaches. To decode biology, we intentionally source talent from an incredible breadth of fields from multiple industries. For all of our employees, Recursion is a new kind of company. The guideposts for teaching our people to successfully transition to TechBio and deliver our mission are our Founding Principles and Values. They are the essential shape of our culture. Our Founding Principles direct us in making scientific and technical decisions that further our mission. Our Values define the day-to-day behaviors that further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144780</wp:posOffset>
            </wp:positionV>
            <wp:extent cx="3317240" cy="13544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724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Figure 4. Recursion’s team requires operating at the interface of many diverse fields. </w:t>
      </w:r>
      <w:r>
        <w:rPr>
          <w:rFonts w:ascii="Arial" w:cs="Arial" w:eastAsia="Arial" w:hAnsi="Arial"/>
          <w:sz w:val="16"/>
          <w:szCs w:val="16"/>
          <w:color w:val="auto"/>
        </w:rPr>
        <w:t>Building a TechBio company requires fluency in operating at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interface of many disciplines and fields not previously attuned to working as closely in traditional biopharma.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Recursion is Industrializing the Drug Discovery Process</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traditional drug discovery and development process is characterized by substantial financial risks, with increasing and long-term capital outlays for development programs that often fail to reach patients as marketed products. Historically, it has taken over ten years and an average capitalized R&amp;D cost of approximately $2 billion per approved medicine to move a drug discovery project from early discovery to an approved therapeutic. Such productivity outcomes have culminated in a rapidly declining internal rate of return for the biopharma industry.</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386080</wp:posOffset>
            </wp:positionV>
            <wp:extent cx="5186045" cy="2057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860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b w:val="1"/>
          <w:bCs w:val="1"/>
          <w:color w:val="auto"/>
        </w:rPr>
        <w:t xml:space="preserve">Figure 5. Historical biopharma industry R&amp;D metrics. </w:t>
      </w:r>
      <w:r>
        <w:rPr>
          <w:rFonts w:ascii="Arial" w:cs="Arial" w:eastAsia="Arial" w:hAnsi="Arial"/>
          <w:sz w:val="16"/>
          <w:szCs w:val="16"/>
          <w:color w:val="auto"/>
        </w:rPr>
        <w:t>The primary driver of the cost to discover and develop a new medicine is clinical failure. Less than</w:t>
      </w:r>
      <w:r>
        <w:rPr>
          <w:rFonts w:ascii="Arial" w:cs="Arial" w:eastAsia="Arial" w:hAnsi="Arial"/>
          <w:sz w:val="16"/>
          <w:szCs w:val="16"/>
          <w:b w:val="1"/>
          <w:bCs w:val="1"/>
          <w:color w:val="auto"/>
        </w:rPr>
        <w:t xml:space="preserve"> </w:t>
      </w:r>
      <w:r>
        <w:rPr>
          <w:rFonts w:ascii="Arial" w:cs="Arial" w:eastAsia="Arial" w:hAnsi="Arial"/>
          <w:sz w:val="16"/>
          <w:szCs w:val="16"/>
          <w:color w:val="auto"/>
        </w:rPr>
        <w:t>4% of drug discovery programs that are initiated result in an approved therapeutic, resulting in a risk-adjusted cost of approximately $1.8 to $2.6 billion per new drug launched.</w:t>
      </w:r>
      <w:r>
        <w:rPr>
          <w:rFonts w:ascii="Arial" w:cs="Arial" w:eastAsia="Arial" w:hAnsi="Arial"/>
          <w:sz w:val="21"/>
          <w:szCs w:val="21"/>
          <w:color w:val="auto"/>
          <w:vertAlign w:val="superscript"/>
        </w:rPr>
        <w:t>3,4,5,6,7</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significant investment and brilliant scientists, these metrics point to the need to evolve a more efficient drug discovery process and explore new tools. Traditional drug discovery relies on basic research discoveries from the scientific community to elucidate disease-relevant pathways and targets to interrogate. Coupled with biology’s incredible complexity, this approach has forced the industry to rely on reductionist hypotheses of the critical drivers of complex diseases, which can create a ‘herd mentality’ as multiple parties chase a limited number of therapeutic targets. The situation has been exacerbated by human bias (e.g., confirmation bias and sunk-cost fallacy). Accentuating this problem, the sequential nature of current drug discovery activities and the challenges with aggregation and relatability of data across projects, teams and departments lead to frequent replication of work and long timelines to discharge the scientific risk of such hypotheses. Despite decades of accumulated knowledge, the result is that drug discovery has unintentionally created hurdles for innovation.</w:t>
      </w:r>
    </w:p>
    <w:p>
      <w:pPr>
        <w:spacing w:after="0" w:line="21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Simultaneously, exponential improvements in computational speed and reductions in data storage costs driven by the technology industry, coupled with the rapid rise of large language models, generative AI and other ML tools, have transformed complex industries from media to transportation to e-commerce. Historically, the biopharma sector has been slow to embrace such innovations. Within the past 18 months, there have been remarkable shifts in perception among technology and biopharma companies as well as among regulators and policymakers, who highlight the utility of AI/ML for broad drug discovery and development from novel target discovery through next-generation manufacturing. We believe this rapid acceleration and adoption of these technologies demonstrates the growing consensus that AI/ML is a catalyst for substantial leaps in drug discovery.</w:t>
      </w:r>
    </w:p>
    <w:p>
      <w:pPr>
        <w:spacing w:after="0" w:line="210"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At Recursion, we are pioneering the integration of innovations across biology, chemistry, automation, data science and engineering to industrialize drug discovery in a full-stack solution across dozens of key workflows and processes critical in discovering and developing a drug. For example, by combining advances in high content microscopy with arrayed CRISPR genome editing techniques, we can rigorously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profile massive, high-dimensional biological and chemical perturbation libraries in multiple human cellular contexts to create digital ‘maps’ of</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human biology. Leveraging advances in scaled computation, we can conduct massive virtual screens to predict the protein targets for billions of chemical compounds. Similarly, data generated from our automated DMPK module and InVivomics platform enables us to predict ADME properties and identify toxicity signals, respectively, significantly faster than traditional methods. We believe that by harnessing advances in technology to industrialize drug discovery, we can derive novel biological insights not previously described by scientific researchers, reduce the effects of human bias inherent in discovery biology and reduce translational risk at the program outset.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0" w:hanging="92"/>
        <w:spacing w:after="0"/>
        <w:tabs>
          <w:tab w:leader="none" w:pos="10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 xml:space="preserve">Zhou, S. and Johnson, R. (2018). Pharmaceutical Probability of Success. </w:t>
      </w:r>
      <w:r>
        <w:rPr>
          <w:rFonts w:ascii="Arial" w:cs="Arial" w:eastAsia="Arial" w:hAnsi="Arial"/>
          <w:sz w:val="14"/>
          <w:szCs w:val="14"/>
          <w:i w:val="1"/>
          <w:iCs w:val="1"/>
          <w:color w:val="auto"/>
        </w:rPr>
        <w:t>Alacrita Consulting, 1-42</w:t>
      </w:r>
    </w:p>
    <w:p>
      <w:pPr>
        <w:ind w:left="100" w:hanging="92"/>
        <w:spacing w:after="0"/>
        <w:tabs>
          <w:tab w:leader="none" w:pos="100" w:val="left"/>
        </w:tabs>
        <w:numPr>
          <w:ilvl w:val="0"/>
          <w:numId w:val="28"/>
        </w:numPr>
        <w:rPr>
          <w:rFonts w:ascii="Arial" w:cs="Arial" w:eastAsia="Arial" w:hAnsi="Arial"/>
          <w:sz w:val="9"/>
          <w:szCs w:val="9"/>
          <w:color w:val="auto"/>
        </w:rPr>
      </w:pPr>
      <w:r>
        <w:rPr>
          <w:rFonts w:ascii="Arial" w:cs="Arial" w:eastAsia="Arial" w:hAnsi="Arial"/>
          <w:sz w:val="14"/>
          <w:szCs w:val="14"/>
          <w:color w:val="auto"/>
        </w:rPr>
        <w:t xml:space="preserve">Steedman M, and Taylor K. (2020). Ten years on: Measuring the return from pharmaceutical innovation. </w:t>
      </w:r>
      <w:r>
        <w:rPr>
          <w:rFonts w:ascii="Arial" w:cs="Arial" w:eastAsia="Arial" w:hAnsi="Arial"/>
          <w:sz w:val="14"/>
          <w:szCs w:val="14"/>
          <w:i w:val="1"/>
          <w:iCs w:val="1"/>
          <w:color w:val="auto"/>
        </w:rPr>
        <w:t>Deloitte</w:t>
      </w:r>
      <w:r>
        <w:rPr>
          <w:rFonts w:ascii="Arial" w:cs="Arial" w:eastAsia="Arial" w:hAnsi="Arial"/>
          <w:sz w:val="14"/>
          <w:szCs w:val="14"/>
          <w:color w:val="auto"/>
        </w:rPr>
        <w:t>. 1-44.</w:t>
      </w:r>
    </w:p>
    <w:p>
      <w:pPr>
        <w:ind w:left="100" w:hanging="92"/>
        <w:spacing w:after="0" w:line="230" w:lineRule="auto"/>
        <w:tabs>
          <w:tab w:leader="none" w:pos="100" w:val="left"/>
        </w:tabs>
        <w:numPr>
          <w:ilvl w:val="0"/>
          <w:numId w:val="29"/>
        </w:numPr>
        <w:rPr>
          <w:rFonts w:ascii="Arial" w:cs="Arial" w:eastAsia="Arial" w:hAnsi="Arial"/>
          <w:sz w:val="9"/>
          <w:szCs w:val="9"/>
          <w:color w:val="auto"/>
        </w:rPr>
      </w:pPr>
      <w:r>
        <w:rPr>
          <w:rFonts w:ascii="Arial" w:cs="Arial" w:eastAsia="Arial" w:hAnsi="Arial"/>
          <w:sz w:val="14"/>
          <w:szCs w:val="14"/>
          <w:color w:val="auto"/>
        </w:rPr>
        <w:t xml:space="preserve">DiMasi et al. (2016). Innovation in the pharmaceutical industry: New estimates of R&amp;D costs. </w:t>
      </w:r>
      <w:r>
        <w:rPr>
          <w:rFonts w:ascii="Arial" w:cs="Arial" w:eastAsia="Arial" w:hAnsi="Arial"/>
          <w:sz w:val="14"/>
          <w:szCs w:val="14"/>
          <w:i w:val="1"/>
          <w:iCs w:val="1"/>
          <w:color w:val="auto"/>
        </w:rPr>
        <w:t>Journal of Health Economics</w:t>
      </w:r>
      <w:r>
        <w:rPr>
          <w:rFonts w:ascii="Arial" w:cs="Arial" w:eastAsia="Arial" w:hAnsi="Arial"/>
          <w:sz w:val="14"/>
          <w:szCs w:val="14"/>
          <w:color w:val="auto"/>
        </w:rPr>
        <w:t>. 47, 20-33.</w:t>
      </w:r>
    </w:p>
    <w:p>
      <w:pPr>
        <w:ind w:left="100" w:hanging="92"/>
        <w:spacing w:after="0" w:line="187" w:lineRule="auto"/>
        <w:tabs>
          <w:tab w:leader="none" w:pos="10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 xml:space="preserve">Paul, et al. (2010). How to improve R&amp;D productivity: the pharmaceutical industry’s grand challenge. </w:t>
      </w:r>
      <w:r>
        <w:rPr>
          <w:rFonts w:ascii="Arial" w:cs="Arial" w:eastAsia="Arial" w:hAnsi="Arial"/>
          <w:sz w:val="14"/>
          <w:szCs w:val="14"/>
          <w:i w:val="1"/>
          <w:iCs w:val="1"/>
          <w:color w:val="auto"/>
        </w:rPr>
        <w:t>Nature Reviews Drug Discovery</w:t>
      </w:r>
      <w:r>
        <w:rPr>
          <w:rFonts w:ascii="Arial" w:cs="Arial" w:eastAsia="Arial" w:hAnsi="Arial"/>
          <w:sz w:val="14"/>
          <w:szCs w:val="14"/>
          <w:color w:val="auto"/>
        </w:rPr>
        <w:t>. 9,203-214</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Martin et al. (2017). Clinical trial cycle times continue to increase despite industry efforts. </w:t>
      </w:r>
      <w:r>
        <w:rPr>
          <w:rFonts w:ascii="Arial" w:cs="Arial" w:eastAsia="Arial" w:hAnsi="Arial"/>
          <w:sz w:val="14"/>
          <w:szCs w:val="14"/>
          <w:i w:val="1"/>
          <w:iCs w:val="1"/>
          <w:color w:val="auto"/>
        </w:rPr>
        <w:t>Nature Reviews Drug Discovery</w:t>
      </w:r>
      <w:r>
        <w:rPr>
          <w:rFonts w:ascii="Arial" w:cs="Arial" w:eastAsia="Arial" w:hAnsi="Arial"/>
          <w:sz w:val="14"/>
          <w:szCs w:val="14"/>
          <w:color w:val="auto"/>
        </w:rPr>
        <w:t>. 16, 157</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386080</wp:posOffset>
            </wp:positionV>
            <wp:extent cx="5829300" cy="23914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b w:val="1"/>
          <w:bCs w:val="1"/>
          <w:color w:val="auto"/>
        </w:rPr>
        <w:t xml:space="preserve">Figure 6. Recursion’s approach to drug discovery. </w:t>
      </w:r>
      <w:r>
        <w:rPr>
          <w:rFonts w:ascii="Arial" w:cs="Arial" w:eastAsia="Arial" w:hAnsi="Arial"/>
          <w:sz w:val="16"/>
          <w:szCs w:val="16"/>
          <w:color w:val="auto"/>
        </w:rPr>
        <w:t>We utilize our Founding Principles on the right to build datasets which are scalable, reliable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relatable in order to elucidate novel biological and chemical insights and industrialize the drug discovery process.</w:t>
      </w:r>
    </w:p>
    <w:p>
      <w:pPr>
        <w:spacing w:after="0" w:line="17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used our approach to generate, aggregate, and integrate one of the largest biological, chemical, and patient-centric datasets in the world at over 50 petabytes at the end of 2023. This dataset includes proprietary phenomics, transcriptomics, predicted protein-ligand binding interactions, InVivomics, ADME data, and more across many biological and chemical contexts as well as preferred access to over 20 petabytes of multimodal oncology patient data from Tempus. Additionally, we have built a proprietary suite of software applications within the Recursion OS which has identified over 5 trillion predicted biological and chemical relationships. With our approach, we endeavor to turn drug discovery into a search problem where we map and navigate biology in an unbiased manner to discover new insights and translate them into potential new medicines at scale.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 and Value Drivers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most small to medium-sized biopharma companies are focused on a narrow slice of biology or a single therapeutic area, the Recursion OS allows us to discover and translate at scale across biology. However, we are cognizant that building disease-area expertise, especially in clinical development, is essential. We have developed a multi-pronged, capital-efficient business model focused on key value-drivers that enable us to demonstrate our progress over time while continuing to invest in the development of the Recursion OS, which we believe is the engine of value creation in the long-term. While our mapping and navigating tools have the plasticity to be applied across therapeutic areas and modalities, our business model is tailored to maximize value and advance programs cost-effectively based on the nature of market and regulatory dynamics associated with our three value drivers (internal pipeline, transformational partnerships, and fit-for-purpose proprietary biological, chemical, and patient-centric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386080</wp:posOffset>
            </wp:positionV>
            <wp:extent cx="5863590" cy="2700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6359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b w:val="1"/>
          <w:bCs w:val="1"/>
          <w:color w:val="auto"/>
        </w:rPr>
        <w:t xml:space="preserve">Figure 7. We harness the value and scale of our Recursion OS using a capital efficient business strategy. </w:t>
      </w:r>
      <w:r>
        <w:rPr>
          <w:rFonts w:ascii="Arial" w:cs="Arial" w:eastAsia="Arial" w:hAnsi="Arial"/>
          <w:sz w:val="16"/>
          <w:szCs w:val="16"/>
          <w:color w:val="auto"/>
        </w:rPr>
        <w:t>Our business strategy is segmented into</w:t>
      </w:r>
      <w:r>
        <w:rPr>
          <w:rFonts w:ascii="Arial" w:cs="Arial" w:eastAsia="Arial" w:hAnsi="Arial"/>
          <w:sz w:val="16"/>
          <w:szCs w:val="16"/>
          <w:b w:val="1"/>
          <w:bCs w:val="1"/>
          <w:color w:val="auto"/>
        </w:rPr>
        <w:t xml:space="preserve"> </w:t>
      </w:r>
      <w:r>
        <w:rPr>
          <w:rFonts w:ascii="Arial" w:cs="Arial" w:eastAsia="Arial" w:hAnsi="Arial"/>
          <w:sz w:val="16"/>
          <w:szCs w:val="16"/>
          <w:color w:val="auto"/>
        </w:rPr>
        <w:t>our following value-drivers: (i) internally developed programs in capital-efficient therapeutic areas; (ii) partnered programs in resource-intensive therapeutic areas; and (iii) proprietary, fit-for-purpose data and models. *Includes a single oncology indication from our Roche and Genentech collaboration.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Value Driver 1 - Internally Developed Programs in Capital Efficient Therapeutic Areas</w:t>
      </w:r>
    </w:p>
    <w:p>
      <w:pPr>
        <w:spacing w:after="0" w:line="25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believe that the primary currency of any biotechnology company today is clinical-stage assets. These programs can be valued using a variety of models by stakeholders in the biopharma ecosystem and most importantly, present the potential to meet critical patient needs. For Recursion, these assets have a variety of additional benefits, including: (i) validation of key elements of the Recursion OS, (ii) growing our expertise in clinical development and (iii) building in-house processes to facilitate smooth interaction with regulatory agencies and advance medicines towards the market. If the Recursion OS evolves as designed, then it will continuously improve with more iterations such that future programs could be more novel and potentially more valuable than today’s programs. Operating as a vertically integrated TechBio company that leverages technology at every step from target discovery through clinical development (and even marketing and distribution) may be the long-term business model with the most upside for our stakeholders, including both investors and patients. We may be opportunistic about selling or licensing assets after they achieve key value-inflection milestones so that we can re-invest in our long-term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Value Driver 2 - Partnered Programs in Resource Intensive Therapeutic Areas</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that in its current form, our Recursion OS is already capable of delivering many more therapeutic insights than we would be able to shepherd alone today. As such, we have chosen to partner with experienced, top-tier biopharma companies like Bayer, Roche, and Genentech to explore intractable and resource-intensive areas of biology. The key advantages of these partnerships are that: (i) we are able to deploy the Recursion OS to turn latent value into tangible value in areas of biology where it would be challenging for us to do so alone; (ii) the clinical development paths for these large therapeutic areas are often resource-intensive and highly complex; and (iii) we are able to learn from our colleagues at these top-tier companies such that it could give us a competitive advantage in the industry over the longer term. This strategy also embeds us in the discovery process of large pharmaceutical companies and gives rise to an alternative long-term business model whereby we become a valued partner of many such companies. Based on how value is ascribed across our industry today, this model alone is not yet feasible to maximize our business impact. However, we feel that due to shifts within the biopharma industry there is some potential for this portion of our business model to accrete notable value over the long-term.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Value Driver 3 - Proprietary, Fit-for-Purpose Training Data and Models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has been demonstrated in many other industries, a value driver and competitive advantage can be generated from the creation of a proprietary dataset. At Recursion, we have generated what we believe to be one of the largest fit-for-purpose, relatable biological, chemical, and patient-centric datasets on Earth. Spanning multiple omics technologies and more than 200 million unique experiments, the over 50 petabytes of data that Recursion generates, aggregates, and integrates has the fundamental purpose of being used to train machine learning models. Through intensive internal work, Recursion uses this data and our own models, algorithms, and software to advance our own internal pipeline of medicines (Value Driver 1) as well as in partnership with our collaborators to advance additional discovery programs (Value Driver 2). As our field increasingly recognizes the potential for a technology-driven revolution in drug discovery, our data has increasing potential to drive value directly. We increasingly see the potential to license select models and subsets of our data to a growing universe of collaborators for which internal efforts would be minimal, but value could be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Landscape and Differentiation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There are a few key factors that differentiate Recursion from other technology-enabled drug discovery companies.</w:t>
      </w:r>
    </w:p>
    <w:p>
      <w:pPr>
        <w:spacing w:after="0" w:line="252" w:lineRule="exact"/>
        <w:rPr>
          <w:sz w:val="20"/>
          <w:szCs w:val="20"/>
          <w:color w:val="auto"/>
        </w:rPr>
      </w:pPr>
    </w:p>
    <w:p>
      <w:pPr>
        <w:ind w:left="660" w:right="100" w:hanging="328"/>
        <w:spacing w:after="0" w:line="253"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Recursion utilizes </w:t>
      </w:r>
      <w:r>
        <w:rPr>
          <w:rFonts w:ascii="Arial" w:cs="Arial" w:eastAsia="Arial" w:hAnsi="Arial"/>
          <w:sz w:val="18"/>
          <w:szCs w:val="18"/>
          <w:b w:val="1"/>
          <w:bCs w:val="1"/>
          <w:color w:val="auto"/>
        </w:rPr>
        <w:t>many biology, chemistry, and patient-centric proprietary datasets and modular tools</w:t>
      </w:r>
      <w:r>
        <w:rPr>
          <w:rFonts w:ascii="Arial" w:cs="Arial" w:eastAsia="Arial" w:hAnsi="Arial"/>
          <w:sz w:val="18"/>
          <w:szCs w:val="18"/>
          <w:color w:val="auto"/>
        </w:rPr>
        <w:t xml:space="preserve"> to industrialize drug discovery, while most other competitor companies rely on a point solution to solve one important step in drug discovery. We recognize that drug discovery is made up of many steps, and a point solution is insufficient to generate efficiencies across the entire process. To decode biology, we must construct a full-stack technology platform capable of integrating and industrializing many complex workflows. In part, Recursion’s LOWE (LLM-Orchestrated Workflow Engine) is a natural progression of workflow automation. In the future, we believe the Recursion OS will also utilize large population genetics datasets and data from payer and healthcare systems to drive greater efficiencies and more precision medicine solutions for patients.</w:t>
      </w:r>
    </w:p>
    <w:p>
      <w:pPr>
        <w:spacing w:after="0" w:line="2" w:lineRule="exact"/>
        <w:rPr>
          <w:rFonts w:ascii="Arial" w:cs="Arial" w:eastAsia="Arial" w:hAnsi="Arial"/>
          <w:sz w:val="18"/>
          <w:szCs w:val="18"/>
          <w:color w:val="auto"/>
        </w:rPr>
      </w:pPr>
    </w:p>
    <w:p>
      <w:pPr>
        <w:ind w:left="660" w:right="200" w:hanging="328"/>
        <w:spacing w:after="0" w:line="250"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Recursion integrates </w:t>
      </w:r>
      <w:r>
        <w:rPr>
          <w:rFonts w:ascii="Arial" w:cs="Arial" w:eastAsia="Arial" w:hAnsi="Arial"/>
          <w:sz w:val="18"/>
          <w:szCs w:val="18"/>
          <w:b w:val="1"/>
          <w:bCs w:val="1"/>
          <w:color w:val="auto"/>
        </w:rPr>
        <w:t>wet-lab and dry-lab capabilities in-house</w:t>
      </w:r>
      <w:r>
        <w:rPr>
          <w:rFonts w:ascii="Arial" w:cs="Arial" w:eastAsia="Arial" w:hAnsi="Arial"/>
          <w:sz w:val="18"/>
          <w:szCs w:val="18"/>
          <w:color w:val="auto"/>
        </w:rPr>
        <w:t xml:space="preserve"> to create a virtuous cycle of iteration. Fit-for-purpose wet-lab experimental data are translated by dry-lab digital tools into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and testable predictions, which in turn generates more wet-lab data from which improved predictions can be made. Recursion is well positioned compared to companies of a similar stage either focused more specifically on the wet-lab only (traditional biotech or pharma companies) or dry-lab only (companies facing rapidly commoditized algorithms and a challenge differentiating on non-proprietary data).</w:t>
      </w:r>
    </w:p>
    <w:p>
      <w:pPr>
        <w:spacing w:after="0" w:line="1" w:lineRule="exact"/>
        <w:rPr>
          <w:rFonts w:ascii="Arial" w:cs="Arial" w:eastAsia="Arial" w:hAnsi="Arial"/>
          <w:sz w:val="18"/>
          <w:szCs w:val="18"/>
          <w:color w:val="auto"/>
        </w:rPr>
      </w:pPr>
    </w:p>
    <w:p>
      <w:pPr>
        <w:ind w:left="660" w:right="140" w:hanging="328"/>
        <w:spacing w:after="0" w:line="255"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Recursion has achieved a </w:t>
      </w:r>
      <w:r>
        <w:rPr>
          <w:rFonts w:ascii="Arial" w:cs="Arial" w:eastAsia="Arial" w:hAnsi="Arial"/>
          <w:sz w:val="18"/>
          <w:szCs w:val="18"/>
          <w:b w:val="1"/>
          <w:bCs w:val="1"/>
          <w:color w:val="auto"/>
        </w:rPr>
        <w:t>significant scale</w:t>
      </w:r>
      <w:r>
        <w:rPr>
          <w:rFonts w:ascii="Arial" w:cs="Arial" w:eastAsia="Arial" w:hAnsi="Arial"/>
          <w:sz w:val="18"/>
          <w:szCs w:val="18"/>
          <w:color w:val="auto"/>
        </w:rPr>
        <w:t xml:space="preserve"> with respect to its scientific, technological, and business endeavors. With five clinical-stage programs, an exciting preclinical pipeline, two of the largest discovery partnerships in the biopharma industry with Roche/Genentech and Bayer, and three technology-focused partnerships, Recursion has achieved a scale, level of integration, and stage that few other TechBio companies have.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Recursion OS</w:t>
      </w:r>
    </w:p>
    <w:p>
      <w:pPr>
        <w:spacing w:after="0" w:line="2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creation of virtuous cycles of physical experiments and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models has been a competitive advantage for leaders in many industries outside of biopharma. In drug discovery, virtuous cycles of experimentation (wet-lab assays) and machine learning (dry-lab predictions) is an approach to efficiently mapping and navigating biology and chemistry at unparalleled scale and efficiency. Critically, by closely integrating the wet-lab and dry-lab in an iterative manner, one can create cycles of virtuous learning, where large fit-for-purpose wet-lab datasets support better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model generation and enable more focused future wet-lab experiments.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386080</wp:posOffset>
            </wp:positionV>
            <wp:extent cx="5597525" cy="27946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9752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b w:val="1"/>
          <w:bCs w:val="1"/>
          <w:color w:val="auto"/>
        </w:rPr>
        <w:t xml:space="preserve">Figure 8. Recursion’s virtuous cycle of wet-lab and dry-lab. </w:t>
      </w:r>
      <w:r>
        <w:rPr>
          <w:rFonts w:ascii="Arial" w:cs="Arial" w:eastAsia="Arial" w:hAnsi="Arial"/>
          <w:sz w:val="16"/>
          <w:szCs w:val="16"/>
          <w:color w:val="auto"/>
        </w:rPr>
        <w:t>(1) Profile biological and chemical systems using automation to scale a small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data-rich assays, including phenomics, transcriptomics, InVivomics, and ADME to generate massive, high quality empirical data; (2) aggregate and analyze the resultant data using a variety of in-house software tools; and (3) map and navigate leveraging proprietary software tools to infer relationships between biology and chemistry. These inferred relationships serve as the basis of our ability to predict how to navigate between biological states using chemical or biological perturbations, which we can then validate in our automated laboratories, completing a virtuous cycle of learning and iteration.</w:t>
      </w:r>
    </w:p>
    <w:p>
      <w:pPr>
        <w:spacing w:after="0" w:line="21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Recursion OS is composed of many wet and dry-lab modules. Each module is both a capability as well as a set of standardized workflows that have been scaled and automated, in some cases, to a very high degree. In order to drive greater efficiency, these modules have been industrialized so that they can be plugged into drug discovery and development activities related to both our internal pipeline as well as large pharma partnerships. Connecting standardized workflows together can be thought of like modular programming but in a biological and chemical context. The general connected modular framework for carrying out industrialized, unbiased drug discovery and development is the Recursion OS.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386080</wp:posOffset>
            </wp:positionV>
            <wp:extent cx="5134610" cy="267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3461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Figure 9. The Recursion OS is composed of many wet- and dry-lab modules that can be connected to carry out industrialized, unbiased drug discovery and development. </w:t>
      </w:r>
      <w:r>
        <w:rPr>
          <w:rFonts w:ascii="Arial" w:cs="Arial" w:eastAsia="Arial" w:hAnsi="Arial"/>
          <w:sz w:val="16"/>
          <w:szCs w:val="16"/>
          <w:color w:val="auto"/>
        </w:rPr>
        <w:t>Each module is both a capability as well as a set of standardized workflows that have been scaled and automated, in some</w:t>
      </w:r>
      <w:r>
        <w:rPr>
          <w:rFonts w:ascii="Arial" w:cs="Arial" w:eastAsia="Arial" w:hAnsi="Arial"/>
          <w:sz w:val="16"/>
          <w:szCs w:val="16"/>
          <w:b w:val="1"/>
          <w:bCs w:val="1"/>
          <w:color w:val="auto"/>
        </w:rPr>
        <w:t xml:space="preserve"> </w:t>
      </w:r>
      <w:r>
        <w:rPr>
          <w:rFonts w:ascii="Arial" w:cs="Arial" w:eastAsia="Arial" w:hAnsi="Arial"/>
          <w:sz w:val="16"/>
          <w:szCs w:val="16"/>
          <w:color w:val="auto"/>
        </w:rPr>
        <w:t>cases, to a very high degree.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143510</wp:posOffset>
            </wp:positionV>
            <wp:extent cx="5143500" cy="2074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b w:val="1"/>
          <w:bCs w:val="1"/>
          <w:color w:val="auto"/>
        </w:rPr>
        <w:t xml:space="preserve">Figure 10. The Recursion OS is meant to industrialize the drug discovery and development process through multiple cycles of learning and iteration. </w:t>
      </w:r>
      <w:r>
        <w:rPr>
          <w:rFonts w:ascii="Arial" w:cs="Arial" w:eastAsia="Arial" w:hAnsi="Arial"/>
          <w:sz w:val="16"/>
          <w:szCs w:val="16"/>
          <w:color w:val="auto"/>
        </w:rPr>
        <w:t>The Recursion OS is built on biologically native cycles of wet-lab and dry-lab modules leveraging phenomics, transcriptomics and InVivomics to</w:t>
      </w:r>
      <w:r>
        <w:rPr>
          <w:rFonts w:ascii="Arial" w:cs="Arial" w:eastAsia="Arial" w:hAnsi="Arial"/>
          <w:sz w:val="16"/>
          <w:szCs w:val="16"/>
          <w:b w:val="1"/>
          <w:bCs w:val="1"/>
          <w:color w:val="auto"/>
        </w:rPr>
        <w:t xml:space="preserve"> </w:t>
      </w:r>
      <w:r>
        <w:rPr>
          <w:rFonts w:ascii="Arial" w:cs="Arial" w:eastAsia="Arial" w:hAnsi="Arial"/>
          <w:sz w:val="16"/>
          <w:szCs w:val="16"/>
          <w:color w:val="auto"/>
        </w:rPr>
        <w:t>drive discovery and validation of targets and compounds, while chemically native cycles of predictive ADME drive optimization of validated hits towards development candidates suitable for human clinical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Wet Lab (Physical)</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create large and relatable datasets, standardization and scale are two critical requirements that can be best achieved through automation. Standardization means that the experiment is executed consistently every time, day after day, year after year - and that any deviations can be detected, tracked, and quantified. It involves meticulous metadata collection, prospective/retrospective experiment execution analysis, standard results storage, quantitative quality control and more. At the same time, massive scale, with millions of experiments executed per week, requires execution of multi-step assays processed rapidly and in a tightly orchestrated manner. This combination of precise repetition, high speed and massive volumes favors relying on robots over highly trained scientists, whose time is better spent on context-specific problems. In addition, automation of high-dimensional experiment readouts at scale enables cost reductions in the large high-dimensional digital datasets that can underpin today’s cutting-edge opportunities in machine learning.</w:t>
      </w:r>
    </w:p>
    <w:p>
      <w:pPr>
        <w:sectPr>
          <w:pgSz w:w="11900" w:h="16838" w:orient="portrait"/>
          <w:cols w:equalWidth="0" w:num="1">
            <w:col w:w="11120"/>
          </w:cols>
          <w:pgMar w:left="320" w:top="135" w:right="4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5" w:right="459" w:bottom="1440" w:gutter="0" w:footer="0" w:header="0"/>
          <w:type w:val="continuous"/>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Data utilized by the Recursion OS spans staining and multi-timepoint live-cell phenomics (brightfield), transcriptomics, proteomics, InVivomics, ADME assays, as well as predicted protein-ligand relationships. Recursion also has a physical library of over 1.7 million compounds, including over 1 million new chemical entity (NCE) starting point substances, a large library of known chemical entities which can serve as guideposts, and more than 500,000 compounds belonging to our collaborators. Further, Recursion has generated a custom whole-genome arrayed CRISPR guide library. Together, these tools allow Recursion to explore millions of different biological perturbations in our own wet labs. We have executed over 200 million phenomics and over 700,000 whole transcriptomics experiments across different biological and chemical contexts in multiple human cell types. In 2023, with the completion of our automated DMPK module, we have now conducted tens of thousands of ADME experiments. Our tissue culture facility has scaled the production of over 50 human cell types and has also enabled work at scale in co-cultures and complex iPSC-derived cell types. Since 2022, for example, Recursion generated more than 1 trillion hiPSC-derived neuronal cells for our partnered work with Roche and Genentech - a scale achieved by few other companies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144780</wp:posOffset>
            </wp:positionV>
            <wp:extent cx="5743575" cy="2640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357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b w:val="1"/>
          <w:bCs w:val="1"/>
          <w:color w:val="auto"/>
        </w:rPr>
        <w:t xml:space="preserve">Figure 11. Diverse datasets utilized by the Recursion OS are highly complementary and add useful context, like the different layers of digital maps of Earth. </w:t>
      </w:r>
      <w:r>
        <w:rPr>
          <w:rFonts w:ascii="Arial" w:cs="Arial" w:eastAsia="Arial" w:hAnsi="Arial"/>
          <w:sz w:val="16"/>
          <w:szCs w:val="16"/>
          <w:color w:val="auto"/>
        </w:rPr>
        <w:t>Multiple data modalities help identify connections within and between layers to enable decoding biology at scale.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Automation</w:t>
      </w:r>
    </w:p>
    <w:p>
      <w:pPr>
        <w:spacing w:after="0" w:line="2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While we do not consider ourselves to be hardware innovators, we have leveraged a significant team of automation scientists to assemble and synchronize advanced but widely-available robotic components, such as liquid dispensers, plate washers, incubation stations, automated HPLC, mass spectrometry and automated microscopy camera systems, to efficiently execute millions of experiments per week across a variety of data-rich outputs with only a small team overseeing the process at any given time. These robotic systems are modular by design and easily configurable to allow us to create complex and variable workflows. Furthermore, we have recently operationalized a fully integrated system that processes plates continuously through all steps in our primary experimental workflows. This fully integrated system is interoperable with the existing batch processing work cells but provides greater walk-away time for our operators and greater throughput in a smaller footprint.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386080</wp:posOffset>
            </wp:positionV>
            <wp:extent cx="5143500" cy="5349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534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b w:val="1"/>
          <w:bCs w:val="1"/>
          <w:color w:val="auto"/>
        </w:rPr>
        <w:t xml:space="preserve">Figure 12. Our high-throughput automation platforms make our labs look more like sophisticated manufacturing facilities than biology R&amp;D laboratories. </w:t>
      </w:r>
      <w:r>
        <w:rPr>
          <w:rFonts w:ascii="Arial" w:cs="Arial" w:eastAsia="Arial" w:hAnsi="Arial"/>
          <w:sz w:val="16"/>
          <w:szCs w:val="16"/>
          <w:color w:val="auto"/>
        </w:rPr>
        <w:t>Our high throughput phenomics platform (top) can execute up to 2.2 million experiments each week with high quality to enable downstream</w:t>
      </w:r>
      <w:r>
        <w:rPr>
          <w:rFonts w:ascii="Arial" w:cs="Arial" w:eastAsia="Arial" w:hAnsi="Arial"/>
          <w:sz w:val="16"/>
          <w:szCs w:val="16"/>
          <w:b w:val="1"/>
          <w:bCs w:val="1"/>
          <w:color w:val="auto"/>
        </w:rPr>
        <w:t xml:space="preserve"> </w:t>
      </w:r>
      <w:r>
        <w:rPr>
          <w:rFonts w:ascii="Arial" w:cs="Arial" w:eastAsia="Arial" w:hAnsi="Arial"/>
          <w:sz w:val="16"/>
          <w:szCs w:val="16"/>
          <w:color w:val="auto"/>
        </w:rPr>
        <w:t>analyses. We are increasingly automating many other of our assays at Recursion.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Cell Culture and Cell Differentiation Tools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built a state-of-the-art cell culture facility to consistently produce high-quality, primary mammalian cells, such as vein, kidney, lung, liver, skin and immune cell subsets, as well as stem cell-derived and cancer cell lines. In total, over 50 cell types have been onboarded to our high-throughput discovery systems. In 2022, we greatly expanded our cell culture facility footprint to perform work using human induced pluripotent stem cell (hiPSC) lines. Specifically, we have developed protocols using CRISPR genome editing technologies to generate knock-out or knock-in lines. We have developed protocols to differentiate hiPSCs into several distinct cell types using 3D and 2D differentiation methods. Furthermore, we have developed internal capabilities to characterize these cells using standardized and partly automated methods. Lastly, we have developed a scalable platform to produce 50-100 billion cells of interest per week and cryopreserve cells in assay-ready frozen format. Since 2022, our team produced over 1 trillion hiPSC-derived cells of interest to support various ongoing projects.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386080</wp:posOffset>
            </wp:positionV>
            <wp:extent cx="4723130" cy="267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2313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Figure 13. Various cells grown at scale for phenomics assays in-house by Recursion. </w:t>
      </w:r>
      <w:r>
        <w:rPr>
          <w:rFonts w:ascii="Arial" w:cs="Arial" w:eastAsia="Arial" w:hAnsi="Arial"/>
          <w:sz w:val="16"/>
          <w:szCs w:val="16"/>
          <w:color w:val="auto"/>
        </w:rPr>
        <w:t>These cells represent a variety of iPSC-derived neuronal cell</w:t>
      </w:r>
      <w:r>
        <w:rPr>
          <w:rFonts w:ascii="Arial" w:cs="Arial" w:eastAsia="Arial" w:hAnsi="Arial"/>
          <w:sz w:val="16"/>
          <w:szCs w:val="16"/>
          <w:b w:val="1"/>
          <w:bCs w:val="1"/>
          <w:color w:val="auto"/>
        </w:rPr>
        <w:t xml:space="preserve"> </w:t>
      </w:r>
      <w:r>
        <w:rPr>
          <w:rFonts w:ascii="Arial" w:cs="Arial" w:eastAsia="Arial" w:hAnsi="Arial"/>
          <w:sz w:val="16"/>
          <w:szCs w:val="16"/>
          <w:color w:val="auto"/>
        </w:rPr>
        <w:t>types to support our neuroscience research.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Phenomics</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Cellular morphology is a holistic measure of cellular state that integrates changes from underlying layers of cell biology, including gene expression, protein production and modification and cell signaling, into a single, powerful readout. Image-based -omics can be two to four orders of magnitude more data-dense per dollar than other -omics datasets that focus on these more proximal readouts, enabling us to generate far more data per dollar spent to inform our drug discovery efforts. We currently generate up to 13.2 million images or 110 terabytes of new data per week across up to 2.2 million experiments. Our phenomics approach builds on the recent explosion of powerful computer vision and ML approaches driven by the technology industry over the last decade. Modern ML tools can be trained to identify the most salient features of images without relying on any pre-selected, disease-specific subject matter expertise, even if these features are imperceptible to the human eye. Using these tools, we can capture the aggregate cellular response induced by a disease-causing perturbation or therapeutic and quantify these changes in an unbiased manner, freeing us from human bias. In contrast, traditional drug discovery relies on presumptive target hypotheses and bespoke biological signaling assays that only capture narrow, pre-determined biology and thus limit the scope of biological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144780</wp:posOffset>
            </wp:positionV>
            <wp:extent cx="4937760" cy="1191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3776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b w:val="1"/>
          <w:bCs w:val="1"/>
          <w:color w:val="auto"/>
        </w:rPr>
        <w:t xml:space="preserve">Figure 14. AI/ML models can detect cellular phenotypes that are indistinguishable to the human eye. </w:t>
      </w:r>
      <w:r>
        <w:rPr>
          <w:rFonts w:ascii="Arial" w:cs="Arial" w:eastAsia="Arial" w:hAnsi="Arial"/>
          <w:sz w:val="16"/>
          <w:szCs w:val="16"/>
          <w:color w:val="auto"/>
        </w:rPr>
        <w:t>Most morphological differences within our</w:t>
      </w:r>
      <w:r>
        <w:rPr>
          <w:rFonts w:ascii="Arial" w:cs="Arial" w:eastAsia="Arial" w:hAnsi="Arial"/>
          <w:sz w:val="16"/>
          <w:szCs w:val="16"/>
          <w:b w:val="1"/>
          <w:bCs w:val="1"/>
          <w:color w:val="auto"/>
        </w:rPr>
        <w:t xml:space="preserve"> </w:t>
      </w:r>
      <w:r>
        <w:rPr>
          <w:rFonts w:ascii="Arial" w:cs="Arial" w:eastAsia="Arial" w:hAnsi="Arial"/>
          <w:sz w:val="16"/>
          <w:szCs w:val="16"/>
          <w:color w:val="auto"/>
        </w:rPr>
        <w:t>images are too subtle for the human eye to detect, but AI models like Phenom-1 deployed in our Recursion OS can readily distinguish between them. The heatmap of similarities shown here between learned embeddings of these images shows clear separation where even well-trained cell biologists or pathologists would be hard-pressed to describe consistent differences.</w:t>
      </w:r>
    </w:p>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Imaging data that we generate can be broadly and consistently used across various biological and chemical contexts to create vast, relatable datasets rather than creating data islands of custom one-off imaging readouts. Previously, most of our phenomics data consisted of fluorescent microscopy images that capture composite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changes in cellular morphology. This protocol, consisting of six subcellular dyes imaged in six different channels, has been optimized to capture a wide array of biology across nearly any adherent human cell type that can be cultured and perturbed in laboratory conditions. In 2023, we expanded how we gather phenomics data and started capturing dynamic timepoint information from our cells throughout an assay using brightfield imaging. This technique offers the benefit of being able to capture data within the same well over time and across assays (e.g., we can capture a transcriptomic endpoint from the same experimental well in which we imaged cells over time after a perturbation of interest). Brightfield imaging, which increasingly comprises our phenomics experiments, enables faster, more cost-effective image analysis across multiple timepoints and modalities. With these broadly applicable approaches, we can capture the effects of a wide range of biological and pharmacological phenomena of interest, including phenotypic changes induced by small molecules, genetic gain- and loss-of-function, toxins, secreted factors, cytokines, infectious agents, or any combination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144145</wp:posOffset>
            </wp:positionV>
            <wp:extent cx="4928870" cy="2460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28870"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auto"/>
        </w:rPr>
        <w:t xml:space="preserve">Figure 15. A cellular image leveraging our fluorescent staining protocol (left) compared to a brightfield cellular image (right), both of which capture multiple levels of information about the cellular state. </w:t>
      </w:r>
      <w:r>
        <w:rPr>
          <w:rFonts w:ascii="Arial" w:cs="Arial" w:eastAsia="Arial" w:hAnsi="Arial"/>
          <w:sz w:val="16"/>
          <w:szCs w:val="16"/>
          <w:color w:val="auto"/>
        </w:rPr>
        <w:t>Brightfield imaging, which increasingly comprises our phenomics experiments, enables</w:t>
      </w:r>
      <w:r>
        <w:rPr>
          <w:rFonts w:ascii="Arial" w:cs="Arial" w:eastAsia="Arial" w:hAnsi="Arial"/>
          <w:sz w:val="16"/>
          <w:szCs w:val="16"/>
          <w:b w:val="1"/>
          <w:bCs w:val="1"/>
          <w:color w:val="auto"/>
        </w:rPr>
        <w:t xml:space="preserve"> </w:t>
      </w:r>
      <w:r>
        <w:rPr>
          <w:rFonts w:ascii="Arial" w:cs="Arial" w:eastAsia="Arial" w:hAnsi="Arial"/>
          <w:sz w:val="16"/>
          <w:szCs w:val="16"/>
          <w:color w:val="auto"/>
        </w:rPr>
        <w:t>faster, more cost-effective image analysis across multiple timepoints and modalities.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143510</wp:posOffset>
            </wp:positionV>
            <wp:extent cx="5812155" cy="2400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1215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b w:val="1"/>
          <w:bCs w:val="1"/>
          <w:color w:val="auto"/>
        </w:rPr>
        <w:t xml:space="preserve">Figure 16. Maps made with phenomics data from both Cell Paint and Brightfield techniques demonstrate highly similar results. </w:t>
      </w:r>
      <w:r>
        <w:rPr>
          <w:rFonts w:ascii="Arial" w:cs="Arial" w:eastAsia="Arial" w:hAnsi="Arial"/>
          <w:sz w:val="16"/>
          <w:szCs w:val="16"/>
          <w:color w:val="auto"/>
        </w:rPr>
        <w:t>Heatmaps reveal</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relationships between genes that span a wide variety of well-documented cellular systems.</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Transcriptomics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developed an in-house transcriptomics laboratory platform, complete with walk up automation and push button digital data processing, capable of profiling up to 25,000 samples per week covering expression of nearly 20,000 genes from samples drawn from any of our biological modules. At the end of 2023, we had leveraged our transcriptomics platform to sequence over 700,000 individual transcriptome samples to improve our biological understanding of many of our programs and to begin to create another layer of orthogonal biological mapping data to complement our phenomics mapping data. In 2024, we intend to further scale and automate this capacity to enable more hits identified from our phenomics platform to be confirmed using an orthogonal, transcriptomic readout as part of our industrialized program generation workflows and we expect to be able to approach whole-genome scale mapping in this data-layer as well. This approach of combining high dimensional, large scale data layers from the Recursion OS, across phenomics and transcriptomics allows us to increase our confidence around which insights to prioritize for scientist follow-up, while at the same time minimizing cost and human effort. Similar to how we scaled transcriptomics to complement phenomics, we expect to scale additional data types like proteomics, metabolomics, lipidomics,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144780</wp:posOffset>
            </wp:positionV>
            <wp:extent cx="5477510" cy="20148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7751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0"/>
        <w:spacing w:after="0" w:line="296" w:lineRule="auto"/>
        <w:rPr>
          <w:sz w:val="20"/>
          <w:szCs w:val="20"/>
          <w:color w:val="auto"/>
        </w:rPr>
      </w:pPr>
      <w:r>
        <w:rPr>
          <w:rFonts w:ascii="Arial" w:cs="Arial" w:eastAsia="Arial" w:hAnsi="Arial"/>
          <w:sz w:val="16"/>
          <w:szCs w:val="16"/>
          <w:b w:val="1"/>
          <w:bCs w:val="1"/>
          <w:color w:val="auto"/>
        </w:rPr>
        <w:t>Figure 17. Recursion utilizes an adapted transcriptomic experimental process to leverage industry-standard sequencing systems at vastly reduced cost per sample.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InVivomics</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 xml:space="preserve">studies are an important tool for assessing efficacy and safety of a compound within the context of a complete, complex whole-organism system. Like other steps in the drug discovery and development process, conventional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are fraught with human bias and limited in the post-study endpoints that they measure. Using our In Vivo Data Collection Infrastructure (which we call InVivomics), we can collect more holistic measurements of an individual animal’s behavior and physiological state using continuous video feeds and sensor technology (e.g., temperature), surveilling animals uninterrupted in their home environment and analyzing readouts live throughout studies in progress across days, weeks, or even months.</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2023, our Digital Vivarium consisted of over one-thousand digital mouse cage units. These support digital tolerability studies, which allow us to identify phenotypic responses unique to different modes of toxicity and prioritize which compounds and doses should be used in efficacy studies. We also conduct InVivomic efficacy studies to evaluate treatment effects early based on whole-animal digital observations. We have also initiated the expansion of our InVivomics tolerability studies into rats to leverage the advantages of whole-animal digital observations for exploratory non-GLP toxicology studies.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386080</wp:posOffset>
            </wp:positionV>
            <wp:extent cx="5666105" cy="1885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610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Figure 18. Our proprietary, scalable Smart Housing System for </w:t>
      </w:r>
      <w:r>
        <w:rPr>
          <w:rFonts w:ascii="Arial" w:cs="Arial" w:eastAsia="Arial" w:hAnsi="Arial"/>
          <w:sz w:val="16"/>
          <w:szCs w:val="16"/>
          <w:b w:val="1"/>
          <w:bCs w:val="1"/>
          <w:i w:val="1"/>
          <w:iCs w:val="1"/>
          <w:color w:val="auto"/>
        </w:rPr>
        <w:t>in vivo</w:t>
      </w:r>
      <w:r>
        <w:rPr>
          <w:rFonts w:ascii="Arial" w:cs="Arial" w:eastAsia="Arial" w:hAnsi="Arial"/>
          <w:sz w:val="16"/>
          <w:szCs w:val="16"/>
          <w:b w:val="1"/>
          <w:bCs w:val="1"/>
          <w:color w:val="auto"/>
        </w:rPr>
        <w:t xml:space="preserve"> studies automatically collects and analyzes video and sensor data from all cages continuously.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ADME Data</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2023 Recursion’s custom-built high-throughput robotic ADME experimentation platform entered production. High quality, reproducible data is evaluated against a rigorously designed set of standard controls and QC metrics to ensure data quality. This data is included in our warehousing system that connects experimental data. We will be deploying this fast-growing dataset to build predictive models for the microsomal stability, plasma protein binding, microsomal protein binding and passive permeability outcomes. These predictive models aim to ultimately prioritize the acquisition of high-quality compounds into the Recursion collection to accelerate our programs. We have also built an analytical laboratory equipped with state-of-the-art liquid chromatography-mass spectrometry equipment. Our analytical chemistry team supports work throughout the lifecycle of our programs, including assessing compound identity and purity for quality control, bioanalysis of compound concentration in plasma and tissue samples from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and biomarker identification and validation activities in support of preclinical and clinical translational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144145</wp:posOffset>
            </wp:positionV>
            <wp:extent cx="4440555" cy="2434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4055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auto"/>
        </w:rPr>
        <w:t>Figure 19. Recursion’s automated DMPK module allows for automated assay execution across plasma protein binding, microsomal stability and cell permeability studies at scale and in both human and rodent cells to advance programs while generating state-of-the-art training data for ML</w:t>
      </w:r>
    </w:p>
    <w:p>
      <w:pPr>
        <w:spacing w:after="0" w:line="1"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b w:val="1"/>
          <w:bCs w:val="1"/>
          <w:color w:val="auto"/>
        </w:rPr>
        <w:t xml:space="preserve">and AI algorithm development. </w:t>
      </w:r>
      <w:r>
        <w:rPr>
          <w:rFonts w:ascii="Arial" w:cs="Arial" w:eastAsia="Arial" w:hAnsi="Arial"/>
          <w:sz w:val="16"/>
          <w:szCs w:val="16"/>
          <w:color w:val="auto"/>
        </w:rPr>
        <w:t>The system has been designed to potentially add new modules into the automated workflow, such as additional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color w:val="auto"/>
        </w:rPr>
        <w:t xml:space="preserve"> </w:t>
      </w:r>
      <w:r>
        <w:rPr>
          <w:rFonts w:ascii="Arial" w:cs="Arial" w:eastAsia="Arial" w:hAnsi="Arial"/>
          <w:sz w:val="16"/>
          <w:szCs w:val="16"/>
          <w:color w:val="auto"/>
        </w:rPr>
        <w:t>absorption, distribution, metabolism, excretion, and toxicity (ADMET) testing</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Chemistry</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in-house chemistry tools include physical compound collections, state-of-the-art compound storage and handling infrastructure and high-precision analytical equipment. The physical capabilities paired with our cutting-edge computational and digital chemistry platforms combine to accelerate hit identification and progression through virtuous cycles of potency and property optimization to deliver differentiated drug candidates. We have a total in-house chemical library of over 1.7 million small molecules from a combination of commercial, semi-proprietary, proprietary, and partner sources and use this library to identify chemical starting points for discovery campaigns. Over 1 million of these compounds reside within the Recursion’s novel chemical entity library curated by our computational and medicinal chemists and designed for highly druggable chemical properties while avoiding undesirable chemical properties, such as poor solubility and permeability. While this library has been constructed to maximize chemical diversity, we have ensured that several analogs of many compound cores are included to help identify emergent SAR for early hits and to enable rapid hit expansion into readily available analogs. Additionally, we have curated a selection of approximately 10,000 clinical-stage and preclinical compounds from public forums or filings, covering approximately 1,000 unique mechanisms of action, for which an abundance of existing data and annotations currently exist. These well-characterized molecules are frequently used as tool compounds within our work and may be advanced as therapeutic programs if the Recursion OS reveals unique and previously undisclosed biological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147955</wp:posOffset>
            </wp:positionV>
            <wp:extent cx="5452110" cy="1663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auto"/>
        </w:rPr>
        <w:t xml:space="preserve">Figure 20. Our state-of-the-art compound storage and handling infrastructure. </w:t>
      </w:r>
      <w:r>
        <w:rPr>
          <w:rFonts w:ascii="Arial" w:cs="Arial" w:eastAsia="Arial" w:hAnsi="Arial"/>
          <w:sz w:val="16"/>
          <w:szCs w:val="16"/>
          <w:color w:val="auto"/>
        </w:rPr>
        <w:t>These tools provide the potential to store up to more than 60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compounds (in plated formats) onsite.</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December 2023, we entered into a collaboration with Enamine to generate and design enriched compound libraries for the global drug discovery industry. By leveraging Recursion’s MatchMaker AI model, a product added to Recursion after the acquisition of Cyclica in 2023, to identify compounds in the Enamine REAL Space predicted to bind to high-value targets, we believe we can generate more powerful compound libraries for drug discovery purposes. Recursion is expanding our chemical libraires by leveraging MatchMaker and other Recursion-developed predictive ML models to select compounds that represent tractable starting points and have an increased probability of exhibiting biological activity on our phenomics platform. We believe that the scale of our total in-house chemical library is comparable to the scale of chemical libraries curated by some large pharmaceutical companies. We plan to substantially increase the size and diversity of our NCE library over the coming years through a combination of partnerships and investments in automated chemical microsynthesis in order to more fully understand novel biological and chemical relationships. With the completion of our recent wet-laboratory expansion, we now have the potential capability to store up to more than 60 million compounds (in plated formats) onsite.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386080</wp:posOffset>
            </wp:positionV>
            <wp:extent cx="5863590" cy="1928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359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auto"/>
        </w:rPr>
        <w:t xml:space="preserve">Figure 21. Our MatchMaker technology predicted the protein target(s) for ~36 billion chemical compounds in the Enamine REAL Space, reported to be the world’s largest searchable chemical library. </w:t>
      </w:r>
      <w:r>
        <w:rPr>
          <w:rFonts w:ascii="Arial" w:cs="Arial" w:eastAsia="Arial" w:hAnsi="Arial"/>
          <w:sz w:val="16"/>
          <w:szCs w:val="16"/>
          <w:color w:val="auto"/>
        </w:rPr>
        <w:t>We use the predicted interactions as a complementary data layer in our multiomics dataset for</w:t>
      </w:r>
      <w:r>
        <w:rPr>
          <w:rFonts w:ascii="Arial" w:cs="Arial" w:eastAsia="Arial" w:hAnsi="Arial"/>
          <w:sz w:val="16"/>
          <w:szCs w:val="16"/>
          <w:b w:val="1"/>
          <w:bCs w:val="1"/>
          <w:color w:val="auto"/>
        </w:rPr>
        <w:t xml:space="preserve"> </w:t>
      </w:r>
      <w:r>
        <w:rPr>
          <w:rFonts w:ascii="Arial" w:cs="Arial" w:eastAsia="Arial" w:hAnsi="Arial"/>
          <w:sz w:val="16"/>
          <w:szCs w:val="16"/>
          <w:color w:val="auto"/>
        </w:rPr>
        <w:t>honing mechanistic predictions from our wet-labs and for accelerating SAR cycles through better predictions for our internal pipeline and within our partnerships.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Patient-Centric Genomics Data</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2023, we entered into a collaboration with Tempus giving Recursion access to over 20 petabytes of proprietary deidentified, multimodal patient oncology data, spanning DNA and RNA tumor sequencing data, imaging, and health records collected from the diagnostic profiling of hundreds of thousands of cancer patients. We believe this data gives Recursion a unique opportunity to fuse the “reverse genetics” approach of our wet-lab platform (identifying cellular phenotypes associated with particular genetic perturbations) with a patient-centric “forward genetics” dataset (identifying genotypes associated with disease-related phenotypes including but not limited to cancer type, progression, response, and survival). In particular, we intend to use this dataset to train causal AI models making use of both patient data and Recursion-proprietary experimental data to go beyond mere correlations or associations in patient data to improve the speed, precision, and scale of therapeutic development in oncology by identifying superior therapeutic targets and well-calibrated populations to accelerate our oncology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144145</wp:posOffset>
            </wp:positionV>
            <wp:extent cx="5657850" cy="25031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40"/>
        <w:spacing w:after="0" w:line="265" w:lineRule="auto"/>
        <w:rPr>
          <w:sz w:val="20"/>
          <w:szCs w:val="20"/>
          <w:color w:val="auto"/>
        </w:rPr>
      </w:pPr>
      <w:r>
        <w:rPr>
          <w:rFonts w:ascii="Arial" w:cs="Arial" w:eastAsia="Arial" w:hAnsi="Arial"/>
          <w:sz w:val="16"/>
          <w:szCs w:val="16"/>
          <w:b w:val="1"/>
          <w:bCs w:val="1"/>
          <w:color w:val="auto"/>
        </w:rPr>
        <w:t xml:space="preserve">Figure 22. Integration of Recursion reverse-genetics and Tempus forward-genetics data. </w:t>
      </w:r>
      <w:r>
        <w:rPr>
          <w:rFonts w:ascii="Arial" w:cs="Arial" w:eastAsia="Arial" w:hAnsi="Arial"/>
          <w:sz w:val="16"/>
          <w:szCs w:val="16"/>
          <w:color w:val="auto"/>
        </w:rPr>
        <w:t>New potential causal nodes beyond known drivers in lung</w:t>
      </w:r>
      <w:r>
        <w:rPr>
          <w:rFonts w:ascii="Arial" w:cs="Arial" w:eastAsia="Arial" w:hAnsi="Arial"/>
          <w:sz w:val="16"/>
          <w:szCs w:val="16"/>
          <w:b w:val="1"/>
          <w:bCs w:val="1"/>
          <w:color w:val="auto"/>
        </w:rPr>
        <w:t xml:space="preserve"> </w:t>
      </w:r>
      <w:r>
        <w:rPr>
          <w:rFonts w:ascii="Arial" w:cs="Arial" w:eastAsia="Arial" w:hAnsi="Arial"/>
          <w:sz w:val="16"/>
          <w:szCs w:val="16"/>
          <w:color w:val="auto"/>
        </w:rPr>
        <w:t>cancer. At top right, a distribution of potential genetic targets in lung cancer prioritized based on literature-derived evidence. At bottom right, re-ranking of these genes making use of joint Recursion-Tempus evidence using our causal discovery workflow discovers several novel targets with therapeutic impact potentially comparable to known non-small-cell lung cancer drivers.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Dry Lab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and Data Storage Infrastructure</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Recursion OS is built on top of a core technology stack that is highly scalable and flexible. We have adopted a hybrid-cloud strategy, leveraging the benefits of both public and private cloud infrastructure depending on the context and our needs.</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 xml:space="preserve">Public Cloud. </w:t>
      </w:r>
      <w:r>
        <w:rPr>
          <w:rFonts w:ascii="Arial" w:cs="Arial" w:eastAsia="Arial" w:hAnsi="Arial"/>
          <w:sz w:val="18"/>
          <w:szCs w:val="18"/>
          <w:color w:val="auto"/>
        </w:rPr>
        <w:t>The public cloud is our default choice for production workloads and applications. The scale, elasticity of compute and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and economies of scale offered by public cloud computing providers enable us to cost-effectively execute our strategy. We benefit from large capital and investments from cloud service providers to utilize at-scale technologies that would otherwise be cost-prohibitive to build on our own.</w:t>
      </w:r>
    </w:p>
    <w:p>
      <w:pPr>
        <w:spacing w:after="0" w:line="203"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i w:val="1"/>
          <w:iCs w:val="1"/>
          <w:color w:val="auto"/>
        </w:rPr>
        <w:t xml:space="preserve">Private Cloud. </w:t>
      </w:r>
      <w:r>
        <w:rPr>
          <w:rFonts w:ascii="Arial" w:cs="Arial" w:eastAsia="Arial" w:hAnsi="Arial"/>
          <w:sz w:val="17"/>
          <w:szCs w:val="17"/>
          <w:color w:val="auto"/>
        </w:rPr>
        <w:t>We make use of owned infrastructure to orchestrate the activities in our labs and transfer the data to the public cloud. We also</w:t>
      </w:r>
      <w:r>
        <w:rPr>
          <w:rFonts w:ascii="Arial" w:cs="Arial" w:eastAsia="Arial" w:hAnsi="Arial"/>
          <w:sz w:val="17"/>
          <w:szCs w:val="17"/>
          <w:i w:val="1"/>
          <w:iCs w:val="1"/>
          <w:color w:val="auto"/>
        </w:rPr>
        <w:t xml:space="preserve"> </w:t>
      </w:r>
      <w:r>
        <w:rPr>
          <w:rFonts w:ascii="Arial" w:cs="Arial" w:eastAsia="Arial" w:hAnsi="Arial"/>
          <w:sz w:val="17"/>
          <w:szCs w:val="17"/>
          <w:color w:val="auto"/>
        </w:rPr>
        <w:t>own and operate GPU-based high-performance computing to train our state-of-the-art machine learning models. Owning this infrastructure is critical both for resiliency (on-premises laboratories) and for availability (GPUs) at a time when GPU availability continues to be at a premium.</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BioHive-1 and High-Performance Computing in a Private Cloud. </w:t>
      </w:r>
      <w:r>
        <w:rPr>
          <w:rFonts w:ascii="Arial" w:cs="Arial" w:eastAsia="Arial" w:hAnsi="Arial"/>
          <w:sz w:val="18"/>
          <w:szCs w:val="18"/>
          <w:color w:val="auto"/>
        </w:rPr>
        <w:t>Much of our deep learning model training and research happens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world-class supercomputer named BioHive-1. BioHive-1 is built on NVIDIA’s DGX SuperPod architecture and as of November 2023 is ranked #157 on the TOP500 list of the world’s most powerful supercomputers. In November 2023, we committed to working with NVIDIA to expand BioHive-1 to increase the computational capacity by over 4X. We project that upon completion and benchmarking, BioHive-1 will be in the top 50 most powerful supercomputers in the world across any industry (according to the TOP500 list) and will be the most powerful supercomputer owned and operated by any biopharma company. We believe that a combination of compute, data and talent will enable us to train industry leading AI/ML foundation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144780</wp:posOffset>
            </wp:positionV>
            <wp:extent cx="4389120" cy="32918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8912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b w:val="1"/>
          <w:bCs w:val="1"/>
          <w:color w:val="auto"/>
        </w:rPr>
        <w:t xml:space="preserve">Figure 23. We believe BioHive-1 is one of the most powerful supercomputers dedicated to drug discovery. </w:t>
      </w:r>
      <w:r>
        <w:rPr>
          <w:rFonts w:ascii="Arial" w:cs="Arial" w:eastAsia="Arial" w:hAnsi="Arial"/>
          <w:sz w:val="16"/>
          <w:szCs w:val="16"/>
          <w:color w:val="auto"/>
        </w:rPr>
        <w:t>In November 2023, we committed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adding over 500 NVIDIA H100 Tensor Core GPUs to the more than 300 NVIDIA A100 Tensor Core GPUs already in place, which will increase our computational capacity by more than 4X.</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Recursion Data Universe</w:t>
      </w:r>
    </w:p>
    <w:p>
      <w:pPr>
        <w:spacing w:after="0" w:line="250" w:lineRule="exact"/>
        <w:rPr>
          <w:sz w:val="20"/>
          <w:szCs w:val="20"/>
          <w:color w:val="auto"/>
        </w:rPr>
      </w:pPr>
    </w:p>
    <w:p>
      <w:pPr>
        <w:jc w:val="both"/>
        <w:ind w:right="380"/>
        <w:spacing w:after="0" w:line="282" w:lineRule="auto"/>
        <w:rPr>
          <w:sz w:val="20"/>
          <w:szCs w:val="20"/>
          <w:color w:val="auto"/>
        </w:rPr>
      </w:pPr>
      <w:r>
        <w:rPr>
          <w:rFonts w:ascii="Arial" w:cs="Arial" w:eastAsia="Arial" w:hAnsi="Arial"/>
          <w:sz w:val="17"/>
          <w:szCs w:val="17"/>
          <w:color w:val="auto"/>
        </w:rPr>
        <w:t>Modern approaches to drug discovery are built on significant datasets, in both structured and unstructured forms, as well as from various sources, proprietary, licensed, and public. Recursion enables access to the Data Universe through a combination of modern Data Lake / Warehouse tools for our structured data, and proprietary tools for managing our large volume of unstructured data. Recursion combines these data sources as part of The Recursion Data Universe, which compromises the following data sets, among others:</w:t>
      </w:r>
    </w:p>
    <w:p>
      <w:pPr>
        <w:spacing w:after="0" w:line="188" w:lineRule="exact"/>
        <w:rPr>
          <w:sz w:val="20"/>
          <w:szCs w:val="20"/>
          <w:color w:val="auto"/>
        </w:rPr>
      </w:pPr>
    </w:p>
    <w:p>
      <w:pPr>
        <w:jc w:val="both"/>
        <w:ind w:left="660" w:right="10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Proprietary, Unstructured</w:t>
      </w:r>
      <w:r>
        <w:rPr>
          <w:rFonts w:ascii="Arial" w:cs="Arial" w:eastAsia="Arial" w:hAnsi="Arial"/>
          <w:sz w:val="18"/>
          <w:szCs w:val="18"/>
          <w:color w:val="auto"/>
        </w:rPr>
        <w:t>: This represents the data we generate from our scientific platforms, and consists of high-resolution images</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phenomics assays, sequence readouts from our transcriptomics assays, mass spectrometry data from our DMPK module, and video data from our InVivomics assays.</w:t>
      </w:r>
    </w:p>
    <w:p>
      <w:pPr>
        <w:spacing w:after="0" w:line="197"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Proprietary, Structured</w:t>
      </w:r>
      <w:r>
        <w:rPr>
          <w:rFonts w:ascii="Arial" w:cs="Arial" w:eastAsia="Arial" w:hAnsi="Arial"/>
          <w:sz w:val="18"/>
          <w:szCs w:val="18"/>
          <w:color w:val="auto"/>
        </w:rPr>
        <w:t>: To enable access to all this data, Recursion keeps significant metadata and structured data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outcomes from our experiments. This includes the embeddings output from our deep learning models, as well as various analyses of the data from our assays. Our unique use of high dimensional readouts from our assays enables comparison over time in ways not otherwise possible in industry.</w:t>
      </w:r>
    </w:p>
    <w:p>
      <w:pPr>
        <w:spacing w:after="0" w:line="203"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Licensed, Structured and Unstructured</w:t>
      </w:r>
      <w:r>
        <w:rPr>
          <w:rFonts w:ascii="Arial" w:cs="Arial" w:eastAsia="Arial" w:hAnsi="Arial"/>
          <w:sz w:val="18"/>
          <w:szCs w:val="18"/>
          <w:color w:val="auto"/>
        </w:rPr>
        <w:t>: In 2023, we entered into a collaboration with Tempus giving Recursion access to over 20</w:t>
      </w:r>
      <w:r>
        <w:rPr>
          <w:rFonts w:ascii="Arial" w:cs="Arial" w:eastAsia="Arial" w:hAnsi="Arial"/>
          <w:sz w:val="18"/>
          <w:szCs w:val="18"/>
          <w:i w:val="1"/>
          <w:iCs w:val="1"/>
          <w:color w:val="auto"/>
        </w:rPr>
        <w:t xml:space="preserve"> </w:t>
      </w:r>
      <w:r>
        <w:rPr>
          <w:rFonts w:ascii="Arial" w:cs="Arial" w:eastAsia="Arial" w:hAnsi="Arial"/>
          <w:sz w:val="18"/>
          <w:szCs w:val="18"/>
          <w:color w:val="auto"/>
        </w:rPr>
        <w:t>petabytes of proprietary deidentified, patient-centric, multimodal oncology data for the purpose of training causal AI models. We are adding this data to our Data Universe and enabling further data layers to our drug discovery workflows.</w:t>
      </w:r>
    </w:p>
    <w:p>
      <w:pPr>
        <w:spacing w:after="0" w:line="197"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Public, Structured</w:t>
      </w:r>
      <w:r>
        <w:rPr>
          <w:rFonts w:ascii="Arial" w:cs="Arial" w:eastAsia="Arial" w:hAnsi="Arial"/>
          <w:sz w:val="18"/>
          <w:szCs w:val="18"/>
          <w:color w:val="auto"/>
        </w:rPr>
        <w:t>: We regularly make use of public datasets as part of the Recursion Data Universe to expand our understanding of</w:t>
      </w:r>
      <w:r>
        <w:rPr>
          <w:rFonts w:ascii="Arial" w:cs="Arial" w:eastAsia="Arial" w:hAnsi="Arial"/>
          <w:sz w:val="18"/>
          <w:szCs w:val="18"/>
          <w:i w:val="1"/>
          <w:iCs w:val="1"/>
          <w:color w:val="auto"/>
        </w:rPr>
        <w:t xml:space="preserve"> </w:t>
      </w:r>
      <w:r>
        <w:rPr>
          <w:rFonts w:ascii="Arial" w:cs="Arial" w:eastAsia="Arial" w:hAnsi="Arial"/>
          <w:sz w:val="18"/>
          <w:szCs w:val="18"/>
          <w:color w:val="auto"/>
        </w:rPr>
        <w:t>biology and chemistry. Sources include the UK Biobank, TCGA and DepMap from the Broad Institute of MIT and Harvard.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Mapping and Navigating to Drive Insights and Outcomes</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Recursion Data Universe spans many petabytes of biological, chemical, and patient-centric data, relatable across years of experiment execution and data types. We have also built a rapidly growing suite of in-house software applications designed to process and translate this data into rapidly actionable insights. Increasingly, these tools and data are joined in automated workflows to rapidly prosecute drug discovery programs.</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 core part of the Recursion Data Universe is our maps of biology and chemistry: massive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datasets created from our physical assays (e.g., phenomics) as well as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models (e.g., MatchMaker). Our maps predict relationships and interactions and allow Recursion to be extremely efficient in what studies to prioritize for a given drug discovery opportunity. By layering different maps from different technical modalities or from different biological or chemical spaces, we create a drug discovery “atlas” in which insights are further strengthened and understood by looking across map layers in an unbiased manner (e.g., characterizing a compound across phenomics, transcriptomics, ligand-target binding,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ADMET, etc.).</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Collectively, our phenotypic maps contain over 5 trillion inferred relationships generated by ML tools without human bias, spanning across genetic perturbations as well as a large number of small- and large-molecule perturbations. Our ability to query the relationships between any perturbations in our phenotypic maps changes drug discovery from an iterative trial-and-error process into a computationally driven search problem. Unlike a traditional high-throughput screen, in which many compounds are profiled for their activity against a single target at a time, our mapping and navigating approach enables every compound we profile to be analyzed not just for its activity against a single target, but for its inferred activity against </w:t>
      </w:r>
      <w:r>
        <w:rPr>
          <w:rFonts w:ascii="Arial" w:cs="Arial" w:eastAsia="Arial" w:hAnsi="Arial"/>
          <w:sz w:val="18"/>
          <w:szCs w:val="18"/>
          <w:i w:val="1"/>
          <w:iCs w:val="1"/>
          <w:color w:val="auto"/>
        </w:rPr>
        <w:t>all possible targets</w:t>
      </w:r>
      <w:r>
        <w:rPr>
          <w:rFonts w:ascii="Arial" w:cs="Arial" w:eastAsia="Arial" w:hAnsi="Arial"/>
          <w:sz w:val="18"/>
          <w:szCs w:val="18"/>
          <w:color w:val="auto"/>
        </w:rPr>
        <w:t xml:space="preserve"> in our arrayed CRISPR library, as well as its similarity to every compound we have previously analyzed – producing a super-linear growth in biological and chemical relationships.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540385</wp:posOffset>
            </wp:positionV>
            <wp:extent cx="5760720" cy="31718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6072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b w:val="1"/>
          <w:bCs w:val="1"/>
          <w:color w:val="auto"/>
        </w:rPr>
        <w:t xml:space="preserve">Figure 24. Mapping and navigating enable simultaneous genome-wide screening. </w:t>
      </w:r>
      <w:r>
        <w:rPr>
          <w:rFonts w:ascii="Arial" w:cs="Arial" w:eastAsia="Arial" w:hAnsi="Arial"/>
          <w:sz w:val="16"/>
          <w:szCs w:val="16"/>
          <w:color w:val="auto"/>
        </w:rPr>
        <w:t>Traditional pharma high-throughput screening methods (left) screen</w:t>
      </w:r>
      <w:r>
        <w:rPr>
          <w:rFonts w:ascii="Arial" w:cs="Arial" w:eastAsia="Arial" w:hAnsi="Arial"/>
          <w:sz w:val="16"/>
          <w:szCs w:val="16"/>
          <w:b w:val="1"/>
          <w:bCs w:val="1"/>
          <w:color w:val="auto"/>
        </w:rPr>
        <w:t xml:space="preserve"> </w:t>
      </w:r>
      <w:r>
        <w:rPr>
          <w:rFonts w:ascii="Arial" w:cs="Arial" w:eastAsia="Arial" w:hAnsi="Arial"/>
          <w:sz w:val="16"/>
          <w:szCs w:val="16"/>
          <w:color w:val="auto"/>
        </w:rPr>
        <w:t>thousands to millions of compounds simultaneously against single targets, but little or no information about other targets. Recursion’s mapping and navigating approach (right) enables us, in a single experiment, to infer the activity of a compound against all potential targets in our arrayed CRISPR knockout screen.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LOWE: Large-Language Model (LLM) Orchestrated Workflow Engine</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growing number of AI tools and datasets at Recursion – comprised of many wet-lab and dry-lab modules that can be connected – increases the complexity of our early drug discovery workflows. Moreover, each module often requires specific expertise to operate and is only accessible to highly trained data scientists or machine learning engineers. LOWE is an LLM agent designed to orchestrate complex drug discovery workflows using a natural language interface. These workflows chain together a variety of steps and tools, from finding significant relationships within Recursion’s maps of biology and chemistry to generating novel compounds and scheduling them for synthesis and experimentation. Through its natural language interface and interactive graphics, LOWE puts state-of-the-art AI tools into the hands of every drug discovery scientist at Recursion in a simple and scalable way.</w:t>
      </w:r>
    </w:p>
    <w:p>
      <w:pPr>
        <w:spacing w:after="0" w:line="210"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LOWE not only represents the next evolution of the Recursion OS, but also how we believe drug discovery will be done at every company in the next 5 to 10 years. Today, LOWE is directed by scientists who formulate hypotheses and ask questions. In the future, we believe LOWE could be combined with additional AI agents capable of formulating hypotheses and learning from results, effectively thinking like a biologist or chemist. LOWE is a first step towards the development of autonomous ‘AI scientists’ for therapeutic discovery.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386080</wp:posOffset>
            </wp:positionV>
            <wp:extent cx="5829300" cy="3180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Figure 25. LOWE can orchestrate both wet-lab and dry-lab complex drug discovery tasks using natural language. </w:t>
      </w:r>
      <w:r>
        <w:rPr>
          <w:rFonts w:ascii="Arial" w:cs="Arial" w:eastAsia="Arial" w:hAnsi="Arial"/>
          <w:sz w:val="16"/>
          <w:szCs w:val="16"/>
          <w:color w:val="auto"/>
        </w:rPr>
        <w:t>In the examples above, LOWE</w:t>
      </w:r>
      <w:r>
        <w:rPr>
          <w:rFonts w:ascii="Arial" w:cs="Arial" w:eastAsia="Arial" w:hAnsi="Arial"/>
          <w:sz w:val="16"/>
          <w:szCs w:val="16"/>
          <w:b w:val="1"/>
          <w:bCs w:val="1"/>
          <w:color w:val="auto"/>
        </w:rPr>
        <w:t xml:space="preserve"> </w:t>
      </w:r>
      <w:r>
        <w:rPr>
          <w:rFonts w:ascii="Arial" w:cs="Arial" w:eastAsia="Arial" w:hAnsi="Arial"/>
          <w:sz w:val="16"/>
          <w:szCs w:val="16"/>
          <w:color w:val="auto"/>
        </w:rPr>
        <w:t>has i) identified a list of targets involved in non-small cell lung cancer, ii) identified the top 50 commercially available compounds that have a similar structure to an initial hit, and iii) designed a phenomics experiment to test the compounds for phenosimilarity to a given target.</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Because LOWE deploys via a web-based application, the most up to date versions of data and modules are automatically propagated for usage so that version control is not an issue. At Recursion, we are working on an autonomous agent that interfaces with a set of drug discovery modules, whereby a human scientist would review a set of potential programs for further advancement. Whether running via human prompts or autonomously, LOWE maintains a precise record of the commands being made, versions of the data and modules being called, and results being relayed so that workflows could be replicated in the future and computational and experimental results can be collected as evidence for the progression of programs for our internal pipeline, external partners, or regulatory groups.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Enabling Software Tools and LLMs</w:t>
      </w:r>
    </w:p>
    <w:p>
      <w:pPr>
        <w:spacing w:after="0" w:line="2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Additional internal software tools drive efficiency by enabling us to map and navigate data spanning more than 5 trillion predicted biological and chemical relationships, prioritize disease, target, and compound opportunities, design large experimental layouts, and automatically execute and continuously monitor experimental protocols. For example, </w:t>
      </w:r>
      <w:r>
        <w:rPr>
          <w:rFonts w:ascii="Arial" w:cs="Arial" w:eastAsia="Arial" w:hAnsi="Arial"/>
          <w:sz w:val="18"/>
          <w:szCs w:val="18"/>
          <w:i w:val="1"/>
          <w:iCs w:val="1"/>
          <w:color w:val="auto"/>
        </w:rPr>
        <w:t>MapApp</w:t>
      </w:r>
      <w:r>
        <w:rPr>
          <w:rFonts w:ascii="Arial" w:cs="Arial" w:eastAsia="Arial" w:hAnsi="Arial"/>
          <w:sz w:val="18"/>
          <w:szCs w:val="18"/>
          <w:color w:val="auto"/>
        </w:rPr>
        <w:t xml:space="preserve"> enables scientists to explore relationships using several visualizations, statistical measurements and data layers including known information about compounds or known relationships between genes and diseases to rapidly distinguish novel insights. Other tools monitor real-time onsite reagent supplies, enable consistent control strategies, and design standards that make each week’s data relatable across time. Additionally, these tools automatically flag experiments or processes which miss quality requirements or stall at some point in the process and notify the appropriate personnel.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386080</wp:posOffset>
            </wp:positionV>
            <wp:extent cx="2914650" cy="1671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1465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26. Our MapApp tool allows scientists to simultaneously view multiple relationships between genes and compounds.</w:t>
      </w:r>
    </w:p>
    <w:p>
      <w:pPr>
        <w:spacing w:after="0" w:line="2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Large Language Model (LLM) Cataloging of Scientific Literature. </w:t>
      </w:r>
      <w:r>
        <w:rPr>
          <w:rFonts w:ascii="Arial" w:cs="Arial" w:eastAsia="Arial" w:hAnsi="Arial"/>
          <w:sz w:val="18"/>
          <w:szCs w:val="18"/>
          <w:color w:val="auto"/>
        </w:rPr>
        <w:t>To efficiently initiate programs from our maps of biology, we use a</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in-house workflow that incorporates LLMs. This automated approach allows us to rapidly search for and prioritize the most promising opportunities from the large number of insights in our maps. In service to this process, we deploy LLMs to map the corpus of scientific literature against our internally derived proprietary maps in order to automatically surface critical data arbitrages. By layering these LLM-derived maps of scientific literature onto our proprietary maps, we can focus our work on novel and emerging biological, chemical, and patient-centric opportunities rather than the well-trodden and highly competitive diseases and targets the rest of the industry are focused 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Computational Tools and Foundation Models in Biology</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 understand, explore and relate new or existing data, we must normalize, transform and analyze that data. Our tools in this layer manage the streaming of our data at scale to the appropriate public and private cloud, the transformation of data into mathematical representations through our in-house proprietary foundation models, and the analyses performed on our data as parameterized and requested by users. Anomalies are flagged to the team for fast resolution.</w:t>
      </w:r>
    </w:p>
    <w:p>
      <w:pPr>
        <w:spacing w:after="0" w:line="2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Phenom-1. </w:t>
      </w:r>
      <w:r>
        <w:rPr>
          <w:rFonts w:ascii="Arial" w:cs="Arial" w:eastAsia="Arial" w:hAnsi="Arial"/>
          <w:sz w:val="18"/>
          <w:szCs w:val="18"/>
          <w:color w:val="auto"/>
        </w:rPr>
        <w:t>Our phenomics-based foundation model, Phenom-1, is a large vision transformer utilizing hundreds of millions of parameters</w:t>
      </w:r>
      <w:r>
        <w:rPr>
          <w:rFonts w:ascii="Arial" w:cs="Arial" w:eastAsia="Arial" w:hAnsi="Arial"/>
          <w:sz w:val="18"/>
          <w:szCs w:val="18"/>
          <w:i w:val="1"/>
          <w:iCs w:val="1"/>
          <w:color w:val="auto"/>
        </w:rPr>
        <w:t xml:space="preserve"> </w:t>
      </w:r>
      <w:r>
        <w:rPr>
          <w:rFonts w:ascii="Arial" w:cs="Arial" w:eastAsia="Arial" w:hAnsi="Arial"/>
          <w:sz w:val="18"/>
          <w:szCs w:val="18"/>
          <w:color w:val="auto"/>
        </w:rPr>
        <w:t>trained on billions of cellular images from our proprietary phenomics library. Phenom-1 demonstrated the scaling hypothesis within a biological context, namely that larger models trained on larger datasets lead to improved performance. Also, Phenom-1 performed up to 28% better at recapitulating known biological relationships.</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714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93" w:lineRule="exact"/>
        <w:rPr>
          <w:sz w:val="20"/>
          <w:szCs w:val="20"/>
          <w:color w:val="auto"/>
        </w:rPr>
      </w:pPr>
    </w:p>
    <w:p>
      <w:pPr>
        <w:ind w:left="100" w:hanging="92"/>
        <w:spacing w:after="0"/>
        <w:tabs>
          <w:tab w:leader="none" w:pos="100" w:val="left"/>
        </w:tabs>
        <w:numPr>
          <w:ilvl w:val="0"/>
          <w:numId w:val="33"/>
        </w:numPr>
        <w:rPr>
          <w:rFonts w:ascii="Arial" w:cs="Arial" w:eastAsia="Arial" w:hAnsi="Arial"/>
          <w:sz w:val="9"/>
          <w:szCs w:val="9"/>
          <w:color w:val="auto"/>
        </w:rPr>
      </w:pPr>
      <w:r>
        <w:rPr>
          <w:rFonts w:ascii="Arial" w:cs="Arial" w:eastAsia="Arial" w:hAnsi="Arial"/>
          <w:sz w:val="14"/>
          <w:szCs w:val="14"/>
          <w:color w:val="auto"/>
        </w:rPr>
        <w:t>Kraus, O et al. (2023). Masked Autoencoders are Scalable Learners of Cellular Morphology. NeurIPS 2023 Generative AI and Biology (GenBio) Workshop</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386080</wp:posOffset>
            </wp:positionV>
            <wp:extent cx="4363085" cy="2948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6308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b w:val="1"/>
          <w:bCs w:val="1"/>
          <w:color w:val="auto"/>
        </w:rPr>
        <w:t xml:space="preserve">Figure 27. Image reconstruction tasks demonstrate impressive visual results of Phenom-1, our phenomics foundation model. </w:t>
      </w:r>
      <w:r>
        <w:rPr>
          <w:rFonts w:ascii="Arial" w:cs="Arial" w:eastAsia="Arial" w:hAnsi="Arial"/>
          <w:sz w:val="16"/>
          <w:szCs w:val="16"/>
          <w:color w:val="auto"/>
        </w:rPr>
        <w:t>Reconstructing</w:t>
      </w:r>
      <w:r>
        <w:rPr>
          <w:rFonts w:ascii="Arial" w:cs="Arial" w:eastAsia="Arial" w:hAnsi="Arial"/>
          <w:sz w:val="16"/>
          <w:szCs w:val="16"/>
          <w:b w:val="1"/>
          <w:bCs w:val="1"/>
          <w:color w:val="auto"/>
        </w:rPr>
        <w:t xml:space="preserve"> </w:t>
      </w:r>
      <w:r>
        <w:rPr>
          <w:rFonts w:ascii="Arial" w:cs="Arial" w:eastAsia="Arial" w:hAnsi="Arial"/>
          <w:sz w:val="16"/>
          <w:szCs w:val="16"/>
          <w:color w:val="auto"/>
        </w:rPr>
        <w:t>partially masked images was the training task which has enabled emergent capabilities of the model in drug discovery tasks such as detecting biological relationships.</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Forward- and Reverse-Genetics Causal AI Models. </w:t>
      </w:r>
      <w:r>
        <w:rPr>
          <w:rFonts w:ascii="Arial" w:cs="Arial" w:eastAsia="Arial" w:hAnsi="Arial"/>
          <w:sz w:val="18"/>
          <w:szCs w:val="18"/>
          <w:color w:val="auto"/>
        </w:rPr>
        <w:t>We invested in deepening the translational potential of the Recursion OS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incorporating patient-relevant, forward-genetics data through our collaboration with Tempus. Recursion’s maps of biology represent a “reverse genetics” strategy, in which we identify and relate to each other the cellular phenotypes induced by genetic and chemical perturbations. Patient genomic datasets like those from Tempus represent a “forward genetics” strategy, cataloging genetic factors associating with patient phenotypes, including cancer type, progression, and more factors ascertainable from the health record. We seek to combine these forward genetics datasets with Recursion’s experimental capabilities to build </w:t>
      </w:r>
      <w:r>
        <w:rPr>
          <w:rFonts w:ascii="Arial" w:cs="Arial" w:eastAsia="Arial" w:hAnsi="Arial"/>
          <w:sz w:val="18"/>
          <w:szCs w:val="18"/>
          <w:i w:val="1"/>
          <w:iCs w:val="1"/>
          <w:color w:val="auto"/>
        </w:rPr>
        <w:t>causal</w:t>
      </w:r>
      <w:r>
        <w:rPr>
          <w:rFonts w:ascii="Arial" w:cs="Arial" w:eastAsia="Arial" w:hAnsi="Arial"/>
          <w:sz w:val="18"/>
          <w:szCs w:val="18"/>
          <w:color w:val="auto"/>
        </w:rPr>
        <w:t xml:space="preserve"> AI models that may better predict which programs are likely to translate therapeutic benefits for patients and which patients are more likely to benefit from such treatments.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Other Foundation Models. </w:t>
      </w:r>
      <w:r>
        <w:rPr>
          <w:rFonts w:ascii="Arial" w:cs="Arial" w:eastAsia="Arial" w:hAnsi="Arial"/>
          <w:sz w:val="18"/>
          <w:szCs w:val="18"/>
          <w:color w:val="auto"/>
        </w:rPr>
        <w:t>With the vast patient-centric data from Tempus and our own growing proprietary multiomics datasets,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the construction and application of more foundation models, including large language models, across biology, chemistry and translation. When specific foundation models are combined, we believe that a grand canonical foundation model which incorporates in-cellular insights through in-patient causal outcomes could drive a more deterministic and holistic understanding of biology, chemistry, and patient-centric care. We believe these increasingly sophisticated models will enable us to develop more, new, and better medicines at higher scale and lower cost to patients.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386080</wp:posOffset>
            </wp:positionV>
            <wp:extent cx="3154680" cy="25114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5468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1D1C1D"/>
        </w:rPr>
        <w:t xml:space="preserve">Figure 28. Phenom-1 demonstrates that the scaling hypothesis holds within a biological system. </w:t>
      </w:r>
      <w:r>
        <w:rPr>
          <w:rFonts w:ascii="Arial" w:cs="Arial" w:eastAsia="Arial" w:hAnsi="Arial"/>
          <w:sz w:val="16"/>
          <w:szCs w:val="16"/>
          <w:color w:val="1D1C1D"/>
        </w:rPr>
        <w:t>This scaling plot illustrates how increasing the</w:t>
      </w:r>
      <w:r>
        <w:rPr>
          <w:rFonts w:ascii="Arial" w:cs="Arial" w:eastAsia="Arial" w:hAnsi="Arial"/>
          <w:sz w:val="16"/>
          <w:szCs w:val="16"/>
          <w:b w:val="1"/>
          <w:bCs w:val="1"/>
          <w:color w:val="1D1C1D"/>
        </w:rPr>
        <w:t xml:space="preserve"> </w:t>
      </w:r>
      <w:r>
        <w:rPr>
          <w:rFonts w:ascii="Arial" w:cs="Arial" w:eastAsia="Arial" w:hAnsi="Arial"/>
          <w:sz w:val="16"/>
          <w:szCs w:val="16"/>
          <w:color w:val="1D1C1D"/>
        </w:rPr>
        <w:t>compute power (X-axis), which is required for dataset size and model complexity, improved the model's ability to recapitulate known biological relationships (Y-axis). This observed improvement was not directed as part of the training, but rather emerged as a result of scaling the model.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Computational Tools and Foundation Models in Chemistry</w:t>
      </w:r>
    </w:p>
    <w:p>
      <w:pPr>
        <w:spacing w:after="0" w:line="25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acquisitions of Cyclica and Valence in May 2023 added industry-leading capabilities in digital chemistry, machine learning, and artificial intelligence to Recursion’s existing small molecule drug discovery capabilities. We are leveraging these capabilities to advance our internal and partnership drug discovery programs.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MatchMaker</w:t>
      </w:r>
      <w:r>
        <w:rPr>
          <w:rFonts w:ascii="Arial" w:cs="Arial" w:eastAsia="Arial" w:hAnsi="Arial"/>
          <w:sz w:val="18"/>
          <w:szCs w:val="18"/>
          <w:color w:val="auto"/>
        </w:rPr>
        <w:t>, a tool acquired during the Cyclica acquisition, is an AI-enabled deep learning engine that uses both AlphaFold2 structures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homology models to predict the polypharmacology of small molecules across the proteome. We utilized MatchMaker to successfully predict the protein target interactions of several commercially available libraries, including the 36 billion compound Enamine REAL Space collection. Predicting the proteome profiling of 36 billion molecules was a massive computational exercise involving the </w:t>
      </w:r>
      <w:r>
        <w:rPr>
          <w:rFonts w:ascii="Arial" w:cs="Arial" w:eastAsia="Arial" w:hAnsi="Arial"/>
          <w:sz w:val="18"/>
          <w:szCs w:val="18"/>
          <w:i w:val="1"/>
          <w:iCs w:val="1"/>
          <w:color w:val="auto"/>
        </w:rPr>
        <w:t>in-silico</w:t>
      </w:r>
      <w:r>
        <w:rPr>
          <w:rFonts w:ascii="Arial" w:cs="Arial" w:eastAsia="Arial" w:hAnsi="Arial"/>
          <w:sz w:val="18"/>
          <w:szCs w:val="18"/>
          <w:color w:val="auto"/>
        </w:rPr>
        <w:t xml:space="preserve"> evaluation of over 2.8 quadrillion molecule-target pairs. Achieving this exercise was an important step in bridging the gap between the protein universe and the chemical universe and enabling us to intelligently search vast chemical libraries to identify molecules for profiling in our wet-lab platforms.</w:t>
      </w:r>
    </w:p>
    <w:p>
      <w:pPr>
        <w:spacing w:after="0" w:line="209"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i w:val="1"/>
          <w:iCs w:val="1"/>
          <w:color w:val="auto"/>
        </w:rPr>
        <w:t>MolE</w:t>
      </w:r>
      <w:r>
        <w:rPr>
          <w:rFonts w:ascii="Arial" w:cs="Arial" w:eastAsia="Arial" w:hAnsi="Arial"/>
          <w:sz w:val="18"/>
          <w:szCs w:val="18"/>
          <w:color w:val="auto"/>
        </w:rPr>
        <w:t>, developed in-house by Recursion, is a self-supervised foundation model for chemistry. MolE learns generalizable, graph-based</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of compounds and transforms them into robust, task-specific ML models via fine-tuning. Fine-tuned MolE models span endpoints related to drug efficacy and safety. MolE models are trained across a wide array of public and private datasets, including the massive-scale data generated by Recursion’s phenomics and DMPK platforms.</w:t>
      </w:r>
      <w:r>
        <w:rPr>
          <w:rFonts w:ascii="Arial" w:cs="Arial" w:eastAsia="Arial" w:hAnsi="Arial"/>
          <w:sz w:val="23"/>
          <w:szCs w:val="23"/>
          <w:color w:val="auto"/>
          <w:vertAlign w:val="superscript"/>
        </w:rPr>
        <w:t>9</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digital chemistry platform is a core part of Recursion’s software ecosystem, comprising an integrated suite of proprietary and commercial tools, enabling our medicinal and computational chemistry team to scale and advance programs from hit to candidate. Key aspects of this platform include: (i) unified access to and visualization of chemical structures and assay data, including internally generated high or low-dimensional assay data, externally generated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and ADME data; (ii) integrated predictive modeling, chemical search and computational chemistry capabilities; and (iii) molecular design and collaboration. We intend to further invest in predictive and digital chemistry capabilities across three domains: (i) chemistry-centric ML model development, (ii) chemistry-centric data generation and (iii) digital and physical chemistry process development to drive the Design-Make-Test-Analyze cycle of chemistry optimization more efficiently, including the roll-out of industrialized workflows that integrate chemistry and biological assay steps autonomously.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1714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0" w:hanging="92"/>
        <w:spacing w:after="0"/>
        <w:tabs>
          <w:tab w:leader="none" w:pos="10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Méndez-Lucio, O et al. (2022). MolE: a molecular foundation model for drug discovery. Presented at NeurIPS 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Bridging Insights to Program Advancement with the Recursion OS</w:t>
      </w:r>
    </w:p>
    <w:p>
      <w:pPr>
        <w:spacing w:after="0" w:line="2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Recursion OS is an integrated, multi-faceted system for iteratively </w:t>
      </w:r>
      <w:r>
        <w:rPr>
          <w:rFonts w:ascii="Arial" w:cs="Arial" w:eastAsia="Arial" w:hAnsi="Arial"/>
          <w:sz w:val="18"/>
          <w:szCs w:val="18"/>
          <w:i w:val="1"/>
          <w:iCs w:val="1"/>
          <w:color w:val="auto"/>
        </w:rPr>
        <w:t>mapping</w:t>
      </w:r>
      <w:r>
        <w:rPr>
          <w:rFonts w:ascii="Arial" w:cs="Arial" w:eastAsia="Arial" w:hAnsi="Arial"/>
          <w:sz w:val="18"/>
          <w:szCs w:val="18"/>
          <w:color w:val="auto"/>
        </w:rPr>
        <w:t xml:space="preserve"> and </w:t>
      </w:r>
      <w:r>
        <w:rPr>
          <w:rFonts w:ascii="Arial" w:cs="Arial" w:eastAsia="Arial" w:hAnsi="Arial"/>
          <w:sz w:val="18"/>
          <w:szCs w:val="18"/>
          <w:i w:val="1"/>
          <w:iCs w:val="1"/>
          <w:color w:val="auto"/>
        </w:rPr>
        <w:t>navigating</w:t>
      </w:r>
      <w:r>
        <w:rPr>
          <w:rFonts w:ascii="Arial" w:cs="Arial" w:eastAsia="Arial" w:hAnsi="Arial"/>
          <w:sz w:val="18"/>
          <w:szCs w:val="18"/>
          <w:color w:val="auto"/>
        </w:rPr>
        <w:t xml:space="preserve"> massive biological and chemical datasets that contain trillions of inferred relationships between disease-causative perturbations and potentially therapeutic compounds. Collectively, the components of the Recursion OS can be joined together in a modular way to identify, validate and advance a broad portfolio of novel therapeutic programs quickly, cost-effectively and with minimal human intervention and bias - industrializing drug discovery. We use standardized, automated workflows to identify programs and advance them through key stages of the drug discovery and development process which includes:</w:t>
      </w:r>
    </w:p>
    <w:p>
      <w:pPr>
        <w:spacing w:after="0" w:line="20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Connectivity and Novelty (i.e., program initiation)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Hit and Target Validation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Compound Optimization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 Enabling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Development</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Late-stage clinical failures are the primary driver of costs in today’s pharmaceutical R&amp;D model. Reducing the rate of costly, late-stage failures and accelerating the timeline from hit to a clinical candidate would create a more sustainable R&amp;D model. To achieve this more sustainable model, we believe that in its ideal state, a drug discovery funnel would morph from the being shaped like the letter ‘V’ to being shaped like the letter ‘T,’ where a broad set of possible therapeutics could be narrowed rapidly to the best candidate, which would advance through subsequent steps of the process quickly and with no attrition. Recursion’s goal is to leverage technology to reshape the typical drug discovery funnel towards its ideal state by moving failure as early as possible to rapidly narrowing the funnel into programs with the highest probability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144780</wp:posOffset>
            </wp:positionV>
            <wp:extent cx="5734685" cy="32486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3468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Figure 29. Reshaping the drug discovery funnel. </w:t>
      </w:r>
      <w:r>
        <w:rPr>
          <w:rFonts w:ascii="Arial" w:cs="Arial" w:eastAsia="Arial" w:hAnsi="Arial"/>
          <w:sz w:val="16"/>
          <w:szCs w:val="16"/>
          <w:color w:val="auto"/>
        </w:rPr>
        <w:t>Recursion’s goal is to leverage technology to reshape the typical drug discovery funnel towards its ideal</w:t>
      </w:r>
      <w:r>
        <w:rPr>
          <w:rFonts w:ascii="Arial" w:cs="Arial" w:eastAsia="Arial" w:hAnsi="Arial"/>
          <w:sz w:val="16"/>
          <w:szCs w:val="16"/>
          <w:b w:val="1"/>
          <w:bCs w:val="1"/>
          <w:color w:val="auto"/>
        </w:rPr>
        <w:t xml:space="preserve"> </w:t>
      </w:r>
      <w:r>
        <w:rPr>
          <w:rFonts w:ascii="Arial" w:cs="Arial" w:eastAsia="Arial" w:hAnsi="Arial"/>
          <w:sz w:val="16"/>
          <w:szCs w:val="16"/>
          <w:color w:val="auto"/>
        </w:rPr>
        <w:t>state by moving failure as early as possible to rapidly narrowing the funnel into programs with the highest probability of success.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made progress in reshaping the traditional drug discovery funnel in the following ways:</w:t>
      </w:r>
    </w:p>
    <w:p>
      <w:pPr>
        <w:spacing w:after="0" w:line="252" w:lineRule="exact"/>
        <w:rPr>
          <w:sz w:val="20"/>
          <w:szCs w:val="20"/>
          <w:color w:val="auto"/>
        </w:rPr>
      </w:pPr>
    </w:p>
    <w:p>
      <w:pPr>
        <w:ind w:left="660" w:right="2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Broaden the funnel of therapeutic starting points. </w:t>
      </w:r>
      <w:r>
        <w:rPr>
          <w:rFonts w:ascii="Arial" w:cs="Arial" w:eastAsia="Arial" w:hAnsi="Arial"/>
          <w:sz w:val="18"/>
          <w:szCs w:val="18"/>
          <w:color w:val="auto"/>
        </w:rPr>
        <w:t>Our flexible and scalable mapping tools and infrastructure enable us to infer trillions</w:t>
      </w:r>
      <w:r>
        <w:rPr>
          <w:rFonts w:ascii="Arial" w:cs="Arial" w:eastAsia="Arial" w:hAnsi="Arial"/>
          <w:sz w:val="18"/>
          <w:szCs w:val="18"/>
          <w:i w:val="1"/>
          <w:iCs w:val="1"/>
          <w:color w:val="auto"/>
        </w:rPr>
        <w:t xml:space="preserve"> </w:t>
      </w:r>
      <w:r>
        <w:rPr>
          <w:rFonts w:ascii="Arial" w:cs="Arial" w:eastAsia="Arial" w:hAnsi="Arial"/>
          <w:sz w:val="18"/>
          <w:szCs w:val="18"/>
          <w:color w:val="auto"/>
        </w:rPr>
        <w:t>of relationships between human cellular disease models and therapeutic candidates based on real empirical data from our own wet labs.</w:t>
      </w:r>
    </w:p>
    <w:p>
      <w:pPr>
        <w:spacing w:after="0" w:line="197"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Identify failures earlier when they are relatively inexpensive. </w:t>
      </w:r>
      <w:r>
        <w:rPr>
          <w:rFonts w:ascii="Arial" w:cs="Arial" w:eastAsia="Arial" w:hAnsi="Arial"/>
          <w:sz w:val="18"/>
          <w:szCs w:val="18"/>
          <w:color w:val="auto"/>
        </w:rPr>
        <w:t>Our proprietary navigation tools enable us to explore our massive</w:t>
      </w:r>
      <w:r>
        <w:rPr>
          <w:rFonts w:ascii="Arial" w:cs="Arial" w:eastAsia="Arial" w:hAnsi="Arial"/>
          <w:sz w:val="18"/>
          <w:szCs w:val="18"/>
          <w:i w:val="1"/>
          <w:iCs w:val="1"/>
          <w:color w:val="auto"/>
        </w:rPr>
        <w:t xml:space="preserve"> </w:t>
      </w:r>
      <w:r>
        <w:rPr>
          <w:rFonts w:ascii="Arial" w:cs="Arial" w:eastAsia="Arial" w:hAnsi="Arial"/>
          <w:sz w:val="18"/>
          <w:szCs w:val="18"/>
          <w:color w:val="auto"/>
        </w:rPr>
        <w:t>biological, chemical, and patient-centric datasets to validate more and varied hypotheses rapidly. While this strategy results in an increase in early-stage attrition, the system is designed to rapidly prioritize programs with a higher likelihood of downstream success because they have been explored in the context of high-dimensional, systems-biology data. Over time, and as our OS improves, we expect that moving failure earlier in the pipeline will result in an overall lower cost of drug development.</w:t>
      </w:r>
    </w:p>
    <w:p>
      <w:pPr>
        <w:spacing w:after="0" w:line="206" w:lineRule="exact"/>
        <w:rPr>
          <w:rFonts w:ascii="Arial" w:cs="Arial" w:eastAsia="Arial" w:hAnsi="Arial"/>
          <w:sz w:val="18"/>
          <w:szCs w:val="18"/>
          <w:i w:val="1"/>
          <w:iCs w:val="1"/>
          <w:color w:val="auto"/>
        </w:rPr>
      </w:pPr>
    </w:p>
    <w:p>
      <w:pPr>
        <w:ind w:left="660" w:right="440" w:hanging="328"/>
        <w:spacing w:after="0" w:line="318" w:lineRule="auto"/>
        <w:tabs>
          <w:tab w:leader="none" w:pos="655"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Accelerate delivery of high-potential drug candidates to the clinic. </w:t>
      </w:r>
      <w:r>
        <w:rPr>
          <w:rFonts w:ascii="Arial" w:cs="Arial" w:eastAsia="Arial" w:hAnsi="Arial"/>
          <w:sz w:val="17"/>
          <w:szCs w:val="17"/>
          <w:color w:val="auto"/>
        </w:rPr>
        <w:t>The Recursion OS contains chemistry tools that enable highly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efficient exploration of chemical space as well as translational tools that improve the robustness and utility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By leveraging our Recursion OS to explore and advance our programs, we have shown leading indicators of improvement when compared to the traditional drug discovery process, particularly with respect to cost and time. Across all Recursion programs from late 2017 through 2023, the average amount of time to reach the validated lead stage is approximately 11 months. By the end of 2024, we believe that Recursion programs could reach the validated lead stage in about half that time or less. Ultimately, we believe that future iterations of the Recursion OS will enable even greater improvements minimizing the total dollar-weighted failure and maximizing the likelihood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142875</wp:posOffset>
            </wp:positionV>
            <wp:extent cx="5863590" cy="1671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359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b w:val="1"/>
          <w:bCs w:val="1"/>
          <w:color w:val="auto"/>
        </w:rPr>
        <w:t xml:space="preserve">Figure 30. The trajectory of our drug discovery funnel mirrors the ‘ideal’ pharmaceutical drug discovery funnel. </w:t>
      </w:r>
      <w:r>
        <w:rPr>
          <w:rFonts w:ascii="Arial" w:cs="Arial" w:eastAsia="Arial" w:hAnsi="Arial"/>
          <w:sz w:val="16"/>
          <w:szCs w:val="16"/>
          <w:color w:val="auto"/>
        </w:rPr>
        <w:t>We believe that,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industry averages, our approach enables us to: (i) identify low-viability programs earlier in the research cycle, (ii) spend less per program and (iii) rapidly advance programs to a validated lead candidate. All industry data has been adapted from Paul, et al. </w:t>
      </w:r>
      <w:r>
        <w:rPr>
          <w:rFonts w:ascii="Arial" w:cs="Arial" w:eastAsia="Arial" w:hAnsi="Arial"/>
          <w:sz w:val="16"/>
          <w:szCs w:val="16"/>
          <w:i w:val="1"/>
          <w:iCs w:val="1"/>
          <w:color w:val="auto"/>
        </w:rPr>
        <w:t>Nature Reviews Drug Discovery</w:t>
      </w:r>
      <w:r>
        <w:rPr>
          <w:rFonts w:ascii="Arial" w:cs="Arial" w:eastAsia="Arial" w:hAnsi="Arial"/>
          <w:sz w:val="16"/>
          <w:szCs w:val="16"/>
          <w:color w:val="auto"/>
        </w:rPr>
        <w:t>. (2010) 9, 203–214. The cost to IND has been inflation-adjusted using the US Consumer Price Index (CPI). The Recursion data shown for the transition stages and time to validated lead is the average of all Recursion programs since late 2017 through 2023. The Recursion data shown for cost to IND pertains to the actual and projected costs for a novel chemical entity to reach IND.</w:t>
      </w:r>
    </w:p>
    <w:p>
      <w:pPr>
        <w:spacing w:after="0" w:line="19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Recursion OS has not only improved speed and cost, but also led us to explore novel targets which could give us a competitive advantage where multiple parties often simultaneously pursue a limited number of similar target hypotheses. Below one can see quantitative measures for how we prioritize programs characterized by (i) strong genetically driven biological evidence and (ii) differentiated novel biology.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386080</wp:posOffset>
            </wp:positionV>
            <wp:extent cx="5666105" cy="28803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610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b w:val="1"/>
          <w:bCs w:val="1"/>
          <w:color w:val="auto"/>
        </w:rPr>
        <w:t xml:space="preserve">Figure 31. We use LLMs to organize relationships within public data as well as our own proprietary data and software tools to identify starting points for all of our internal programs. </w:t>
      </w:r>
      <w:r>
        <w:rPr>
          <w:rFonts w:ascii="Arial" w:cs="Arial" w:eastAsia="Arial" w:hAnsi="Arial"/>
          <w:sz w:val="16"/>
          <w:szCs w:val="16"/>
          <w:color w:val="auto"/>
        </w:rPr>
        <w:t>We prioritize programs at scale by focusing on targets where our proprietary data provides a distinct arbitrage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suggests we can drive towards novel target identification and selection in oncology. Each circle represents a gene that can be searched by the Recursion OS across a number of biological and pharmacological factors. Circles in green reflect targets for drugs that have obtained regulatory approval for the treatment of specific diseases and are adapted from Ochoa, D. et al. </w:t>
      </w:r>
      <w:r>
        <w:rPr>
          <w:rFonts w:ascii="Arial" w:cs="Arial" w:eastAsia="Arial" w:hAnsi="Arial"/>
          <w:sz w:val="16"/>
          <w:szCs w:val="16"/>
          <w:i w:val="1"/>
          <w:iCs w:val="1"/>
          <w:color w:val="auto"/>
        </w:rPr>
        <w:t>Nucleic Acids Research.</w:t>
      </w:r>
      <w:r>
        <w:rPr>
          <w:rFonts w:ascii="Arial" w:cs="Arial" w:eastAsia="Arial" w:hAnsi="Arial"/>
          <w:sz w:val="16"/>
          <w:szCs w:val="16"/>
          <w:color w:val="auto"/>
        </w:rPr>
        <w:t xml:space="preserve"> (2023).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Pipeline</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of the programs in our internal pipeline are built on unique biological insights surfaced through the Recursion OS where: (i) the etiology of the disease is well defined but the subsequent impacts of the disease are generally obscure, the primary targets are typically considered undruggable, or the primary targets are extensively recognized in association with a particular disease and (ii) there is a high unmet medical need, no approved therapies, or significant limitations to existing treatments. Several of our internal pipeline programs could have potential market opportunities of more than $1 billion in annual sales. We currently have five programs in or planning to initiate Phase 2 clinical studies and we are preparing to submit an IND for a sixth program in H2 2024. In addition to our clinical stage programs, we are actively developing dozens of preclinical and discovery programs.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w:t>
      </w:r>
    </w:p>
    <w:p>
      <w:pPr>
        <w:spacing w:after="0" w:line="250" w:lineRule="exact"/>
        <w:rPr>
          <w:sz w:val="20"/>
          <w:szCs w:val="20"/>
          <w:color w:val="auto"/>
        </w:rPr>
      </w:pPr>
    </w:p>
    <w:p>
      <w:pPr>
        <w:ind w:left="660" w:right="120" w:hanging="328"/>
        <w:spacing w:after="0" w:line="26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REC-994 for the potential treatment of cerebral cavernous malformation, or CCM — SYCAMORE, a Phase 2, randomized, double-blind, placebo-controlled, safety, tolerability and exploratory efficacy study is underway. Orphan Drug Designation has been granted in the US and EU. We expect to share Phase 2 data in Q3 2024. This trial was fully enrolled in June 2023 and the vast majority of participants who completed 12 months of treatment continue to elect to enter the long-term extension study.</w:t>
      </w:r>
    </w:p>
    <w:p>
      <w:pPr>
        <w:spacing w:after="0" w:line="203"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REC-2282 for the potential treatment of neurofibromatosis type 2, or NF2 — POPLAR, an adaptive, Phase 2/3, randomized, multicenter study is underway. Enrollment of Phase 2 is expected to complete in H1 2024. Orphan Drug Designation in the US and EU as well as Fast Track Designation in the US have been granted. We expect to share Phase 2 safety and preliminary efficacy data in Q4 2024.</w:t>
      </w:r>
    </w:p>
    <w:p>
      <w:pPr>
        <w:spacing w:after="0" w:line="203"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REC-4881 for the potential treatment of familial adenomatous polyposis, or FAP — TUPELO, a Phase 1b/2, open label, multicenter study is underway with Part 1 complete. FPI for Part 2 is anticipated in H1 2024. Orphan Drug Designation in the US and EU as well as Fast Track Designation in the US have been granted. We expect to share Phase 2 safety and preliminary efficacy data in H1 2025.</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right="80" w:hanging="328"/>
        <w:spacing w:after="0" w:line="26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REC-4881 for the potential treatment of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cancers — LILAC, a Phase 2 open label, multicenter study in solid tumors initiated at the end of 2023 with FPI anticipated in Q1 2024. We expect to share Phase 2 safety and preliminary efficacy data in H1 2025.</w:t>
      </w:r>
    </w:p>
    <w:p>
      <w:pPr>
        <w:spacing w:after="0" w:line="197" w:lineRule="exact"/>
        <w:rPr>
          <w:rFonts w:ascii="Arial" w:cs="Arial" w:eastAsia="Arial" w:hAnsi="Arial"/>
          <w:sz w:val="18"/>
          <w:szCs w:val="18"/>
          <w:color w:val="auto"/>
        </w:rPr>
      </w:pPr>
    </w:p>
    <w:p>
      <w:pPr>
        <w:ind w:left="660" w:right="40" w:hanging="328"/>
        <w:spacing w:after="0" w:line="31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REC-3964 for the prevention of recurrent </w:t>
      </w:r>
      <w:r>
        <w:rPr>
          <w:rFonts w:ascii="Arial" w:cs="Arial" w:eastAsia="Arial" w:hAnsi="Arial"/>
          <w:sz w:val="17"/>
          <w:szCs w:val="17"/>
          <w:i w:val="1"/>
          <w:iCs w:val="1"/>
          <w:color w:val="auto"/>
        </w:rPr>
        <w:t>Clostridioides difficile</w:t>
      </w:r>
      <w:r>
        <w:rPr>
          <w:rFonts w:ascii="Arial" w:cs="Arial" w:eastAsia="Arial" w:hAnsi="Arial"/>
          <w:sz w:val="17"/>
          <w:szCs w:val="17"/>
          <w:color w:val="auto"/>
        </w:rPr>
        <w:t xml:space="preserve"> infection — a Phase 1 study in healthy volunteers completed in Q3 of 2023. REC-3964 was well tolerated with no serious adverse events (SAEs) reported. We expect to initiate a Phase 2 study in 2024.</w:t>
      </w:r>
    </w:p>
    <w:p>
      <w:pPr>
        <w:spacing w:after="0" w:line="15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believe that the number of potential programs we can generate with our Recursion OS is key to the future of our company, as a greater volume of validated programs has a higher likelihood of creating value. Additionally, we believe that our large number of potential programs makes us an attractive partner for larger pharmaceutical companies. The static or declining level of R&amp;D output at several large pharmaceutical companies indicates an ongoing requirement for new projects to sustain their product pipelines.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140970</wp:posOffset>
            </wp:positionV>
            <wp:extent cx="5863590" cy="1825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6359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b w:val="1"/>
          <w:bCs w:val="1"/>
          <w:color w:val="auto"/>
        </w:rPr>
        <w:t xml:space="preserve">Figure 32. The power of our Recursion OS as exemplified by our expansive therapeutic pipeline. </w:t>
      </w:r>
      <w:r>
        <w:rPr>
          <w:rFonts w:ascii="Arial" w:cs="Arial" w:eastAsia="Arial" w:hAnsi="Arial"/>
          <w:sz w:val="16"/>
          <w:szCs w:val="16"/>
          <w:color w:val="auto"/>
        </w:rPr>
        <w:t>All populations defined above are US and EU5</w:t>
      </w:r>
      <w:r>
        <w:rPr>
          <w:rFonts w:ascii="Arial" w:cs="Arial" w:eastAsia="Arial" w:hAnsi="Arial"/>
          <w:sz w:val="16"/>
          <w:szCs w:val="16"/>
          <w:b w:val="1"/>
          <w:bCs w:val="1"/>
          <w:color w:val="auto"/>
        </w:rPr>
        <w:t xml:space="preserve"> </w:t>
      </w:r>
      <w:r>
        <w:rPr>
          <w:rFonts w:ascii="Arial" w:cs="Arial" w:eastAsia="Arial" w:hAnsi="Arial"/>
          <w:sz w:val="16"/>
          <w:szCs w:val="16"/>
          <w:color w:val="auto"/>
        </w:rPr>
        <w:t>incidence unless otherwise noted. EU5 is defined as France, Germany, Italy, Spain and UK.</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Prevalence for hereditary and sporadic symptomatic population.</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Annual US and EU5 incidence for all </w:t>
      </w:r>
      <w:r>
        <w:rPr>
          <w:rFonts w:ascii="Arial" w:cs="Arial" w:eastAsia="Arial" w:hAnsi="Arial"/>
          <w:sz w:val="16"/>
          <w:szCs w:val="16"/>
          <w:i w:val="1"/>
          <w:iCs w:val="1"/>
          <w:color w:val="auto"/>
        </w:rPr>
        <w:t>NF2</w:t>
      </w:r>
      <w:r>
        <w:rPr>
          <w:rFonts w:ascii="Arial" w:cs="Arial" w:eastAsia="Arial" w:hAnsi="Arial"/>
          <w:sz w:val="16"/>
          <w:szCs w:val="16"/>
          <w:color w:val="auto"/>
        </w:rPr>
        <w:t>-driven meningiomas.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Prevalence for adult and pediatric population. Our program has the potential to address several indications.</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We have not finalized a target product profile for a specific indication.</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Incidence for US only.</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2L drug-treatable population.</w:t>
      </w:r>
      <w:r>
        <w:rPr>
          <w:rFonts w:ascii="Arial" w:cs="Arial" w:eastAsia="Arial" w:hAnsi="Arial"/>
          <w:sz w:val="21"/>
          <w:szCs w:val="21"/>
          <w:color w:val="auto"/>
          <w:vertAlign w:val="superscript"/>
        </w:rPr>
        <w:t>7</w:t>
      </w:r>
      <w:r>
        <w:rPr>
          <w:rFonts w:ascii="Arial" w:cs="Arial" w:eastAsia="Arial" w:hAnsi="Arial"/>
          <w:sz w:val="16"/>
          <w:szCs w:val="16"/>
          <w:color w:val="auto"/>
        </w:rPr>
        <w:t xml:space="preserve"> 2L drug-treatable population comprising ovarian, prostate, breast and pancreatic cancers with no HRR mutations.</w:t>
      </w:r>
      <w:r>
        <w:rPr>
          <w:rFonts w:ascii="Arial" w:cs="Arial" w:eastAsia="Arial" w:hAnsi="Arial"/>
          <w:sz w:val="21"/>
          <w:szCs w:val="21"/>
          <w:color w:val="auto"/>
          <w:vertAlign w:val="superscript"/>
        </w:rPr>
        <w:t>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REC-994 for Cerebral Cavernous Malformation – Phase 2</w:t>
      </w:r>
    </w:p>
    <w:p>
      <w:pPr>
        <w:spacing w:after="0" w:line="25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REC-994 is an orally bioavailable, superoxide scavenger small molecule currently under development for the treatment of symptomatic CCM. CCM is among the largest rare disease opportunities and has no approved therapies to date. REC-994 demonstrated excellent tolerability and suitability for chronic dosing in Phase 1 SAD and MAD trials in healthy volunteers directed and executed by Recursion. SYCAMORE, a Phase 2 randomized, double-blind, placebo-controlled, safety, tolerability and exploratory efficacy study is underway, and Orphan Drug Designation has been granted in the US and EU. We expect to share Phase 2 data in Q3 2024. This trial was fully enrolled in June 2023, with the vast majority of participants who completed 12 months of treatment electing to enter the long-term extension portion of the study.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Disease Overview</w:t>
      </w: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CCM is a neurovascular condition that impacts approximately 360,000 symptomatic individuals in the US and EU5. Yet, with only around 30% of patients exhibiting noticeable symptoms, the disease is severely underdiagnosed, potentially affecting over 1 million patients. CCM originates from genetic mutations in any of three genes involved in endothelial function: </w:t>
      </w:r>
      <w:r>
        <w:rPr>
          <w:rFonts w:ascii="Arial" w:cs="Arial" w:eastAsia="Arial" w:hAnsi="Arial"/>
          <w:sz w:val="18"/>
          <w:szCs w:val="18"/>
          <w:i w:val="1"/>
          <w:iCs w:val="1"/>
          <w:color w:val="auto"/>
        </w:rPr>
        <w:t>CCM1, CCM2,</w:t>
      </w:r>
      <w:r>
        <w:rPr>
          <w:rFonts w:ascii="Arial" w:cs="Arial" w:eastAsia="Arial" w:hAnsi="Arial"/>
          <w:sz w:val="18"/>
          <w:szCs w:val="18"/>
          <w:color w:val="auto"/>
        </w:rPr>
        <w:t xml:space="preserve"> or </w:t>
      </w:r>
      <w:r>
        <w:rPr>
          <w:rFonts w:ascii="Arial" w:cs="Arial" w:eastAsia="Arial" w:hAnsi="Arial"/>
          <w:sz w:val="18"/>
          <w:szCs w:val="18"/>
          <w:i w:val="1"/>
          <w:iCs w:val="1"/>
          <w:color w:val="auto"/>
        </w:rPr>
        <w:t>CCM3</w:t>
      </w:r>
      <w:r>
        <w:rPr>
          <w:rFonts w:ascii="Arial" w:cs="Arial" w:eastAsia="Arial" w:hAnsi="Arial"/>
          <w:sz w:val="18"/>
          <w:szCs w:val="18"/>
          <w:color w:val="auto"/>
        </w:rPr>
        <w:t xml:space="preserve"> and approximately 20% of patients inherit a familial form of CCM in an autosomal dominant pattern. Sporadic disease in the remaining population is caused by somatic mutations that arise in the same genes. CCM manifests as vascular malformations of the spinal cord and brain characterized by abnormally enlarged capillary cavities without intervening brain parenchyma. Patients with CCM lesions are at substantial risk for seizures, headaches, progressive neurological deficits, and potentially fatal hemorrhagic stroke. Current non-pharmacologic treatments include microsurgical resection and stereotactic radiosurgery. Given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invasive and risky nature of these interventions, these options are reserved for a subset of patients with significant symptomatology and/or easily accessible lesions. Rebleeds and other negative sequelae of treatment further limit the effectiveness of these interventions. There is no approved pharmacological treatment that affects the rate of growth of CCM lesions or their propensity to bleed or otherwise induce symptoms. Hence, CCM remains a serious health condition resulting in progressive neurologic impairment and a high risk of death due to hemorrhagic stroke.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142875</wp:posOffset>
            </wp:positionV>
            <wp:extent cx="1568450" cy="18516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6845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33. Vascular malformations (cavernomas) in the brain of a CCM patient.</w:t>
      </w:r>
      <w:r>
        <w:rPr>
          <w:rFonts w:ascii="Arial" w:cs="Arial" w:eastAsia="Arial" w:hAnsi="Arial"/>
          <w:sz w:val="21"/>
          <w:szCs w:val="21"/>
          <w:b w:val="1"/>
          <w:bCs w:val="1"/>
          <w:color w:val="auto"/>
          <w:vertAlign w:val="superscript"/>
        </w:rPr>
        <w:t>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Insight from Recursion OS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CCM2 </w:t>
      </w:r>
      <w:r>
        <w:rPr>
          <w:rFonts w:ascii="Arial" w:cs="Arial" w:eastAsia="Arial" w:hAnsi="Arial"/>
          <w:sz w:val="18"/>
          <w:szCs w:val="18"/>
          <w:color w:val="auto"/>
        </w:rPr>
        <w:t>knock-down in human endothelial cells revealed pronounced structural and functional phenotypes that are distinct from healthy cells.</w:t>
      </w:r>
      <w:r>
        <w:rPr>
          <w:rFonts w:ascii="Arial" w:cs="Arial" w:eastAsia="Arial" w:hAnsi="Arial"/>
          <w:sz w:val="18"/>
          <w:szCs w:val="18"/>
          <w:i w:val="1"/>
          <w:iCs w:val="1"/>
          <w:color w:val="auto"/>
        </w:rPr>
        <w:t xml:space="preserve"> </w:t>
      </w:r>
      <w:r>
        <w:rPr>
          <w:rFonts w:ascii="Arial" w:cs="Arial" w:eastAsia="Arial" w:hAnsi="Arial"/>
          <w:sz w:val="18"/>
          <w:szCs w:val="18"/>
          <w:color w:val="auto"/>
        </w:rPr>
        <w:t>We hypothesized that these observed structural changes could be used to enable unbiased drug discovery. Fluorescent microscopy and automated cellular quantification and profiling software enabled high throughput analysis. More than 2,000 commercially available and known chemical entities were rapidly evaluated with this strategy based on the hypothesis that hits from this library could be more quickly translated to the clinic. The novel use of REC-994 for CCM was discovered leveraging this early form of the Recursion OS. The exciting aspect of this novel, unbiased approach was that the drug candidates chosen using automated software analysis outperformed those chosen by human analysis in subsequent orthogonal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144780</wp:posOffset>
            </wp:positionV>
            <wp:extent cx="4937760" cy="2228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3776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520"/>
        <w:spacing w:after="0" w:line="266" w:lineRule="auto"/>
        <w:rPr>
          <w:sz w:val="20"/>
          <w:szCs w:val="20"/>
          <w:color w:val="auto"/>
        </w:rPr>
      </w:pPr>
      <w:r>
        <w:rPr>
          <w:rFonts w:ascii="Arial" w:cs="Arial" w:eastAsia="Arial" w:hAnsi="Arial"/>
          <w:sz w:val="16"/>
          <w:szCs w:val="16"/>
          <w:b w:val="1"/>
          <w:bCs w:val="1"/>
          <w:color w:val="auto"/>
        </w:rPr>
        <w:t xml:space="preserve">Figure 34: Rescue of structural phenotypes associated with loss of </w:t>
      </w:r>
      <w:r>
        <w:rPr>
          <w:rFonts w:ascii="Arial" w:cs="Arial" w:eastAsia="Arial" w:hAnsi="Arial"/>
          <w:sz w:val="16"/>
          <w:szCs w:val="16"/>
          <w:b w:val="1"/>
          <w:bCs w:val="1"/>
          <w:i w:val="1"/>
          <w:iCs w:val="1"/>
          <w:color w:val="auto"/>
        </w:rPr>
        <w:t>CCM2</w:t>
      </w:r>
      <w:r>
        <w:rPr>
          <w:rFonts w:ascii="Arial" w:cs="Arial" w:eastAsia="Arial" w:hAnsi="Arial"/>
          <w:sz w:val="16"/>
          <w:szCs w:val="16"/>
          <w:b w:val="1"/>
          <w:bCs w:val="1"/>
          <w:color w:val="auto"/>
        </w:rPr>
        <w:t xml:space="preserve">. </w:t>
      </w:r>
      <w:r>
        <w:rPr>
          <w:rFonts w:ascii="Arial" w:cs="Arial" w:eastAsia="Arial" w:hAnsi="Arial"/>
          <w:sz w:val="16"/>
          <w:szCs w:val="16"/>
          <w:color w:val="auto"/>
        </w:rPr>
        <w:t>Immunofluorescence images of endothelial cells treated with siCTRL,</w:t>
      </w:r>
      <w:r>
        <w:rPr>
          <w:rFonts w:ascii="Arial" w:cs="Arial" w:eastAsia="Arial" w:hAnsi="Arial"/>
          <w:sz w:val="16"/>
          <w:szCs w:val="16"/>
          <w:b w:val="1"/>
          <w:bCs w:val="1"/>
          <w:color w:val="auto"/>
        </w:rPr>
        <w:t xml:space="preserve"> </w:t>
      </w:r>
      <w:r>
        <w:rPr>
          <w:rFonts w:ascii="Arial" w:cs="Arial" w:eastAsia="Arial" w:hAnsi="Arial"/>
          <w:sz w:val="16"/>
          <w:szCs w:val="16"/>
          <w:color w:val="auto"/>
        </w:rPr>
        <w:t>siCCM2, or siCCM2 treated with REC-994, Simvastatin, or Cholecalciferol stained for DNA (blue), actin (green) and VE-cadherin (red). According to a machine learning classifier trained on images, REC-994 shows image-based rescue.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714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 xml:space="preserve">Cooper, AD. et al. (2008). Susceptibility-weighted imaging in familial cerebral cavernous malformations. </w:t>
      </w:r>
      <w:r>
        <w:rPr>
          <w:rFonts w:ascii="Arial" w:cs="Arial" w:eastAsia="Arial" w:hAnsi="Arial"/>
          <w:sz w:val="14"/>
          <w:szCs w:val="14"/>
          <w:i w:val="1"/>
          <w:iCs w:val="1"/>
          <w:color w:val="auto"/>
        </w:rPr>
        <w:t>Neurology, 71,</w:t>
      </w:r>
      <w:r>
        <w:rPr>
          <w:rFonts w:ascii="Arial" w:cs="Arial" w:eastAsia="Arial" w:hAnsi="Arial"/>
          <w:sz w:val="14"/>
          <w:szCs w:val="14"/>
          <w:color w:val="auto"/>
        </w:rPr>
        <w:t xml:space="preserve"> 382.</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REC-994 is a small molecule therapeutic designed to alleviate neurological symptoms associated with CCM and potentially reduce the accumulation of new lesions. REC-994 is an orally bioavailable superoxide scavenger with pharmacokinetics supporting once-daily dosing in humans. The putative mechanism of action of REC-994 is through reduction of reactive oxygen species and decreased oxidative stress that leads to stabilization of endothelial barrier function. In addition, REC-994 exhibits anti-inflammatory properties which could be beneficial in reducing disease-associated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142875</wp:posOffset>
            </wp:positionV>
            <wp:extent cx="5366385" cy="29146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6638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35. REC-994 mechanism of action and proposed potential therapeutic impact.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Preclinical</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The activity of REC-994 as a potential treatment for CCM was further confirmed in orthogonal functional assays and in acute and chronic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models. REC-994 demonstrated benefit on acute to subacute disease-relevant hemodynamic parameters such as vascular dynamics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vascular permeability. Chronic administration of REC-994 was also tested in two endothelial-specific knockout mouse models for the two most prevalent genetic causes, </w:t>
      </w:r>
      <w:r>
        <w:rPr>
          <w:rFonts w:ascii="Arial" w:cs="Arial" w:eastAsia="Arial" w:hAnsi="Arial"/>
          <w:sz w:val="18"/>
          <w:szCs w:val="18"/>
          <w:i w:val="1"/>
          <w:iCs w:val="1"/>
          <w:color w:val="auto"/>
        </w:rPr>
        <w:t>CCM1</w:t>
      </w:r>
      <w:r>
        <w:rPr>
          <w:rFonts w:ascii="Arial" w:cs="Arial" w:eastAsia="Arial" w:hAnsi="Arial"/>
          <w:sz w:val="18"/>
          <w:szCs w:val="18"/>
          <w:color w:val="auto"/>
        </w:rPr>
        <w:t xml:space="preserve"> and </w:t>
      </w:r>
      <w:r>
        <w:rPr>
          <w:rFonts w:ascii="Arial" w:cs="Arial" w:eastAsia="Arial" w:hAnsi="Arial"/>
          <w:sz w:val="18"/>
          <w:szCs w:val="18"/>
          <w:i w:val="1"/>
          <w:iCs w:val="1"/>
          <w:color w:val="auto"/>
        </w:rPr>
        <w:t>CCM2</w:t>
      </w:r>
      <w:r>
        <w:rPr>
          <w:rFonts w:ascii="Arial" w:cs="Arial" w:eastAsia="Arial" w:hAnsi="Arial"/>
          <w:sz w:val="18"/>
          <w:szCs w:val="18"/>
          <w:color w:val="auto"/>
        </w:rPr>
        <w:t xml:space="preserve">. These mouse models faithfully recapitulate the CNS cavernous malformations of the human disease. Mice treated with REC-994 demonstrated a decrease in lesion number and/or size compared to vehicle treated controls. Notably, 24-hour circulating plasma levels of REC-994 in this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 were consistent with exposures seen in humans at a 200 mg daily dose.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386080</wp:posOffset>
            </wp:positionV>
            <wp:extent cx="4277360" cy="17659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7736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b w:val="1"/>
          <w:bCs w:val="1"/>
          <w:color w:val="auto"/>
        </w:rPr>
        <w:t>Figure 36. REC-994 rescues acetylcholine-induced vasodilation defect and dermal permeability defect in Ccm2 endothelial specific knockout mice.</w:t>
      </w:r>
      <w:r>
        <w:rPr>
          <w:rFonts w:ascii="Arial" w:cs="Arial" w:eastAsia="Arial" w:hAnsi="Arial"/>
          <w:sz w:val="21"/>
          <w:szCs w:val="21"/>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387985</wp:posOffset>
            </wp:positionV>
            <wp:extent cx="3771900" cy="3094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7190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00"/>
        <w:spacing w:after="0" w:line="288" w:lineRule="auto"/>
        <w:rPr>
          <w:sz w:val="20"/>
          <w:szCs w:val="20"/>
          <w:color w:val="auto"/>
        </w:rPr>
      </w:pPr>
      <w:r>
        <w:rPr>
          <w:rFonts w:ascii="Arial" w:cs="Arial" w:eastAsia="Arial" w:hAnsi="Arial"/>
          <w:sz w:val="16"/>
          <w:szCs w:val="16"/>
          <w:b w:val="1"/>
          <w:bCs w:val="1"/>
          <w:color w:val="auto"/>
        </w:rPr>
        <w:t xml:space="preserve">Figure 37. REC-994 reduces lesion severity in chronic mouse models of CCM Disease. </w:t>
      </w:r>
      <w:r>
        <w:rPr>
          <w:rFonts w:ascii="Arial" w:cs="Arial" w:eastAsia="Arial" w:hAnsi="Arial"/>
          <w:sz w:val="16"/>
          <w:szCs w:val="16"/>
          <w:color w:val="auto"/>
        </w:rPr>
        <w:t>Mice treated with REC-994 demonstrated a statistically</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decrease in the number of small-size lesions, with a trend toward a decrease in the number of mid-size lesions.</w:t>
      </w:r>
      <w:r>
        <w:rPr>
          <w:rFonts w:ascii="Arial" w:cs="Arial" w:eastAsia="Arial" w:hAnsi="Arial"/>
          <w:sz w:val="21"/>
          <w:szCs w:val="21"/>
          <w:color w:val="auto"/>
          <w:vertAlign w:val="superscript"/>
        </w:rPr>
        <w:t>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Clinical</w:t>
      </w:r>
    </w:p>
    <w:p>
      <w:pPr>
        <w:spacing w:after="0" w:line="250"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We conducted a Phase 1 Single Ascending Dose (SAD) study in 32 healthy human volunteers using active pharmaceutical ingredients with no excipients in a powder-in-bottle (PIB) dosage form. Results showed that systemic exposure (C</w:t>
      </w:r>
      <w:r>
        <w:rPr>
          <w:rFonts w:ascii="Arial" w:cs="Arial" w:eastAsia="Arial" w:hAnsi="Arial"/>
          <w:sz w:val="23"/>
          <w:szCs w:val="23"/>
          <w:color w:val="auto"/>
          <w:vertAlign w:val="subscript"/>
        </w:rPr>
        <w:t>max</w:t>
      </w:r>
      <w:r>
        <w:rPr>
          <w:rFonts w:ascii="Arial" w:cs="Arial" w:eastAsia="Arial" w:hAnsi="Arial"/>
          <w:sz w:val="18"/>
          <w:szCs w:val="18"/>
          <w:color w:val="auto"/>
        </w:rPr>
        <w:t xml:space="preserve"> and AUC) generally increased in proportion to REC-994 dose after both single and multiple doses. Median T</w:t>
      </w:r>
      <w:r>
        <w:rPr>
          <w:rFonts w:ascii="Arial" w:cs="Arial" w:eastAsia="Arial" w:hAnsi="Arial"/>
          <w:sz w:val="23"/>
          <w:szCs w:val="23"/>
          <w:color w:val="auto"/>
          <w:vertAlign w:val="subscript"/>
        </w:rPr>
        <w:t>max</w:t>
      </w:r>
      <w:r>
        <w:rPr>
          <w:rFonts w:ascii="Arial" w:cs="Arial" w:eastAsia="Arial" w:hAnsi="Arial"/>
          <w:sz w:val="18"/>
          <w:szCs w:val="18"/>
          <w:color w:val="auto"/>
        </w:rPr>
        <w:t xml:space="preserve"> and t</w:t>
      </w:r>
      <w:r>
        <w:rPr>
          <w:rFonts w:ascii="Arial" w:cs="Arial" w:eastAsia="Arial" w:hAnsi="Arial"/>
          <w:sz w:val="23"/>
          <w:szCs w:val="23"/>
          <w:color w:val="auto"/>
          <w:vertAlign w:val="subscript"/>
        </w:rPr>
        <w:t>1/2</w:t>
      </w:r>
      <w:r>
        <w:rPr>
          <w:rFonts w:ascii="Arial" w:cs="Arial" w:eastAsia="Arial" w:hAnsi="Arial"/>
          <w:sz w:val="18"/>
          <w:szCs w:val="18"/>
          <w:color w:val="auto"/>
        </w:rPr>
        <w:t xml:space="preserve"> appeared to be independent of dose. There were no deaths or SAEs reported during this study and no TEAEs that led to the withdrawal of subjects from the study. These data supported a MAD study in healthy human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714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7"/>
          <w:szCs w:val="17"/>
          <w:color w:val="auto"/>
          <w:vertAlign w:val="superscript"/>
        </w:rPr>
      </w:pPr>
      <w:r>
        <w:rPr>
          <w:rFonts w:ascii="Arial" w:cs="Arial" w:eastAsia="Arial" w:hAnsi="Arial"/>
          <w:sz w:val="13"/>
          <w:szCs w:val="13"/>
          <w:color w:val="auto"/>
        </w:rPr>
        <w:t>Gibson, et al. (2015). Strategy for identifying repurposed drugs for the treatment of cerebral cavernous malformation. Circulation, 131(3), 289-99.</w:t>
      </w:r>
    </w:p>
    <w:p>
      <w:pPr>
        <w:sectPr>
          <w:pgSz w:w="11900" w:h="16838" w:orient="portrait"/>
          <w:cols w:equalWidth="0" w:num="1">
            <w:col w:w="11120"/>
          </w:cols>
          <w:pgMar w:left="320" w:top="135" w:right="4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5" w:right="45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subsequent Phase 1 Multiple Ascending Dose (MAD) study was conducted in 52 healthy human volunteers and was designed to investigate the safety, tolerability, and PK of multiple oral doses of REC-994, to bridge from the PIB dosage form to a tablet dosage form, as well as to assess the effect of food on PK following a single oral dose. Overall, multiple oral doses of REC-994 were well tolerated in healthy male and female subjects at each dose level administered in this study. There appeared to be no dose-related trends in TEAEs, vital signs, ECGs, pulse oximetry, physical examination findings, or neurological examination findings. Pharmacokinetic results support once-daily oral dosing with tablet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144780</wp:posOffset>
            </wp:positionV>
            <wp:extent cx="5932170" cy="2451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3217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Table 1. Summary of Adverse Events from Phase 1 Multiple Ascending Dose Study. </w:t>
      </w:r>
      <w:r>
        <w:rPr>
          <w:rFonts w:ascii="Arial" w:cs="Arial" w:eastAsia="Arial" w:hAnsi="Arial"/>
          <w:sz w:val="16"/>
          <w:szCs w:val="16"/>
          <w:color w:val="auto"/>
        </w:rPr>
        <w:t>AE=adverse event; MAD=multiple ascending dose; SAE=serious</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event; TEAE=treatment-emergent adverse event.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Recursion initiated the SYCAMORE study, a two-part Phase 2 trial in CCM patients in Q1 2022. Part 1 is a randomized, double-blind, placebo-controlled trial to investigate the safety, efficacy, and PK of daily doses of REC-994 (200 mg and 400 mg) compared to placebo in participants with symptomatic CCM over a treatment period of 12 months. Part 2 is an optional, double-blind, long-term extension (LTE) study of daily doses of REC-994 (200 mg and 400 mg) for participants completing Part 1 of the study. Currently, there is no regulatory precedent or registrational pathway for CCM drug development. Results from the ongoing Phase 2 study are expected to inform a pivotal trial design with guidance from the FDA.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386080</wp:posOffset>
            </wp:positionV>
            <wp:extent cx="4877435" cy="29146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7743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color w:val="auto"/>
        </w:rPr>
        <w:t xml:space="preserve">Figure 38. Phase 2 study schema for REC-994. </w:t>
      </w:r>
      <w:r>
        <w:rPr>
          <w:rFonts w:ascii="Arial" w:cs="Arial" w:eastAsia="Arial" w:hAnsi="Arial"/>
          <w:sz w:val="16"/>
          <w:szCs w:val="16"/>
          <w:color w:val="auto"/>
        </w:rPr>
        <w:t>Phase 2 trial design to assess the efficacy and safety of REC-994 in patients with symptomatic CCM.</w:t>
      </w:r>
      <w:r>
        <w:rPr>
          <w:rFonts w:ascii="Arial" w:cs="Arial" w:eastAsia="Arial" w:hAnsi="Arial"/>
          <w:sz w:val="16"/>
          <w:szCs w:val="16"/>
          <w:b w:val="1"/>
          <w:bCs w:val="1"/>
          <w:color w:val="auto"/>
        </w:rPr>
        <w:t xml:space="preserve"> </w:t>
      </w:r>
      <w:r>
        <w:rPr>
          <w:rFonts w:ascii="Arial" w:cs="Arial" w:eastAsia="Arial" w:hAnsi="Arial"/>
          <w:sz w:val="16"/>
          <w:szCs w:val="16"/>
          <w:color w:val="auto"/>
        </w:rPr>
        <w:t>Enrollment criteria includes MRI-confirmed lesion(s), diagnosis of familial or sporadic CCM, and having symptoms directly related to CCM. Primary outcome measures are safety and tolerability. Secondary measures are focused on efficacy, including clinician-measured outcomes, imaging of CCM lesions, acute stroke scales and patient reported outcomes.</w:t>
      </w:r>
      <w:r>
        <w:rPr>
          <w:sz w:val="1"/>
          <w:szCs w:val="1"/>
          <w:color w:val="auto"/>
        </w:rPr>
        <w:drawing>
          <wp:inline distT="0" distB="0" distL="0" distR="0">
            <wp:extent cx="34290" cy="12001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120015"/>
                    </a:xfrm>
                    <a:prstGeom prst="rect">
                      <a:avLst/>
                    </a:prstGeom>
                    <a:noFill/>
                    <a:ln>
                      <a:noFill/>
                    </a:ln>
                  </pic:spPr>
                </pic:pic>
              </a:graphicData>
            </a:graphic>
          </wp:inline>
        </w:drawing>
      </w:r>
      <w:r>
        <w:rPr>
          <w:rFonts w:ascii="Arial" w:cs="Arial" w:eastAsia="Arial" w:hAnsi="Arial"/>
          <w:sz w:val="16"/>
          <w:szCs w:val="16"/>
          <w:color w:val="auto"/>
        </w:rPr>
        <w:t>This trial was fully enrolled in June 2023 and the vast majority of participants who completed 12 months of treatment continue to enter the long-term extension study.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Competitors</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 our knowledge, the REC-994 program is the first industry sponsored therapeutic program in clinical trials for CCM. If approved, REC-994 would be the first pharmacologic disease-modifying treatment for CCM, one of the largest areas of unmet need in the rare disease space. There are currently three other active programs in clinical development for CCM.</w:t>
      </w:r>
    </w:p>
    <w:p>
      <w:pPr>
        <w:spacing w:after="0" w:line="19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OV-888, a ROCK2 inhibitor from Ovid Therapeutics, is currently in Phase 1, with a signal-finding trial expected to initiate in H2 2024.</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NRL-1049, a ROCK inhibitor from Neurelis in-licensed from BioAxone BioSciences, is currently in Phase 1.</w:t>
      </w:r>
    </w:p>
    <w:p>
      <w:pPr>
        <w:spacing w:after="0" w:line="252"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Atorvastatin, a competitive HMG-CoA reductase inhibitor, is being studied in an investigator sponsored Phase 1/2 study in CCM patients with a recent history of symptomatic bleeds.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REC-2282 for Neurofibromatosis Type 2 - Phase 2/3</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REC-2282 is a small molecule HDAC inhibitor currently under development for the treatment of </w:t>
      </w:r>
      <w:r>
        <w:rPr>
          <w:rFonts w:ascii="Arial" w:cs="Arial" w:eastAsia="Arial" w:hAnsi="Arial"/>
          <w:sz w:val="18"/>
          <w:szCs w:val="18"/>
          <w:i w:val="1"/>
          <w:iCs w:val="1"/>
          <w:color w:val="auto"/>
        </w:rPr>
        <w:t>NF2</w:t>
      </w:r>
      <w:r>
        <w:rPr>
          <w:rFonts w:ascii="Arial" w:cs="Arial" w:eastAsia="Arial" w:hAnsi="Arial"/>
          <w:sz w:val="18"/>
          <w:szCs w:val="18"/>
          <w:color w:val="auto"/>
        </w:rPr>
        <w:t>-mutant meningiomas. In prior clinical trials, the molecule was well tolerated, including in patients dosed for multiple years. In contrast to approved HDAC inhibitors, REC-2282 is both CNS-penetrant and orally bioavailable. An adaptive, Phase 2/3, randomized, multicenter study is underway with enrollment of Phase 2 expected to complete in H1 2024. Orphan Drug Designation in the US and EU as well as Fast Track Designation in the US have been granted. We expect to share Phase 2 safety and preliminary efficacy data in Q4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Disease Overview</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Neurofibromatosis type 2 (NF2) is an autosomal dominant, inherited, rare, tumor syndrome that predisposes affected individuals to multiple nervous system tumors, the most common of which are bilateral vestibular schwannomas, intracranial meningiomas, spinal meningiomas and other spine tumors such as ependymomas.</w:t>
      </w:r>
    </w:p>
    <w:p>
      <w:pPr>
        <w:sectPr>
          <w:pgSz w:w="11900" w:h="16838" w:orient="portrait"/>
          <w:cols w:equalWidth="0" w:num="1">
            <w:col w:w="11160"/>
          </w:cols>
          <w:pgMar w:left="320" w:top="135"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Approximately one-half of individuals with NF2 have meningiomas and most of these individuals will have multiple meningiomas. In patients with NF2 the incidence of meningiomas increases with age, and lifetime risk may be as high as 75%. Combined, we believe NF2-driven meningiomas occur in approximately 33,000 patients per year in the US and EU5. Patients with NF2 are diagnosed typically in their late teens or early 20s and present with hearing loss which is usually unilateral at the time of onset, focal neurological deficits, and symptoms relating to increasing intracranial pressure.</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most meningiomas are benign, their location often makes complete resection untenable, and subsequently patients with NF2 experience loss of hearing, facial paralysis, poor balance, and visual difficulty. Spinal tumors can result in weakness and disability and some patients become wheelchair bound. Many patients with multi-tumor disease die in early adulthood. Due to the catastrophic nature of the disease and lack of non-surgical options for management, new approaches to treatment are needed, particularly those directed toward shrinking tumor burden.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Insight from Recursion OS</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selected REC-2282 for our NF2 program through the application of a brute-force approach by developing a high content phenotypic screen to identify cellular and structural changes associated with the genetic knockdown of NF2 by siRNA in HUVEC cells. Transfected </w:t>
      </w:r>
      <w:r>
        <w:rPr>
          <w:rFonts w:ascii="Arial" w:cs="Arial" w:eastAsia="Arial" w:hAnsi="Arial"/>
          <w:sz w:val="18"/>
          <w:szCs w:val="18"/>
          <w:i w:val="1"/>
          <w:iCs w:val="1"/>
          <w:color w:val="auto"/>
        </w:rPr>
        <w:t>NF2-</w:t>
      </w:r>
      <w:r>
        <w:rPr>
          <w:rFonts w:ascii="Arial" w:cs="Arial" w:eastAsia="Arial" w:hAnsi="Arial"/>
          <w:sz w:val="18"/>
          <w:szCs w:val="18"/>
          <w:color w:val="auto"/>
        </w:rPr>
        <w:t xml:space="preserve">deficient cells were treated with thousands of compounds to discover molecules that restored the structural defects associated with loss of NF2. REC-2282 reversed this complex cellular phenotype back to a healthy state (wildtype) in four independent screens at concentrations between 0.1 to 1 μM, in line with efficacious concentration levels in our preclinical experiments. Additionally, REC-2282 failed to exhibit the same level of dose dependent rescue in the evaluation of hundreds of other tumor suppressor or oncogene knockdown models, providing further evidence of a selective effect in the specific context of </w:t>
      </w:r>
      <w:r>
        <w:rPr>
          <w:rFonts w:ascii="Arial" w:cs="Arial" w:eastAsia="Arial" w:hAnsi="Arial"/>
          <w:sz w:val="18"/>
          <w:szCs w:val="18"/>
          <w:i w:val="1"/>
          <w:iCs w:val="1"/>
          <w:color w:val="auto"/>
        </w:rPr>
        <w:t>NF2</w:t>
      </w:r>
      <w:r>
        <w:rPr>
          <w:rFonts w:ascii="Arial" w:cs="Arial" w:eastAsia="Arial" w:hAnsi="Arial"/>
          <w:sz w:val="18"/>
          <w:szCs w:val="18"/>
          <w:color w:val="auto"/>
        </w:rPr>
        <w:t xml:space="preserve"> loss of function. Together, these experiments demonstrated robust and reproducible activity in disease relevant settings suggesting the therapeutic potential of REC-2282 in treating </w:t>
      </w:r>
      <w:r>
        <w:rPr>
          <w:rFonts w:ascii="Arial" w:cs="Arial" w:eastAsia="Arial" w:hAnsi="Arial"/>
          <w:sz w:val="18"/>
          <w:szCs w:val="18"/>
          <w:i w:val="1"/>
          <w:iCs w:val="1"/>
          <w:color w:val="auto"/>
        </w:rPr>
        <w:t>NF2</w:t>
      </w:r>
      <w:r>
        <w:rPr>
          <w:rFonts w:ascii="Arial" w:cs="Arial" w:eastAsia="Arial" w:hAnsi="Arial"/>
          <w:sz w:val="18"/>
          <w:szCs w:val="18"/>
          <w:color w:val="auto"/>
        </w:rPr>
        <w:t>-mutant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146050</wp:posOffset>
            </wp:positionV>
            <wp:extent cx="2897505" cy="36429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750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b w:val="1"/>
          <w:bCs w:val="1"/>
          <w:color w:val="auto"/>
        </w:rPr>
        <w:t xml:space="preserve">Figure 39. REC-2282 rescued the loss of NF2. </w:t>
      </w:r>
      <w:r>
        <w:rPr>
          <w:rFonts w:ascii="Arial" w:cs="Arial" w:eastAsia="Arial" w:hAnsi="Arial"/>
          <w:sz w:val="16"/>
          <w:szCs w:val="16"/>
          <w:color w:val="auto"/>
        </w:rPr>
        <w:t>A) Immunofluorescent images of human endothelial cells treated with siRNA control or siRNA NF2. B)</w:t>
      </w:r>
      <w:r>
        <w:rPr>
          <w:rFonts w:ascii="Arial" w:cs="Arial" w:eastAsia="Arial" w:hAnsi="Arial"/>
          <w:sz w:val="16"/>
          <w:szCs w:val="16"/>
          <w:b w:val="1"/>
          <w:bCs w:val="1"/>
          <w:color w:val="auto"/>
        </w:rPr>
        <w:t xml:space="preserve"> </w:t>
      </w:r>
      <w:r>
        <w:rPr>
          <w:rFonts w:ascii="Arial" w:cs="Arial" w:eastAsia="Arial" w:hAnsi="Arial"/>
          <w:sz w:val="16"/>
          <w:szCs w:val="16"/>
          <w:color w:val="auto"/>
        </w:rPr>
        <w:t>REC-2282 rescued the high-dimensional disease phenotype as evidenced with a left shift from the disease to the healthy state. HUVEC, human umbilical vein endothelial cells; NF2, neurofibromatosis type 2; siRNA, small interfering RNA.</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REC-2282, is an orally bioavailable, CNS-penetrating, pan-histone deacetylase, or HDAC, inhibitor with PI3K/AKT/mTOR pathway modulatory activity. By comparison to marketed HDAC inhibitors, REC-2282 is uniquely suited for patients with NF2 and </w:t>
      </w:r>
      <w:r>
        <w:rPr>
          <w:rFonts w:ascii="Arial" w:cs="Arial" w:eastAsia="Arial" w:hAnsi="Arial"/>
          <w:sz w:val="18"/>
          <w:szCs w:val="18"/>
          <w:i w:val="1"/>
          <w:iCs w:val="1"/>
          <w:color w:val="auto"/>
        </w:rPr>
        <w:t>NF2</w:t>
      </w:r>
      <w:r>
        <w:rPr>
          <w:rFonts w:ascii="Arial" w:cs="Arial" w:eastAsia="Arial" w:hAnsi="Arial"/>
          <w:sz w:val="18"/>
          <w:szCs w:val="18"/>
          <w:color w:val="auto"/>
        </w:rPr>
        <w:t>-mutant CNS tumors, due to its oral bioavailability, CNS-exposure, and as of yet undocumented cardiovascular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137160</wp:posOffset>
            </wp:positionV>
            <wp:extent cx="5563235" cy="2280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632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b w:val="1"/>
          <w:bCs w:val="1"/>
          <w:color w:val="auto"/>
        </w:rPr>
        <w:t xml:space="preserve">Figure 40. REC-2282 would be a first-in-class HDAC inhibitor for the potential treatment of NF2 meningiomas. </w:t>
      </w:r>
      <w:r>
        <w:rPr>
          <w:rFonts w:ascii="Arial" w:cs="Arial" w:eastAsia="Arial" w:hAnsi="Arial"/>
          <w:sz w:val="16"/>
          <w:szCs w:val="16"/>
          <w:color w:val="auto"/>
        </w:rPr>
        <w:t>We believe REC-2282 is well suited</w:t>
      </w:r>
      <w:r>
        <w:rPr>
          <w:rFonts w:ascii="Arial" w:cs="Arial" w:eastAsia="Arial" w:hAnsi="Arial"/>
          <w:sz w:val="16"/>
          <w:szCs w:val="16"/>
          <w:b w:val="1"/>
          <w:bCs w:val="1"/>
          <w:color w:val="auto"/>
        </w:rPr>
        <w:t xml:space="preserve"> </w:t>
      </w:r>
      <w:r>
        <w:rPr>
          <w:rFonts w:ascii="Arial" w:cs="Arial" w:eastAsia="Arial" w:hAnsi="Arial"/>
          <w:sz w:val="16"/>
          <w:szCs w:val="16"/>
          <w:color w:val="auto"/>
        </w:rPr>
        <w:t>for NF2 vs other HDAC inhibitors due to its oral bioavailability and CNS-exposure.</w:t>
      </w:r>
      <w:r>
        <w:rPr>
          <w:rFonts w:ascii="Arial" w:cs="Arial" w:eastAsia="Arial" w:hAnsi="Arial"/>
          <w:sz w:val="21"/>
          <w:szCs w:val="21"/>
          <w:color w:val="auto"/>
          <w:vertAlign w:val="superscript"/>
        </w:rPr>
        <w:t>12,13,14</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NF2 disease is driven by mutations in the </w:t>
      </w:r>
      <w:r>
        <w:rPr>
          <w:rFonts w:ascii="Arial" w:cs="Arial" w:eastAsia="Arial" w:hAnsi="Arial"/>
          <w:sz w:val="18"/>
          <w:szCs w:val="18"/>
          <w:i w:val="1"/>
          <w:iCs w:val="1"/>
          <w:color w:val="auto"/>
        </w:rPr>
        <w:t>NF2</w:t>
      </w:r>
      <w:r>
        <w:rPr>
          <w:rFonts w:ascii="Arial" w:cs="Arial" w:eastAsia="Arial" w:hAnsi="Arial"/>
          <w:sz w:val="18"/>
          <w:szCs w:val="18"/>
          <w:color w:val="auto"/>
        </w:rPr>
        <w:t xml:space="preserve"> gene, which encodes an important cell signaling modulator, merlin. Loss of merlin results in activation of multiple signaling pathways converging on PI3K/AKT/mTOR among others and results in enhanced cell proliferation. Anti-neoplastic effects of HDAC inhibitors, like REC-2282, are thought to derive primarily via disruption of the protein phosphatase 1 (PP1)-HDAC interaction, and the subsequent inhibition of PI3K/AKT signaling leading to growth arrest and apoptosis of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714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 xml:space="preserve">Sborov, D.W et al. (2017) A phase 1 trial of the HDAC inhibitor AR-42 in patients with multiple myeloma and T- and B-cell lymphomas. </w:t>
      </w:r>
      <w:r>
        <w:rPr>
          <w:rFonts w:ascii="Arial" w:cs="Arial" w:eastAsia="Arial" w:hAnsi="Arial"/>
          <w:sz w:val="14"/>
          <w:szCs w:val="14"/>
          <w:i w:val="1"/>
          <w:iCs w:val="1"/>
          <w:color w:val="auto"/>
        </w:rPr>
        <w:t>Leuk Lymphoma, 58(10)</w:t>
      </w:r>
      <w:r>
        <w:rPr>
          <w:rFonts w:ascii="Arial" w:cs="Arial" w:eastAsia="Arial" w:hAnsi="Arial"/>
          <w:sz w:val="14"/>
          <w:szCs w:val="14"/>
          <w:color w:val="auto"/>
        </w:rPr>
        <w:t>, 2310-2318.</w:t>
      </w:r>
    </w:p>
    <w:p>
      <w:pPr>
        <w:ind w:right="740" w:firstLine="8"/>
        <w:spacing w:after="0" w:line="220" w:lineRule="auto"/>
        <w:tabs>
          <w:tab w:leader="none" w:pos="144"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 xml:space="preserve">Collier KA, et al. (2021). A phase 1 trial of the histone deacetylase inhibitor AR-42 in patients with neurofibromatosis type 2-associated tumors and advanced solid malignancies. </w:t>
      </w:r>
      <w:r>
        <w:rPr>
          <w:rFonts w:ascii="Arial" w:cs="Arial" w:eastAsia="Arial" w:hAnsi="Arial"/>
          <w:sz w:val="14"/>
          <w:szCs w:val="14"/>
          <w:i w:val="1"/>
          <w:iCs w:val="1"/>
          <w:color w:val="auto"/>
        </w:rPr>
        <w:t>Cancer Chemother Pharmacol. 87(5),</w:t>
      </w:r>
      <w:r>
        <w:rPr>
          <w:rFonts w:ascii="Arial" w:cs="Arial" w:eastAsia="Arial" w:hAnsi="Arial"/>
          <w:sz w:val="14"/>
          <w:szCs w:val="14"/>
          <w:color w:val="auto"/>
        </w:rPr>
        <w:t xml:space="preserve"> 599-611.</w:t>
      </w:r>
    </w:p>
    <w:p>
      <w:pPr>
        <w:ind w:left="160" w:hanging="152"/>
        <w:spacing w:after="0" w:line="193" w:lineRule="auto"/>
        <w:tabs>
          <w:tab w:leader="none" w:pos="16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Prescribing Information of Vorinostat/Belinostat/Romidepsin respectively.</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386080</wp:posOffset>
            </wp:positionV>
            <wp:extent cx="5546090" cy="3206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4609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b w:val="1"/>
          <w:bCs w:val="1"/>
          <w:color w:val="auto"/>
        </w:rPr>
        <w:t xml:space="preserve">Figure 41. REC-2282 acts on an important pathway in tumor development to inhibit the growth of tumor cells. </w:t>
      </w:r>
      <w:r>
        <w:rPr>
          <w:rFonts w:ascii="Arial" w:cs="Arial" w:eastAsia="Arial" w:hAnsi="Arial"/>
          <w:sz w:val="16"/>
          <w:szCs w:val="16"/>
          <w:color w:val="auto"/>
        </w:rPr>
        <w:t>A potential mechanism of 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REC-2282 in NF2.</w:t>
      </w:r>
      <w:r>
        <w:rPr>
          <w:rFonts w:ascii="Arial" w:cs="Arial" w:eastAsia="Arial" w:hAnsi="Arial"/>
          <w:sz w:val="21"/>
          <w:szCs w:val="21"/>
          <w:color w:val="auto"/>
          <w:vertAlign w:val="superscript"/>
        </w:rPr>
        <w:t>15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Preclinical</w:t>
      </w:r>
    </w:p>
    <w:p>
      <w:pPr>
        <w:spacing w:after="0" w:line="2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After we discovered the novel use of REC-2282 for NF2 using our platform, we performed a literature search to better understand the molecule and validate its activity in disease relevant preclinical models. REC-2282 has been shown to be pharmacologically active in various human cancer cell lines and human cancer xenograft models. REC-2282 had been shown to inhibit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proliferation of vestibular schwannoma, or VS, and meningioma cells by inducing cell cycle arrest and apoptosis at doses that correlate with AKT inactivation. In preclinical models, REC-2282 inhibited the growth of primary human VS and </w:t>
      </w:r>
      <w:r>
        <w:rPr>
          <w:rFonts w:ascii="Arial" w:cs="Arial" w:eastAsia="Arial" w:hAnsi="Arial"/>
          <w:sz w:val="18"/>
          <w:szCs w:val="18"/>
          <w:i w:val="1"/>
          <w:iCs w:val="1"/>
          <w:color w:val="auto"/>
        </w:rPr>
        <w:t>Nf2</w:t>
      </w:r>
      <w:r>
        <w:rPr>
          <w:rFonts w:ascii="Arial" w:cs="Arial" w:eastAsia="Arial" w:hAnsi="Arial"/>
          <w:sz w:val="18"/>
          <w:szCs w:val="18"/>
          <w:color w:val="auto"/>
        </w:rPr>
        <w:t>-deficient mouse schwannoma cells, as well as primary patient-derived meningioma cells and the benign meningioma cell line, Ben-Men-1.</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animal models of NF2, REC-2282 suppressed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tumor growth of an </w:t>
      </w:r>
      <w:r>
        <w:rPr>
          <w:rFonts w:ascii="Arial" w:cs="Arial" w:eastAsia="Arial" w:hAnsi="Arial"/>
          <w:sz w:val="18"/>
          <w:szCs w:val="18"/>
          <w:i w:val="1"/>
          <w:iCs w:val="1"/>
          <w:color w:val="auto"/>
        </w:rPr>
        <w:t>Nf2</w:t>
      </w:r>
      <w:r>
        <w:rPr>
          <w:rFonts w:ascii="Arial" w:cs="Arial" w:eastAsia="Arial" w:hAnsi="Arial"/>
          <w:sz w:val="18"/>
          <w:szCs w:val="18"/>
          <w:color w:val="auto"/>
        </w:rPr>
        <w:t xml:space="preserve">-deficient mouse vestibular schwannoma allograft. In addition, REC-2282 suppressed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tumor growth of human vestibular schwannoma xenograft models in mice fed chow formulated to deliver 25 mg/kg/day REC-2282 for 45 days. REC-2282 also suppressed the growth of meningioma cells in an orthotopic mouse model of </w:t>
      </w:r>
      <w:r>
        <w:rPr>
          <w:rFonts w:ascii="Arial" w:cs="Arial" w:eastAsia="Arial" w:hAnsi="Arial"/>
          <w:sz w:val="18"/>
          <w:szCs w:val="18"/>
          <w:i w:val="1"/>
          <w:iCs w:val="1"/>
          <w:color w:val="auto"/>
        </w:rPr>
        <w:t>NF2</w:t>
      </w:r>
      <w:r>
        <w:rPr>
          <w:rFonts w:ascii="Arial" w:cs="Arial" w:eastAsia="Arial" w:hAnsi="Arial"/>
          <w:sz w:val="18"/>
          <w:szCs w:val="18"/>
          <w:color w:val="auto"/>
        </w:rPr>
        <w:t>-deficient meningioma that contained luciferase-expressing Ben-Men-1 meningioma cells. These animal data served as a functional and orthogonal validation of our platform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14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 xml:space="preserve">Adapted from Petrilli and Fernández-Valle. (2016). Role of Merlin/NF2 inactivation in tumor biology. </w:t>
      </w:r>
      <w:r>
        <w:rPr>
          <w:rFonts w:ascii="Arial" w:cs="Arial" w:eastAsia="Arial" w:hAnsi="Arial"/>
          <w:sz w:val="14"/>
          <w:szCs w:val="14"/>
          <w:i w:val="1"/>
          <w:iCs w:val="1"/>
          <w:color w:val="auto"/>
        </w:rPr>
        <w:t>Oncogene, 35(5)</w:t>
      </w:r>
      <w:r>
        <w:rPr>
          <w:rFonts w:ascii="Arial" w:cs="Arial" w:eastAsia="Arial" w:hAnsi="Arial"/>
          <w:sz w:val="14"/>
          <w:szCs w:val="14"/>
          <w:color w:val="auto"/>
        </w:rPr>
        <w:t>, 537-48.</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386080</wp:posOffset>
            </wp:positionV>
            <wp:extent cx="5220335" cy="21088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203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b w:val="1"/>
          <w:bCs w:val="1"/>
          <w:color w:val="auto"/>
        </w:rPr>
        <w:t xml:space="preserve">Figure 42. REC-2282 shrinks vestibular schwannoma xenografts in SCID-ICR mice and prevents growth &amp; regrowth of tumors in the </w:t>
      </w:r>
      <w:r>
        <w:rPr>
          <w:rFonts w:ascii="Arial" w:cs="Arial" w:eastAsia="Arial" w:hAnsi="Arial"/>
          <w:sz w:val="16"/>
          <w:szCs w:val="16"/>
          <w:b w:val="1"/>
          <w:bCs w:val="1"/>
          <w:i w:val="1"/>
          <w:iCs w:val="1"/>
          <w:color w:val="auto"/>
        </w:rPr>
        <w:t>NF2</w:t>
      </w:r>
      <w:r>
        <w:rPr>
          <w:rFonts w:ascii="Arial" w:cs="Arial" w:eastAsia="Arial" w:hAnsi="Arial"/>
          <w:sz w:val="16"/>
          <w:szCs w:val="16"/>
          <w:b w:val="1"/>
          <w:bCs w:val="1"/>
          <w:color w:val="auto"/>
        </w:rPr>
        <w:t xml:space="preserve">-deficient meningioma mouse model. </w:t>
      </w:r>
      <w:r>
        <w:rPr>
          <w:rFonts w:ascii="Arial" w:cs="Arial" w:eastAsia="Arial" w:hAnsi="Arial"/>
          <w:sz w:val="16"/>
          <w:szCs w:val="16"/>
          <w:color w:val="auto"/>
        </w:rPr>
        <w:t>(A) Change in VS tumor volume for each control mouse, demonstrating a mean 6% increase. (B) REC-2282 significantly</w:t>
      </w:r>
      <w:r>
        <w:rPr>
          <w:rFonts w:ascii="Arial" w:cs="Arial" w:eastAsia="Arial" w:hAnsi="Arial"/>
          <w:sz w:val="16"/>
          <w:szCs w:val="16"/>
          <w:b w:val="1"/>
          <w:bCs w:val="1"/>
          <w:color w:val="auto"/>
        </w:rPr>
        <w:t xml:space="preserve"> </w:t>
      </w:r>
      <w:r>
        <w:rPr>
          <w:rFonts w:ascii="Arial" w:cs="Arial" w:eastAsia="Arial" w:hAnsi="Arial"/>
          <w:sz w:val="16"/>
          <w:szCs w:val="16"/>
          <w:color w:val="auto"/>
        </w:rPr>
        <w:t>reduces the mean size of VS tumor volume by ~28% across SCID-ICR mice implanted with VS xenografts. Error bars shown are the 95% CI. P=0.006. C) REC-2282 also suppressed the growth of Ben-Men-1-LucB tumor xenografts as measured by tumor bioluminescence.</w:t>
      </w:r>
      <w:r>
        <w:rPr>
          <w:rFonts w:ascii="Arial" w:cs="Arial" w:eastAsia="Arial" w:hAnsi="Arial"/>
          <w:sz w:val="21"/>
          <w:szCs w:val="21"/>
          <w:color w:val="auto"/>
          <w:vertAlign w:val="superscript"/>
        </w:rPr>
        <w:t>16,17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Clinical</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Four Investigator-Sponsored Trials (ISTs) of REC-2282 (previously referred to as AR-42) have been completed. In study AR-42-001, REC-2282 was administered as monotherapy. In the other 3 trials, REC-2282 was administered in combination with anti-neoplastic agents: decitabine (AR-42-002), pazopanib (AR-42-003) and pomalidomide (AR 42 004), respectively. In these studies, REC-2282 was given to 77 patients with solid or hematological malignancies in doses ranging from 20 mg to 80 mg three times a week for three weeks followed by one week off-treatment in four-week cycles. Multiple patients were treated for multiple years using this dosing regimen at the 60 mg dose and the longest recorded treatment duration is 4.4 years at the 40 mg dose. The majority of adverse events were transient cytopenia that did not result in dose reduction or stoppage. The MTD in patients with solid tumors was determined to be 60 mg. The REC-2282 plasma exposure in patients with hematological malignancies and solid tumors generally increased with increasing doses. There were no consistent signs of plasma REC-2282 accumulation across a 19-day administration period nor obvious differences in PK between hematologic and solid tumor patients.</w:t>
      </w:r>
    </w:p>
    <w:p>
      <w:pPr>
        <w:spacing w:after="0" w:line="2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another early Phase 1 pharmacodynamic IST conducted by Ohio State University, it appeared that REC-2282 suppressed aberrant activation of ERK, AKT and S6 pathways in vestibular schwannomas from adult patients undergoing tumor resection. These results may be difficult to achieve with single pathway inhibitors of ALK or MEK.</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Recursion is currently enrolling patients in POPLAR, an adaptive, Phase 2/3, randomized, multicenter study to evaluate the efficacy and safety of REC-2282 in patients with progressive </w:t>
      </w:r>
      <w:r>
        <w:rPr>
          <w:rFonts w:ascii="Arial" w:cs="Arial" w:eastAsia="Arial" w:hAnsi="Arial"/>
          <w:sz w:val="18"/>
          <w:szCs w:val="18"/>
          <w:i w:val="1"/>
          <w:iCs w:val="1"/>
          <w:color w:val="auto"/>
        </w:rPr>
        <w:t>NF2</w:t>
      </w:r>
      <w:r>
        <w:rPr>
          <w:rFonts w:ascii="Arial" w:cs="Arial" w:eastAsia="Arial" w:hAnsi="Arial"/>
          <w:sz w:val="18"/>
          <w:szCs w:val="18"/>
          <w:color w:val="auto"/>
        </w:rPr>
        <w:t xml:space="preserve">-mutated meningiomas with underlying NF2 disease and sporadic meningiomas with documented </w:t>
      </w:r>
      <w:r>
        <w:rPr>
          <w:rFonts w:ascii="Arial" w:cs="Arial" w:eastAsia="Arial" w:hAnsi="Arial"/>
          <w:sz w:val="18"/>
          <w:szCs w:val="18"/>
          <w:i w:val="1"/>
          <w:iCs w:val="1"/>
          <w:color w:val="auto"/>
        </w:rPr>
        <w:t>NF2</w:t>
      </w:r>
      <w:r>
        <w:rPr>
          <w:rFonts w:ascii="Arial" w:cs="Arial" w:eastAsia="Arial" w:hAnsi="Arial"/>
          <w:sz w:val="18"/>
          <w:szCs w:val="18"/>
          <w:color w:val="auto"/>
        </w:rPr>
        <w:t xml:space="preserve"> mutations. The study is designed to accelerate the path to potential product registration by allowing for initiation of a confirmatory Phase 3 study prior to full completion of Phase 2. This is a two-staged Phase 2/3 with enrollment done in two parts. Cohort A is a signal seeking Phase 2 in which 20 adult subjects and up to nine adolescent subjects will begin treatment on two active dose arms. Subject safety will be monitored by an independent Data Monitoring Committee, which will apply dose modification and stopping rules as indicated. After all 20 adult subjects have completed six months of treatment, an interim analysis will be performed for the purpose of 1) determination of go/no-go criteria for Cohort B, or the Phase 3 portion of the study, 2) selection of the dose(s) to carry forward, 3) re-estimation of sample size for the planned Phase 3 and 4) agreement from FDA to initiate the Phase 3. Subjects in the Phase 2 portion will continue treatment for up to 26 months total and then have the option to enroll in an Extension study. The Phase 3 portion currently requires recruitment of an additional 60 subjects (adult and potentially adolescent subjects), who will receive treatment for up to 26 months. The planned primary endpoint is Progression-Free Survival (PFS).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14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7" w:lineRule="exact"/>
        <w:rPr>
          <w:sz w:val="20"/>
          <w:szCs w:val="20"/>
          <w:color w:val="auto"/>
        </w:rPr>
      </w:pPr>
    </w:p>
    <w:p>
      <w:pPr>
        <w:ind w:right="900" w:firstLine="8"/>
        <w:spacing w:after="0" w:line="211" w:lineRule="auto"/>
        <w:tabs>
          <w:tab w:leader="none" w:pos="144"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 xml:space="preserve">Adapted from Jacob A, et al. (2012). Triological Society Thesis Preclinical Validation of AR42, a Novel Histone Deacetylase Inhibitor, as Treatment for Vestibular Schwannomas. </w:t>
      </w:r>
      <w:r>
        <w:rPr>
          <w:rFonts w:ascii="Arial" w:cs="Arial" w:eastAsia="Arial" w:hAnsi="Arial"/>
          <w:sz w:val="14"/>
          <w:szCs w:val="14"/>
          <w:i w:val="1"/>
          <w:iCs w:val="1"/>
          <w:color w:val="auto"/>
        </w:rPr>
        <w:t>Laryngoscope, 122(1)</w:t>
      </w:r>
      <w:r>
        <w:rPr>
          <w:rFonts w:ascii="Arial" w:cs="Arial" w:eastAsia="Arial" w:hAnsi="Arial"/>
          <w:sz w:val="14"/>
          <w:szCs w:val="14"/>
          <w:color w:val="auto"/>
        </w:rPr>
        <w:t>, 174-189.</w:t>
      </w:r>
    </w:p>
    <w:p>
      <w:pPr>
        <w:ind w:right="320" w:firstLine="8"/>
        <w:spacing w:after="0" w:line="264" w:lineRule="auto"/>
        <w:tabs>
          <w:tab w:leader="none" w:pos="144" w:val="left"/>
        </w:tabs>
        <w:numPr>
          <w:ilvl w:val="0"/>
          <w:numId w:val="44"/>
        </w:numPr>
        <w:rPr>
          <w:rFonts w:ascii="Arial" w:cs="Arial" w:eastAsia="Arial" w:hAnsi="Arial"/>
          <w:sz w:val="9"/>
          <w:szCs w:val="9"/>
          <w:color w:val="auto"/>
        </w:rPr>
      </w:pPr>
      <w:r>
        <w:rPr>
          <w:rFonts w:ascii="Arial" w:cs="Arial" w:eastAsia="Arial" w:hAnsi="Arial"/>
          <w:sz w:val="14"/>
          <w:szCs w:val="14"/>
          <w:color w:val="auto"/>
        </w:rPr>
        <w:t xml:space="preserve">Burns SS, et al. (2013). Histone Deacetylase Inhibitor AR-42 Differentially Affects Cell-cycle Transit in Meningeal and Meningioma Cells, Potently Inhibiting NF2-Deficient Meningioma Growth. </w:t>
      </w:r>
      <w:r>
        <w:rPr>
          <w:rFonts w:ascii="Arial" w:cs="Arial" w:eastAsia="Arial" w:hAnsi="Arial"/>
          <w:sz w:val="14"/>
          <w:szCs w:val="14"/>
          <w:i w:val="1"/>
          <w:iCs w:val="1"/>
          <w:color w:val="auto"/>
        </w:rPr>
        <w:t>Cancer Res; 73(2)</w:t>
      </w:r>
      <w:r>
        <w:rPr>
          <w:rFonts w:ascii="Arial" w:cs="Arial" w:eastAsia="Arial" w:hAnsi="Arial"/>
          <w:sz w:val="14"/>
          <w:szCs w:val="14"/>
          <w:color w:val="auto"/>
        </w:rPr>
        <w:t>, 792-803.</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540385</wp:posOffset>
            </wp:positionV>
            <wp:extent cx="5083175" cy="30346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8317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b w:val="1"/>
          <w:bCs w:val="1"/>
          <w:color w:val="auto"/>
        </w:rPr>
        <w:t xml:space="preserve">Figure 43. Phase 2/3 study schema for REC-2282. </w:t>
      </w:r>
      <w:r>
        <w:rPr>
          <w:rFonts w:ascii="Arial" w:cs="Arial" w:eastAsia="Arial" w:hAnsi="Arial"/>
          <w:sz w:val="16"/>
          <w:szCs w:val="16"/>
          <w:color w:val="auto"/>
        </w:rPr>
        <w:t xml:space="preserve">Phase 2/3 two-staged study design to assess the safety, tolerability, and preliminary efficacy of REC-2282 in patients with progressive </w:t>
      </w:r>
      <w:r>
        <w:rPr>
          <w:rFonts w:ascii="Arial" w:cs="Arial" w:eastAsia="Arial" w:hAnsi="Arial"/>
          <w:sz w:val="16"/>
          <w:szCs w:val="16"/>
          <w:i w:val="1"/>
          <w:iCs w:val="1"/>
          <w:color w:val="auto"/>
        </w:rPr>
        <w:t>NF2</w:t>
      </w:r>
      <w:r>
        <w:rPr>
          <w:rFonts w:ascii="Arial" w:cs="Arial" w:eastAsia="Arial" w:hAnsi="Arial"/>
          <w:sz w:val="16"/>
          <w:szCs w:val="16"/>
          <w:color w:val="auto"/>
        </w:rPr>
        <w:t xml:space="preserve">-mutated meningiomas. Enrollment criteria include MRI-confirmed progressive meningioma and either (1) sporadic meningiomas with confirmed </w:t>
      </w:r>
      <w:r>
        <w:rPr>
          <w:rFonts w:ascii="Arial" w:cs="Arial" w:eastAsia="Arial" w:hAnsi="Arial"/>
          <w:sz w:val="16"/>
          <w:szCs w:val="16"/>
          <w:i w:val="1"/>
          <w:iCs w:val="1"/>
          <w:color w:val="auto"/>
        </w:rPr>
        <w:t>NF2</w:t>
      </w:r>
      <w:r>
        <w:rPr>
          <w:rFonts w:ascii="Arial" w:cs="Arial" w:eastAsia="Arial" w:hAnsi="Arial"/>
          <w:sz w:val="16"/>
          <w:szCs w:val="16"/>
          <w:color w:val="auto"/>
        </w:rPr>
        <w:t xml:space="preserve"> mutation or (2) confirmed diagnosis of NF2 disease. The primary outcome measure for the Phase 2 portion of the study is progression-free survival (PFS) rate at 6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are currently eight active programs in clinical development targeting </w:t>
      </w:r>
      <w:r>
        <w:rPr>
          <w:rFonts w:ascii="Arial" w:cs="Arial" w:eastAsia="Arial" w:hAnsi="Arial"/>
          <w:sz w:val="18"/>
          <w:szCs w:val="18"/>
          <w:i w:val="1"/>
          <w:iCs w:val="1"/>
          <w:color w:val="auto"/>
        </w:rPr>
        <w:t>NF2-</w:t>
      </w:r>
      <w:r>
        <w:rPr>
          <w:rFonts w:ascii="Arial" w:cs="Arial" w:eastAsia="Arial" w:hAnsi="Arial"/>
          <w:sz w:val="18"/>
          <w:szCs w:val="18"/>
          <w:color w:val="auto"/>
        </w:rPr>
        <w:t>driven brain tumors.</w:t>
      </w:r>
    </w:p>
    <w:p>
      <w:pPr>
        <w:spacing w:after="0" w:line="252" w:lineRule="exact"/>
        <w:rPr>
          <w:sz w:val="20"/>
          <w:szCs w:val="20"/>
          <w:color w:val="auto"/>
        </w:rPr>
      </w:pPr>
    </w:p>
    <w:p>
      <w:pPr>
        <w:ind w:left="660" w:right="80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Brigatinib, an approved ALK inhibitor for NSCLC from Takeda Pharmaceuticals, is in Phase 2 for NF2 disease meningioma, vestibular schwannoma, and ependymoma.</w:t>
      </w:r>
    </w:p>
    <w:p>
      <w:pPr>
        <w:spacing w:after="0" w:line="179"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Neratinib, an approved HER2 inhibitor for HER2+ breast cancer after trastuzumab-based therapy from Puma Biotechnology, is in Phase 2 for NF2 disease meningioma, vestibular schwannoma, and ependymoma</w:t>
      </w:r>
    </w:p>
    <w:p>
      <w:pPr>
        <w:spacing w:after="0" w:line="179" w:lineRule="exact"/>
        <w:rPr>
          <w:rFonts w:ascii="Arial" w:cs="Arial" w:eastAsia="Arial" w:hAnsi="Arial"/>
          <w:sz w:val="18"/>
          <w:szCs w:val="18"/>
          <w:color w:val="auto"/>
        </w:rPr>
      </w:pPr>
    </w:p>
    <w:p>
      <w:pPr>
        <w:ind w:left="660" w:right="110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Crizotinib, an ALK/ROS1 inhibitor, is being studied in an investigator sponsored Phase 2 study in progressive vestibular schwannoma in NF2 patients.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Selumetinib, a MEK inhibitor from AstraZeneca, is being studied in a Phase 2 study for </w:t>
      </w:r>
      <w:r>
        <w:rPr>
          <w:rFonts w:ascii="Arial" w:cs="Arial" w:eastAsia="Arial" w:hAnsi="Arial"/>
          <w:sz w:val="18"/>
          <w:szCs w:val="18"/>
          <w:i w:val="1"/>
          <w:iCs w:val="1"/>
          <w:color w:val="auto"/>
        </w:rPr>
        <w:t>NF2</w:t>
      </w:r>
      <w:r>
        <w:rPr>
          <w:rFonts w:ascii="Arial" w:cs="Arial" w:eastAsia="Arial" w:hAnsi="Arial"/>
          <w:sz w:val="18"/>
          <w:szCs w:val="18"/>
          <w:color w:val="auto"/>
        </w:rPr>
        <w:t xml:space="preserve"> related tumors.</w:t>
      </w:r>
    </w:p>
    <w:p>
      <w:pPr>
        <w:spacing w:after="0" w:line="252"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GSK2256098, a FAK inhibitor from GlaxoSmithKline, is being studied in a basket Phase 2 for meningiomas with a variety of targeted therapies and genetic alterations, including </w:t>
      </w:r>
      <w:r>
        <w:rPr>
          <w:rFonts w:ascii="Arial" w:cs="Arial" w:eastAsia="Arial" w:hAnsi="Arial"/>
          <w:sz w:val="18"/>
          <w:szCs w:val="18"/>
          <w:i w:val="1"/>
          <w:iCs w:val="1"/>
          <w:color w:val="auto"/>
        </w:rPr>
        <w:t>NF2</w:t>
      </w:r>
      <w:r>
        <w:rPr>
          <w:rFonts w:ascii="Arial" w:cs="Arial" w:eastAsia="Arial" w:hAnsi="Arial"/>
          <w:sz w:val="18"/>
          <w:szCs w:val="18"/>
          <w:color w:val="auto"/>
        </w:rPr>
        <w:t xml:space="preserve"> mutation.</w:t>
      </w:r>
    </w:p>
    <w:p>
      <w:pPr>
        <w:spacing w:after="0" w:line="179" w:lineRule="exact"/>
        <w:rPr>
          <w:rFonts w:ascii="Arial" w:cs="Arial" w:eastAsia="Arial" w:hAnsi="Arial"/>
          <w:sz w:val="18"/>
          <w:szCs w:val="18"/>
          <w:color w:val="auto"/>
        </w:rPr>
      </w:pPr>
    </w:p>
    <w:p>
      <w:pPr>
        <w:ind w:left="660" w:right="60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IK-930, a TEAD inhibitor from Ikena Oncology, is being studied in a basket Phase 1 for advanced solid tumors driven by hippo signaling, including patients with </w:t>
      </w:r>
      <w:r>
        <w:rPr>
          <w:rFonts w:ascii="Arial" w:cs="Arial" w:eastAsia="Arial" w:hAnsi="Arial"/>
          <w:sz w:val="18"/>
          <w:szCs w:val="18"/>
          <w:i w:val="1"/>
          <w:iCs w:val="1"/>
          <w:color w:val="auto"/>
        </w:rPr>
        <w:t>NF2</w:t>
      </w:r>
      <w:r>
        <w:rPr>
          <w:rFonts w:ascii="Arial" w:cs="Arial" w:eastAsia="Arial" w:hAnsi="Arial"/>
          <w:sz w:val="18"/>
          <w:szCs w:val="18"/>
          <w:color w:val="auto"/>
        </w:rPr>
        <w:t xml:space="preserve"> mutations.</w:t>
      </w:r>
    </w:p>
    <w:p>
      <w:pPr>
        <w:spacing w:after="0" w:line="179"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VT-3989, a TEAD inhibitor from Vivace Therapeutics, is being studied in a basket Phase 1 for advanced malignant mesothelioma and other tumors with </w:t>
      </w:r>
      <w:r>
        <w:rPr>
          <w:rFonts w:ascii="Arial" w:cs="Arial" w:eastAsia="Arial" w:hAnsi="Arial"/>
          <w:sz w:val="18"/>
          <w:szCs w:val="18"/>
          <w:i w:val="1"/>
          <w:iCs w:val="1"/>
          <w:color w:val="auto"/>
        </w:rPr>
        <w:t>NF2</w:t>
      </w:r>
      <w:r>
        <w:rPr>
          <w:rFonts w:ascii="Arial" w:cs="Arial" w:eastAsia="Arial" w:hAnsi="Arial"/>
          <w:sz w:val="18"/>
          <w:szCs w:val="18"/>
          <w:color w:val="auto"/>
        </w:rPr>
        <w:t xml:space="preserve"> mutations, including meningiomas.</w:t>
      </w:r>
    </w:p>
    <w:p>
      <w:pPr>
        <w:spacing w:after="0" w:line="179"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IAG933, a TEAD inhibitor from Novartis, is being studied in a basket Phase 1 for advanced malignant mesothelioma and other tumors with </w:t>
      </w:r>
      <w:r>
        <w:rPr>
          <w:rFonts w:ascii="Arial" w:cs="Arial" w:eastAsia="Arial" w:hAnsi="Arial"/>
          <w:sz w:val="18"/>
          <w:szCs w:val="18"/>
          <w:i w:val="1"/>
          <w:iCs w:val="1"/>
          <w:color w:val="auto"/>
        </w:rPr>
        <w:t>NF2</w:t>
      </w:r>
      <w:r>
        <w:rPr>
          <w:rFonts w:ascii="Arial" w:cs="Arial" w:eastAsia="Arial" w:hAnsi="Arial"/>
          <w:sz w:val="18"/>
          <w:szCs w:val="18"/>
          <w:color w:val="auto"/>
        </w:rPr>
        <w:t xml:space="preserve"> mutations, including meningiomas.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REC-4881 for Familial Adenomatous Polyposis (FAP) - Phase 1b/2</w:t>
      </w:r>
    </w:p>
    <w:p>
      <w:pPr>
        <w:spacing w:after="0" w:line="25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REC-4881 is an orally bioavailable, non-ATP-competitive, allosteric small molecule inhibitor of MEK1 and MEK2 currently under development to reduce polyp burden and progression to adenocarcinoma in FAP patients. REC-4881 was well tolerated in prior clinical studies, demonstrating dose dependent increases in exposure and pharmacological activity. Recursion is currently enrolling patients in TUPELO, a Phase 1b/2, open label, multicenter study with FPI in the Part 2 portion anticipated in H1 2024. Orphan Drug Designation in the US and EU as well as Fast Track Designation in the US have been granted. We expect to share Phase 2 safety and preliminary efficacy data in H1 2025.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Disease Overview</w:t>
      </w:r>
    </w:p>
    <w:p>
      <w:pPr>
        <w:spacing w:after="0" w:line="25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FAP is a rare tumor predisposition syndrome affecting approximately 50,000 patients in the US and EU5 with no approved therapies. FAP is a genetic disorder resulting from a heterogeneous spectrum of point mutations in the adenomatous polyposis coli (</w:t>
      </w:r>
      <w:r>
        <w:rPr>
          <w:rFonts w:ascii="Arial" w:cs="Arial" w:eastAsia="Arial" w:hAnsi="Arial"/>
          <w:sz w:val="18"/>
          <w:szCs w:val="18"/>
          <w:i w:val="1"/>
          <w:iCs w:val="1"/>
          <w:color w:val="auto"/>
        </w:rPr>
        <w:t>APC</w:t>
      </w:r>
      <w:r>
        <w:rPr>
          <w:rFonts w:ascii="Arial" w:cs="Arial" w:eastAsia="Arial" w:hAnsi="Arial"/>
          <w:sz w:val="18"/>
          <w:szCs w:val="18"/>
          <w:color w:val="auto"/>
        </w:rPr>
        <w:t xml:space="preserve">) gene. The </w:t>
      </w:r>
      <w:r>
        <w:rPr>
          <w:rFonts w:ascii="Arial" w:cs="Arial" w:eastAsia="Arial" w:hAnsi="Arial"/>
          <w:sz w:val="18"/>
          <w:szCs w:val="18"/>
          <w:i w:val="1"/>
          <w:iCs w:val="1"/>
          <w:color w:val="auto"/>
        </w:rPr>
        <w:t>APC</w:t>
      </w:r>
      <w:r>
        <w:rPr>
          <w:rFonts w:ascii="Arial" w:cs="Arial" w:eastAsia="Arial" w:hAnsi="Arial"/>
          <w:sz w:val="18"/>
          <w:szCs w:val="18"/>
          <w:color w:val="auto"/>
        </w:rPr>
        <w:t xml:space="preserve"> gene is a tumor suppressor gene which encodes a negative regulator of the Wnt signaling pathway.</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FAP is characterized by progressive development of hundreds to thousands of adenomatous polyps in the lower gastrointestinal tract, mainly in the colon and rectum, and is associated with up to a 100% lifetime risk of colorectal cancer before age 40 if left untreated. The standard of care for patients with FAP is colectomy in late teenage years. Without surgical intervention, affected patients will progress to colorectal cancer by early adulthood. Post-colectomy, patients receive endoscopic surveillance every 6-12 months to monitor disease progression given the ongoing risk of malignant transformation.</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Despite removing the main at-risk organ, approximately 50% of patients will develop adenomatous lesions in the neo-rectum. Once endoscopic management is no longer sufficient, additional surgical procedures are required. Similarly, these patients also develop duodenal (particularly ampullary) adenomas which also require endoscopic management. In the presence of larger adenomas and evidence of carcinoma, patients require additional localized surgery, including radical Whipple procedures. There are currently no approved therapies for FAP.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Insights from Recursion OS</w:t>
      </w:r>
    </w:p>
    <w:p>
      <w:pPr>
        <w:spacing w:after="0" w:line="2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The novel use of REC-4881 for FAP was discovered by leveraging knock-down of the FAP disease gene APC in human cells using the Recursion OS. To select REC-4881 as a potential therapeutic for FAP, Recursion developed a high content phenotypic screen to identify cellular and structural changes associated with knockdown of APC using small interfering RNA (siRNA) in osteosarcoma U2OS cells. Using machine vision and automated analysis software, Recursion quantified hundreds of cellular parameters associated with </w:t>
      </w:r>
      <w:r>
        <w:rPr>
          <w:rFonts w:ascii="Arial" w:cs="Arial" w:eastAsia="Arial" w:hAnsi="Arial"/>
          <w:sz w:val="18"/>
          <w:szCs w:val="18"/>
          <w:i w:val="1"/>
          <w:iCs w:val="1"/>
          <w:color w:val="auto"/>
        </w:rPr>
        <w:t>APC</w:t>
      </w:r>
      <w:r>
        <w:rPr>
          <w:rFonts w:ascii="Arial" w:cs="Arial" w:eastAsia="Arial" w:hAnsi="Arial"/>
          <w:sz w:val="18"/>
          <w:szCs w:val="18"/>
          <w:color w:val="auto"/>
        </w:rPr>
        <w:t xml:space="preserve"> knockdown. This complex phenotype was used as the basis for a chemical screen of more than 3,000 known drugs and bioactive compounds, revealing several RAF and MEK inhibitors, including REC-4881, which reversed the structural defects associated with loss of </w:t>
      </w:r>
      <w:r>
        <w:rPr>
          <w:rFonts w:ascii="Arial" w:cs="Arial" w:eastAsia="Arial" w:hAnsi="Arial"/>
          <w:sz w:val="18"/>
          <w:szCs w:val="18"/>
          <w:i w:val="1"/>
          <w:iCs w:val="1"/>
          <w:color w:val="auto"/>
        </w:rPr>
        <w:t>APC</w:t>
      </w:r>
      <w:r>
        <w:rPr>
          <w:rFonts w:ascii="Arial" w:cs="Arial" w:eastAsia="Arial" w:hAnsi="Arial"/>
          <w:sz w:val="18"/>
          <w:szCs w:val="18"/>
          <w:color w:val="auto"/>
        </w:rPr>
        <w:t>. REC-4881 exhibited highly specific and potent reversal of cellular phenotypes when compared to the MEK inhibitors selumetinib and binimetinib.</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386080</wp:posOffset>
            </wp:positionV>
            <wp:extent cx="2468880" cy="2322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688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Figure 44. REC-4881 rescued phenotypic defects of cells with </w:t>
      </w:r>
      <w:r>
        <w:rPr>
          <w:rFonts w:ascii="Arial" w:cs="Arial" w:eastAsia="Arial" w:hAnsi="Arial"/>
          <w:sz w:val="16"/>
          <w:szCs w:val="16"/>
          <w:b w:val="1"/>
          <w:bCs w:val="1"/>
          <w:i w:val="1"/>
          <w:iCs w:val="1"/>
          <w:color w:val="auto"/>
        </w:rPr>
        <w:t>APC</w:t>
      </w:r>
      <w:r>
        <w:rPr>
          <w:rFonts w:ascii="Arial" w:cs="Arial" w:eastAsia="Arial" w:hAnsi="Arial"/>
          <w:sz w:val="16"/>
          <w:szCs w:val="16"/>
          <w:b w:val="1"/>
          <w:bCs w:val="1"/>
          <w:color w:val="auto"/>
        </w:rPr>
        <w:t xml:space="preserve"> knockdown. </w:t>
      </w:r>
      <w:r>
        <w:rPr>
          <w:rFonts w:ascii="Arial" w:cs="Arial" w:eastAsia="Arial" w:hAnsi="Arial"/>
          <w:sz w:val="16"/>
          <w:szCs w:val="16"/>
          <w:color w:val="auto"/>
        </w:rPr>
        <w:t>Compared to thousands of other molecules tested, REC-4881 rescued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phenotypic defects substantially better (including better rescue than other MEK inhibitors) for </w:t>
      </w:r>
      <w:r>
        <w:rPr>
          <w:rFonts w:ascii="Arial" w:cs="Arial" w:eastAsia="Arial" w:hAnsi="Arial"/>
          <w:sz w:val="16"/>
          <w:szCs w:val="16"/>
          <w:i w:val="1"/>
          <w:iCs w:val="1"/>
          <w:color w:val="auto"/>
        </w:rPr>
        <w:t>APC-</w:t>
      </w:r>
      <w:r>
        <w:rPr>
          <w:rFonts w:ascii="Arial" w:cs="Arial" w:eastAsia="Arial" w:hAnsi="Arial"/>
          <w:sz w:val="16"/>
          <w:szCs w:val="16"/>
          <w:color w:val="auto"/>
        </w:rPr>
        <w:t>specific knockdown.</w:t>
      </w:r>
    </w:p>
    <w:p>
      <w:pPr>
        <w:spacing w:after="0" w:line="17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REC-4881 is an orally bioavailable, non-ATP-competitive, allosteric small molecule inhibitor of MEK1 and MEK2 (IC50 2-3 nM and 3-5 nM, respectively) that is being developed to reduce polyp burden and progression to adenocarcinoma in FAP patients.</w:t>
      </w:r>
    </w:p>
    <w:p>
      <w:pPr>
        <w:spacing w:after="0" w:line="18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 xml:space="preserve">FAP is driven by loss of function of </w:t>
      </w:r>
      <w:r>
        <w:rPr>
          <w:rFonts w:ascii="Arial" w:cs="Arial" w:eastAsia="Arial" w:hAnsi="Arial"/>
          <w:sz w:val="18"/>
          <w:szCs w:val="18"/>
          <w:i w:val="1"/>
          <w:iCs w:val="1"/>
          <w:color w:val="auto"/>
        </w:rPr>
        <w:t>APC</w:t>
      </w:r>
      <w:r>
        <w:rPr>
          <w:rFonts w:ascii="Arial" w:cs="Arial" w:eastAsia="Arial" w:hAnsi="Arial"/>
          <w:sz w:val="18"/>
          <w:szCs w:val="18"/>
          <w:color w:val="auto"/>
        </w:rPr>
        <w:t>, which is a critical component of the β-catenin destruction complex, leading to aberrant activation of the Wnt pathway. This Wnt-on state can lead to RAS stabilization, activation of the RAS/ERK pathway and the activation of MYC, leading to cell proliferation and survival - including the growth of adenomas seen in FAP. REC-4881 inhibits MEK1/2 thereby inhibiting ERK activation, decreasing MYC activity, restoring cells back to a Wnt-off state and inhibiting cell proliferation.</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Lending further support for the use of MEK inhibitors in FAP, studies have shown that ERK signaling is activated in adenoma epithelial cells and tumor stromal cells, including fibroblasts and vascular endothelial cells. In addition, genomic events resulting in alteration of mitogen-activated protein kinase signaling, such as activating mutations in KRAS, are frequent somatic events that promote the growth of adenomas in FAP. Overall, suppression of aberrant MAPK signaling in adenomas of FAP with REC-4881 has the potential to regress or slow the growth of these tumors by acting on core pathways driving their growth.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386080</wp:posOffset>
            </wp:positionV>
            <wp:extent cx="5906135" cy="26403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0613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80"/>
        <w:spacing w:after="0" w:line="288" w:lineRule="auto"/>
        <w:rPr>
          <w:sz w:val="20"/>
          <w:szCs w:val="20"/>
          <w:color w:val="auto"/>
        </w:rPr>
      </w:pPr>
      <w:r>
        <w:rPr>
          <w:rFonts w:ascii="Arial" w:cs="Arial" w:eastAsia="Arial" w:hAnsi="Arial"/>
          <w:sz w:val="16"/>
          <w:szCs w:val="16"/>
          <w:b w:val="1"/>
          <w:bCs w:val="1"/>
          <w:color w:val="auto"/>
        </w:rPr>
        <w:t xml:space="preserve">Figure 45. REC-4881 inhibits </w:t>
      </w:r>
      <w:r>
        <w:rPr>
          <w:rFonts w:ascii="Arial" w:cs="Arial" w:eastAsia="Arial" w:hAnsi="Arial"/>
          <w:sz w:val="16"/>
          <w:szCs w:val="16"/>
          <w:b w:val="1"/>
          <w:bCs w:val="1"/>
          <w:i w:val="1"/>
          <w:iCs w:val="1"/>
          <w:color w:val="auto"/>
        </w:rPr>
        <w:t>APC</w:t>
      </w:r>
      <w:r>
        <w:rPr>
          <w:rFonts w:ascii="Arial" w:cs="Arial" w:eastAsia="Arial" w:hAnsi="Arial"/>
          <w:sz w:val="16"/>
          <w:szCs w:val="16"/>
          <w:b w:val="1"/>
          <w:bCs w:val="1"/>
          <w:color w:val="auto"/>
        </w:rPr>
        <w:t xml:space="preserve">-mutation induced MAPK signaling to block cell proliferation in the context of FAP. </w:t>
      </w:r>
      <w:r>
        <w:rPr>
          <w:rFonts w:ascii="Arial" w:cs="Arial" w:eastAsia="Arial" w:hAnsi="Arial"/>
          <w:sz w:val="16"/>
          <w:szCs w:val="16"/>
          <w:color w:val="auto"/>
        </w:rPr>
        <w:t>A potential mechanism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action of REC-4881 in cells with loss of function mutations in </w:t>
      </w:r>
      <w:r>
        <w:rPr>
          <w:rFonts w:ascii="Arial" w:cs="Arial" w:eastAsia="Arial" w:hAnsi="Arial"/>
          <w:sz w:val="16"/>
          <w:szCs w:val="16"/>
          <w:i w:val="1"/>
          <w:iCs w:val="1"/>
          <w:color w:val="auto"/>
        </w:rPr>
        <w:t>APC.</w:t>
      </w:r>
      <w:r>
        <w:rPr>
          <w:rFonts w:ascii="Arial" w:cs="Arial" w:eastAsia="Arial" w:hAnsi="Arial"/>
          <w:sz w:val="21"/>
          <w:szCs w:val="21"/>
          <w:i w:val="1"/>
          <w:iCs w:val="1"/>
          <w:color w:val="auto"/>
          <w:vertAlign w:val="superscript"/>
        </w:rPr>
        <w:t>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Preclinical</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We validated the findings from the initial phenotypic screens using tumor cell lines and spheroids grown from human epithelial tumor cells with a mutation in </w:t>
      </w:r>
      <w:r>
        <w:rPr>
          <w:rFonts w:ascii="Arial" w:cs="Arial" w:eastAsia="Arial" w:hAnsi="Arial"/>
          <w:sz w:val="18"/>
          <w:szCs w:val="18"/>
          <w:i w:val="1"/>
          <w:iCs w:val="1"/>
          <w:color w:val="auto"/>
        </w:rPr>
        <w:t>APC</w:t>
      </w:r>
      <w:r>
        <w:rPr>
          <w:rFonts w:ascii="Arial" w:cs="Arial" w:eastAsia="Arial" w:hAnsi="Arial"/>
          <w:sz w:val="18"/>
          <w:szCs w:val="18"/>
          <w:color w:val="auto"/>
        </w:rPr>
        <w:t xml:space="preserve">. REC-4881 inhibited both the growth and organization of spheroids in these models and, in tumor cell lines, had well over a 1,000-fold selectivity range in cells harboring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mutations.</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We subsequently evaluated REC-4881 in a disease relevant preclinical model of FAP. Mice harboring truncated </w:t>
      </w:r>
      <w:r>
        <w:rPr>
          <w:rFonts w:ascii="Arial" w:cs="Arial" w:eastAsia="Arial" w:hAnsi="Arial"/>
          <w:sz w:val="18"/>
          <w:szCs w:val="18"/>
          <w:i w:val="1"/>
          <w:iCs w:val="1"/>
          <w:color w:val="auto"/>
        </w:rPr>
        <w:t>Apc</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23"/>
          <w:szCs w:val="23"/>
          <w:i w:val="1"/>
          <w:iCs w:val="1"/>
          <w:color w:val="auto"/>
          <w:vertAlign w:val="superscript"/>
        </w:rPr>
        <w:t>Min</w:t>
      </w:r>
      <w:r>
        <w:rPr>
          <w:rFonts w:ascii="Arial" w:cs="Arial" w:eastAsia="Arial" w:hAnsi="Arial"/>
          <w:sz w:val="18"/>
          <w:szCs w:val="18"/>
          <w:color w:val="auto"/>
        </w:rPr>
        <w:t>, were treated with multiple oral daily doses of REC-4881 or celecoxib (as a comparator) over an eight-week period. Mice treated with celecoxib had approximately 30% fewer polyps than did those treated with vehicle, whereas mice treated with 1 mg/kg or 3 mg/kg REC-4881 exhibited approximately 50% fewer polyps than vehicle-treated mice. Mice that were treated with 10 mg/kg REC-4881, the highest dose tested, exhibited an approximately 70% reduction in total polyps.</w:t>
      </w: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FAP, polyps arising from mutations in </w:t>
      </w:r>
      <w:r>
        <w:rPr>
          <w:rFonts w:ascii="Arial" w:cs="Arial" w:eastAsia="Arial" w:hAnsi="Arial"/>
          <w:sz w:val="18"/>
          <w:szCs w:val="18"/>
          <w:i w:val="1"/>
          <w:iCs w:val="1"/>
          <w:color w:val="auto"/>
        </w:rPr>
        <w:t>APC</w:t>
      </w:r>
      <w:r>
        <w:rPr>
          <w:rFonts w:ascii="Arial" w:cs="Arial" w:eastAsia="Arial" w:hAnsi="Arial"/>
          <w:sz w:val="18"/>
          <w:szCs w:val="18"/>
          <w:color w:val="auto"/>
        </w:rPr>
        <w:t xml:space="preserve"> may progress to high-grade adenomas through accumulation of additional mutations and eventually to malignant cancers. To evaluate the activity of REC-4881 on both benign polyps and advanced adenomas, gastrointestinal tissues from mice treated with REC-4881 were histologically evaluated and polyps were classified as either benign or high-grade adenomas. While celecoxib reduced the growth of benign polyps in the model, a large proportion of polyps that remained were dysplastic. By contrast, treatment with REC-4881 specifically reduced not only benign polyps, but also precancerous high-grade adenomas, a finding with the potential for translational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14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40" w:firstLine="8"/>
        <w:spacing w:after="0" w:line="229" w:lineRule="auto"/>
        <w:tabs>
          <w:tab w:leader="none" w:pos="144"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Jeon, WJ, et al. (2018). Interaction between Wnt/β-catenin and RAS-ERK pathways and an anti-cancer strategy via degradations of β-catenin and RAS by targeting the Wnt/ β-catenin pathway. npj Precision Oncology, 2(5).</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386080</wp:posOffset>
            </wp:positionV>
            <wp:extent cx="4526280" cy="2468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262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45" w:lineRule="auto"/>
        <w:rPr>
          <w:sz w:val="20"/>
          <w:szCs w:val="20"/>
          <w:color w:val="auto"/>
        </w:rPr>
      </w:pPr>
      <w:r>
        <w:rPr>
          <w:rFonts w:ascii="Arial" w:cs="Arial" w:eastAsia="Arial" w:hAnsi="Arial"/>
          <w:sz w:val="16"/>
          <w:szCs w:val="16"/>
          <w:b w:val="1"/>
          <w:bCs w:val="1"/>
          <w:color w:val="auto"/>
        </w:rPr>
        <w:t xml:space="preserve">Figure 46. REC-4881 reduces GI polyp count and high-grade adenomas in the </w:t>
      </w:r>
      <w:r>
        <w:rPr>
          <w:rFonts w:ascii="Arial" w:cs="Arial" w:eastAsia="Arial" w:hAnsi="Arial"/>
          <w:sz w:val="16"/>
          <w:szCs w:val="16"/>
          <w:b w:val="1"/>
          <w:bCs w:val="1"/>
          <w:i w:val="1"/>
          <w:iCs w:val="1"/>
          <w:color w:val="auto"/>
        </w:rPr>
        <w:t>Apc</w:t>
      </w:r>
      <w:r>
        <w:rPr>
          <w:rFonts w:ascii="Arial" w:cs="Arial" w:eastAsia="Arial" w:hAnsi="Arial"/>
          <w:sz w:val="21"/>
          <w:szCs w:val="21"/>
          <w:b w:val="1"/>
          <w:bCs w:val="1"/>
          <w:i w:val="1"/>
          <w:iCs w:val="1"/>
          <w:color w:val="auto"/>
          <w:vertAlign w:val="superscript"/>
        </w:rPr>
        <w:t>Min</w:t>
      </w:r>
      <w:r>
        <w:rPr>
          <w:rFonts w:ascii="Arial" w:cs="Arial" w:eastAsia="Arial" w:hAnsi="Arial"/>
          <w:sz w:val="16"/>
          <w:szCs w:val="16"/>
          <w:b w:val="1"/>
          <w:bCs w:val="1"/>
          <w:color w:val="auto"/>
        </w:rPr>
        <w:t xml:space="preserve"> mouse model of FAP. </w:t>
      </w:r>
      <w:r>
        <w:rPr>
          <w:rFonts w:ascii="Arial" w:cs="Arial" w:eastAsia="Arial" w:hAnsi="Arial"/>
          <w:sz w:val="16"/>
          <w:szCs w:val="16"/>
          <w:color w:val="auto"/>
        </w:rPr>
        <w:t>GI polyp count (left panel) and the percent</w:t>
      </w:r>
      <w:r>
        <w:rPr>
          <w:rFonts w:ascii="Arial" w:cs="Arial" w:eastAsia="Arial" w:hAnsi="Arial"/>
          <w:sz w:val="16"/>
          <w:szCs w:val="16"/>
          <w:b w:val="1"/>
          <w:bCs w:val="1"/>
          <w:color w:val="auto"/>
        </w:rPr>
        <w:t xml:space="preserve"> </w:t>
      </w:r>
      <w:r>
        <w:rPr>
          <w:rFonts w:ascii="Arial" w:cs="Arial" w:eastAsia="Arial" w:hAnsi="Arial"/>
          <w:sz w:val="16"/>
          <w:szCs w:val="16"/>
          <w:color w:val="auto"/>
        </w:rPr>
        <w:t>of high-grade adenomas (right panel) after oral administration of indicated dose of REC-4881, celecoxib, or vehicle control for 8 weeks. Polyp count at the start of dosing reflects animals sacrificed at the start of study (15 weeks of age). P &lt; 0.001 for all REC-4881 treatment groups versus vehicle control. Quantification of high-grade adenomas versus total polyps was based on blinded histological review by a pathologist. While celecoxib reduces benign polyps, the majority of remaining lesions are high grade adenomas. By contrast, REC-4881 reduces both polyps and high-grade adenomas.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Clinical</w:t>
      </w:r>
    </w:p>
    <w:p>
      <w:pPr>
        <w:spacing w:after="0" w:line="2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the Phase 1 dose escalation study previously conducted by Millenium Pharmaceuticals in 51 participants with non-hematologic malignancies (Study C20001), TAK-733 (REC-4881) was administered in the dose range of 0.2 mg QD to 22 mg QD for 21 days. The maximum tolerated dose (MTD) was determined to be 16 mg QD in this study. In this study, REC 4881 exposures increased in a less than dose-proportional manner.</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most commonly reported AEs were rashes, with rash of any type reported in 34 participants (67%); 4 of the 7 participants who discontinued study drug treatment due to an AE discontinued for rash or some type of skin condition. Fourteen (27%) participants experienced at least 1 treatment-emergent SAE; the only SAEs that occurred in more than 1 participant were metastatic melanoma (3 participants; 6%), pulmonary embolism (2; 4%) and anemia (2; 4%). Five participants died during the study; all deaths were due to disease progression.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REC-4881-101 was a safety and PK study conducted by Recursion in healthy volunteers to confirm comparability of REC-4881 with TAK-</w:t>
      </w:r>
    </w:p>
    <w:p>
      <w:pPr>
        <w:spacing w:after="0" w:line="27" w:lineRule="exact"/>
        <w:rPr>
          <w:sz w:val="20"/>
          <w:szCs w:val="20"/>
          <w:color w:val="auto"/>
        </w:rPr>
      </w:pPr>
    </w:p>
    <w:p>
      <w:pPr>
        <w:ind w:right="240" w:firstLine="8"/>
        <w:spacing w:after="0" w:line="258" w:lineRule="auto"/>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Twenty-five (25) healthy participants, separated into 2 cohorts, were exposed to single doses of REC-4881 4 mg and 8 mg (under fed and fasting conditions) and single doses of REC-4881 12 mg (under fasting conditions). Each cohort received single doses of study drug across 3 study periods with each period separated by 14 days.</w:t>
      </w:r>
    </w:p>
    <w:p>
      <w:pPr>
        <w:spacing w:after="0" w:line="20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REC-4881 was generally well tolerated. No deaths or SAEs were reported during the study. For both cohorts, the percentage of participants reporting TEAEs was comparable between participants who received REC-4881 and placebo. No apparent relationship with the dose of REC-4881 or food conditions was observed. All TEAEs were assessed by the Investigator as being of Grade 1 severity except 1 (blurred vision reported with 4 mg REC-4881/fed). Two additional participants reported treatment-related eye disorders (blurred vision in both eyes in 1 participant with 8 mg REC-4881/fasted and vitreous floaters in 1 participant with 12 mg REC-4881/fasted). In all instances, the symptoms resolved. Notably, no instance of QTcF abnormality (change from baseline or prolongation) was noted in these healthy participants.</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Recursion is currently enrolling patients in TUPELO, a Phase 1b/2, open label, multicenter study to evaluate efficacy, safety, pharmacokinetics, and pharmacodynamics of REC-4881 in patients with FAP. The study is being conducted in two parts. Part 1 evaluated the PK, safety, tolerability, and PD in participants with FAP following administration of REC-4881 in single and multiple doses. Five FAP patients received single dose and 14 days of</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REC-4881 treatment at 4 mg QD. 4 mg QD was generally well tolerated with a safety profile consistent with other MEK inhibitors. Preliminary PD data suggests the 4 mg dose may be pharmacologically active in FAP patients. Part 2 will assess the efficacy, safety, PK, and PD following administration of once daily doses of REC-4881 to participants with FAP who have previously undergone a colectomy/proctocolectomy and have a confirmed germline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mutation. Study drug will be administered orally for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140970</wp:posOffset>
            </wp:positionV>
            <wp:extent cx="5452110" cy="32918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5211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color w:val="auto"/>
        </w:rPr>
        <w:t xml:space="preserve">Figure 47. Phase 1b/2 study schema for REC-4881 in FAP. </w:t>
      </w:r>
      <w:r>
        <w:rPr>
          <w:rFonts w:ascii="Arial" w:cs="Arial" w:eastAsia="Arial" w:hAnsi="Arial"/>
          <w:sz w:val="16"/>
          <w:szCs w:val="16"/>
          <w:color w:val="auto"/>
        </w:rPr>
        <w:t>Phase 1b/2 clinical study to assess the efficacy, safety, and pharmacokinetics of REC-4881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patients with classical FAP. Enrollment criteria include (1) Confirmed </w:t>
      </w:r>
      <w:r>
        <w:rPr>
          <w:rFonts w:ascii="Arial" w:cs="Arial" w:eastAsia="Arial" w:hAnsi="Arial"/>
          <w:sz w:val="16"/>
          <w:szCs w:val="16"/>
          <w:i w:val="1"/>
          <w:iCs w:val="1"/>
          <w:color w:val="auto"/>
        </w:rPr>
        <w:t>APC</w:t>
      </w:r>
      <w:r>
        <w:rPr>
          <w:rFonts w:ascii="Arial" w:cs="Arial" w:eastAsia="Arial" w:hAnsi="Arial"/>
          <w:sz w:val="16"/>
          <w:szCs w:val="16"/>
          <w:color w:val="auto"/>
        </w:rPr>
        <w:t xml:space="preserve"> mutation; (2) ≥ 55 years of age; (3) Post-colectomy/proctocolectomy; (4) No GI cancer; (5) Polyps in duodenum (including ampulla of Vater and/or rectum/pouch). Outcome measures: PK, safety, tolerability, preliminary efficacy (change from baseline in polyp burden, histological grade, extent of desmoid disease).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three active programs in clinical development for FAP.</w:t>
      </w:r>
    </w:p>
    <w:p>
      <w:pPr>
        <w:spacing w:after="0" w:line="252" w:lineRule="exact"/>
        <w:rPr>
          <w:sz w:val="20"/>
          <w:szCs w:val="20"/>
          <w:color w:val="auto"/>
        </w:rPr>
      </w:pPr>
    </w:p>
    <w:p>
      <w:pPr>
        <w:ind w:left="660" w:right="36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ALFA, also known as eicosapentaenoic acid from SLA Pharma, is currently in Phase 3 for FAP patients that harbor a pathogenic </w:t>
      </w:r>
      <w:r>
        <w:rPr>
          <w:rFonts w:ascii="Arial" w:cs="Arial" w:eastAsia="Arial" w:hAnsi="Arial"/>
          <w:sz w:val="18"/>
          <w:szCs w:val="18"/>
          <w:i w:val="1"/>
          <w:iCs w:val="1"/>
          <w:color w:val="auto"/>
        </w:rPr>
        <w:t xml:space="preserve">APC </w:t>
      </w:r>
      <w:r>
        <w:rPr>
          <w:rFonts w:ascii="Arial" w:cs="Arial" w:eastAsia="Arial" w:hAnsi="Arial"/>
          <w:sz w:val="18"/>
          <w:szCs w:val="18"/>
          <w:color w:val="auto"/>
        </w:rPr>
        <w:t>mutation and have had a previous colectomy.</w:t>
      </w:r>
    </w:p>
    <w:p>
      <w:pPr>
        <w:spacing w:after="0" w:line="179"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Flynpovi, a combination of CPP-1X and sulindac from Panbela, is currently in Phase 3 for FAP patients with a focus on lower GI disease. Further guidance on a regulatory path forward is expected in H2 2024.</w:t>
      </w:r>
    </w:p>
    <w:p>
      <w:pPr>
        <w:spacing w:after="0" w:line="179"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eRapa, an mTORC1 inhibitor also known as encapsulated rapamycin from Emtora Biosciences, is currently in Phase 2 for FAP patients.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REC-4881 for AXIN1 or APC Mutant Cancers - Phase 2</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REC-4881 is an orally bioavailable, non-ATP competitive, allosteric small molecule inhibitor of MEK1 and MEK2 being developed for the treatment of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cancers. REC-4881 was well tolerated in prior clinical studies, demonstrating dose dependent increases in exposure and pharmacological activity. Recursion initiated LILAC, a Phase 2 study in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cancers at the end of 2023, and FPI is anticipated in Q1 2024. We expect to share safety and preliminary efficacy data in H1 2025.</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Disease Overview</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AXIN1 and APC function as critical tumor suppressors that form part of the beta-catenin destruction complex, directly and indirectly regulating beta-catenin and RAS levels, respectively, in the cell. Aberrant activation of the Wnt and RAS pathways through inactivating mutations in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appear frequently across a wide variety of human cancers with an estimated 65,000 patients in the US and EU5 eligible for treatment in the second line. These tumors are often considered clinically aggressive and less sensitive to treatments with chemotherapies and/or immunotherapies, representing a heavily refractory population. Accordingly, there is a substantial need for developing therapeutics for patients harboring mutations in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as these mutations are considered undruggable. There are no treatments specifically approved for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cancers.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Insight from Recursion OS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REC-4881 program for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cancers is our first program nominated solely based on our inferential search approach. In our HUVEC map, we discovered that REC-4881 exhibited a phenotypically opposite relationship across clinically relevant doses to the gene knockout of </w:t>
      </w:r>
      <w:r>
        <w:rPr>
          <w:rFonts w:ascii="Arial" w:cs="Arial" w:eastAsia="Arial" w:hAnsi="Arial"/>
          <w:sz w:val="18"/>
          <w:szCs w:val="18"/>
          <w:i w:val="1"/>
          <w:iCs w:val="1"/>
          <w:color w:val="auto"/>
        </w:rPr>
        <w:t>AXIN1</w:t>
      </w:r>
      <w:r>
        <w:rPr>
          <w:rFonts w:ascii="Arial" w:cs="Arial" w:eastAsia="Arial" w:hAnsi="Arial"/>
          <w:sz w:val="18"/>
          <w:szCs w:val="18"/>
          <w:color w:val="auto"/>
        </w:rPr>
        <w:t xml:space="preserve">, in addition to the previously uncovered relationship with </w:t>
      </w:r>
      <w:r>
        <w:rPr>
          <w:rFonts w:ascii="Arial" w:cs="Arial" w:eastAsia="Arial" w:hAnsi="Arial"/>
          <w:sz w:val="18"/>
          <w:szCs w:val="18"/>
          <w:i w:val="1"/>
          <w:iCs w:val="1"/>
          <w:color w:val="auto"/>
        </w:rPr>
        <w:t>APC</w:t>
      </w:r>
      <w:r>
        <w:rPr>
          <w:rFonts w:ascii="Arial" w:cs="Arial" w:eastAsia="Arial" w:hAnsi="Arial"/>
          <w:sz w:val="18"/>
          <w:szCs w:val="18"/>
          <w:color w:val="auto"/>
        </w:rPr>
        <w:t xml:space="preserve">. We interpreted this relationship as a second novel insight around this molecule and that the use of REC-4881 could potentially restore the biological consequences driven by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loss, found in many cancers.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Two additional insights provided us with conviction in this interpretation:</w:t>
      </w:r>
    </w:p>
    <w:p>
      <w:pPr>
        <w:spacing w:after="0" w:line="252" w:lineRule="exact"/>
        <w:rPr>
          <w:sz w:val="20"/>
          <w:szCs w:val="20"/>
          <w:color w:val="auto"/>
        </w:rPr>
      </w:pPr>
    </w:p>
    <w:p>
      <w:pPr>
        <w:jc w:val="both"/>
        <w:ind w:left="660" w:right="80" w:hanging="328"/>
        <w:spacing w:after="0" w:line="26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AXIN1 and APC are central components of the beta-catenin destruction complex. This destruction complex physiologically regulates the levels of beta-catenin and RAS in cells. As AXIN1 and APC exist together in a complex, they are considered functionally related. Our map revealed a strong degree of phenotypic similarity between the gene knockout of </w:t>
      </w:r>
      <w:r>
        <w:rPr>
          <w:rFonts w:ascii="Arial" w:cs="Arial" w:eastAsia="Arial" w:hAnsi="Arial"/>
          <w:sz w:val="18"/>
          <w:szCs w:val="18"/>
          <w:i w:val="1"/>
          <w:iCs w:val="1"/>
          <w:color w:val="auto"/>
        </w:rPr>
        <w:t>AXIN1</w:t>
      </w:r>
      <w:r>
        <w:rPr>
          <w:rFonts w:ascii="Arial" w:cs="Arial" w:eastAsia="Arial" w:hAnsi="Arial"/>
          <w:sz w:val="18"/>
          <w:szCs w:val="18"/>
          <w:color w:val="auto"/>
        </w:rPr>
        <w:t xml:space="preserve"> and </w:t>
      </w:r>
      <w:r>
        <w:rPr>
          <w:rFonts w:ascii="Arial" w:cs="Arial" w:eastAsia="Arial" w:hAnsi="Arial"/>
          <w:sz w:val="18"/>
          <w:szCs w:val="18"/>
          <w:i w:val="1"/>
          <w:iCs w:val="1"/>
          <w:color w:val="auto"/>
        </w:rPr>
        <w:t>APC</w:t>
      </w:r>
      <w:r>
        <w:rPr>
          <w:rFonts w:ascii="Arial" w:cs="Arial" w:eastAsia="Arial" w:hAnsi="Arial"/>
          <w:sz w:val="18"/>
          <w:szCs w:val="18"/>
          <w:color w:val="auto"/>
        </w:rPr>
        <w:t>, suggesting that this axis of biology is recapitulated in our high dimensional embedding space.</w:t>
      </w:r>
    </w:p>
    <w:p>
      <w:pPr>
        <w:spacing w:after="0" w:line="203" w:lineRule="exact"/>
        <w:rPr>
          <w:rFonts w:ascii="Arial" w:cs="Arial" w:eastAsia="Arial" w:hAnsi="Arial"/>
          <w:sz w:val="18"/>
          <w:szCs w:val="18"/>
          <w:color w:val="auto"/>
        </w:rPr>
      </w:pPr>
    </w:p>
    <w:p>
      <w:pPr>
        <w:ind w:left="660" w:right="40" w:hanging="328"/>
        <w:spacing w:after="0" w:line="278"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Phase 1b/2 program for REC-4881 in FAP was initiated using our brute-force screen approach where we discovered a concentration dependent cellular restoration from a modeled disease state (APC gene knockdown by siRNA) to a modeled healthy state (wildtype) in the U2OS cell type. Our map imputed a similar phenotypic effect with REC-4881 across concentrations in HUVEC, suggesting alignment between the brute-force approach and the inferential search approach. These discoveries arose from two different cell contexts, were conducted at different points in time, and under different conditions, robustly validating our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133350</wp:posOffset>
            </wp:positionV>
            <wp:extent cx="2777490" cy="22199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774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color w:val="auto"/>
        </w:rPr>
        <w:t xml:space="preserve">Figure 48. Insights from Recursion OS. </w:t>
      </w:r>
      <w:r>
        <w:rPr>
          <w:rFonts w:ascii="Arial" w:cs="Arial" w:eastAsia="Arial" w:hAnsi="Arial"/>
          <w:sz w:val="16"/>
          <w:szCs w:val="16"/>
          <w:color w:val="auto"/>
        </w:rPr>
        <w:t>REC-4881 displays a phenotypic opposite relationship across clinically relevant doses to genetic knockout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AXIN1 </w:t>
      </w:r>
      <w:r>
        <w:rPr>
          <w:rFonts w:ascii="Arial" w:cs="Arial" w:eastAsia="Arial" w:hAnsi="Arial"/>
          <w:sz w:val="16"/>
          <w:szCs w:val="16"/>
          <w:color w:val="auto"/>
        </w:rPr>
        <w:t>and</w:t>
      </w:r>
      <w:r>
        <w:rPr>
          <w:rFonts w:ascii="Arial" w:cs="Arial" w:eastAsia="Arial" w:hAnsi="Arial"/>
          <w:sz w:val="16"/>
          <w:szCs w:val="16"/>
          <w:i w:val="1"/>
          <w:iCs w:val="1"/>
          <w:color w:val="auto"/>
        </w:rPr>
        <w:t xml:space="preserve"> APC </w:t>
      </w:r>
      <w:r>
        <w:rPr>
          <w:rFonts w:ascii="Arial" w:cs="Arial" w:eastAsia="Arial" w:hAnsi="Arial"/>
          <w:sz w:val="16"/>
          <w:szCs w:val="16"/>
          <w:color w:val="auto"/>
        </w:rPr>
        <w:t>in HUVEC.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Preclinical</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the basis of our inference generation from our Recursion OS, we advanced REC-4881 into two PDX mouse studies, focusing on HCC and Ovarian tumors. A PDX clinical trial (PCT) is a population study with PDX models that can be used to assess efficacy and predict responders to treatment in the preclinical setting. Across 29 total PDX models, treatment with single-agent REC-4881 resulted in a significantly better response in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models versus wildtype models. These responses led to a significant benefit in PFS (modeled as the time of tumor doubling from baseline), observed specifically in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models, providing further evidence of a biomarker driven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144780</wp:posOffset>
            </wp:positionV>
            <wp:extent cx="5983605" cy="26231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b w:val="1"/>
          <w:bCs w:val="1"/>
          <w:color w:val="auto"/>
        </w:rPr>
        <w:t xml:space="preserve">Figure 49. Tumor growth inhibition and PFS across 29 PDX mouse models. </w:t>
      </w:r>
      <w:r>
        <w:rPr>
          <w:rFonts w:ascii="Arial" w:cs="Arial" w:eastAsia="Arial" w:hAnsi="Arial"/>
          <w:sz w:val="16"/>
          <w:szCs w:val="16"/>
          <w:color w:val="auto"/>
        </w:rPr>
        <w:t>REC-4881 shows enhanced activity in mouse models with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AXIN1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APC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mutant tumors. Tumor volumes were measured three per week after randomization in two dimensions using a caliper, and the volume was expressed in mm3 using the formula: V = (L x W x W)/2, where V is tumor volume, L is tumor length (the longest tumor dimension), and W is tumor width (the longest tumor dimension perpendicular to L). %TGI was calculated using the formula %TGI = (TV vehicle - TV treatment) / (TV vehicle – TV initial) *100 for all mice (Wong, H, et al. </w:t>
      </w:r>
      <w:r>
        <w:rPr>
          <w:rFonts w:ascii="Arial" w:cs="Arial" w:eastAsia="Arial" w:hAnsi="Arial"/>
          <w:sz w:val="16"/>
          <w:szCs w:val="16"/>
          <w:i w:val="1"/>
          <w:iCs w:val="1"/>
          <w:color w:val="auto"/>
        </w:rPr>
        <w:t>Clin Cancer Res</w:t>
      </w:r>
      <w:r>
        <w:rPr>
          <w:rFonts w:ascii="Arial" w:cs="Arial" w:eastAsia="Arial" w:hAnsi="Arial"/>
          <w:sz w:val="16"/>
          <w:szCs w:val="16"/>
          <w:color w:val="auto"/>
        </w:rPr>
        <w:t>., 2012, 18(14): 3846-3855).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Clinical</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LILAC, a Phase 2 open label, multicenter study in select tumor types initiated towards the end of 2023 with FPI anticipated in Q1 2024. This phase 2, open label, multicenter study is designed to evaluate the safety, tolerability, PK, PD, and preliminary anti-tumor activity of REC-4881 administered orally (PO) at an initial dose of 12 mg on a once daily (QD) schedule in participants with unresectable locally advanced or metastatic cancer harboring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mutations. Participants must have progressed on at least one prior line of therapy in order to be eligible for the trial.</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study will consist of two arms – an AXIN1 cohort and an APC cohort and two parts. In Part 1, a maximum of 20 participants will be enrolled in a 1:1 allocation across each arm. In Part 2, up to 20 additional patients may be enrolled in each arm. Once the first six cumulative participants have enrolled in Part 1, enrollment will be briefly paused, and a safety assessment will be conducted by a Safety Review Committee to review the completion of the first four weeks of study drug. The study will follow a Bayesian design with futility analysis after the first 10 participants have been enrolled in each arm of the trial. Study drug may be administered for up to 2 years. Disease status will be evaluated every eight weeks, for the first 24 weeks, and then every 12 weeks, until treatment discontinuation or withdrawal. The primary endpoints for this study are safety, tolerability, and preliminary anti-tumor activity as measured by Objective Response Rate (ORR). We expect to share safety and preliminary efficacy data in H1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386080</wp:posOffset>
            </wp:positionV>
            <wp:extent cx="5752465" cy="32486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246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b w:val="1"/>
          <w:bCs w:val="1"/>
          <w:color w:val="auto"/>
        </w:rPr>
        <w:t xml:space="preserve">Figure 50. Phase 2 study schema for REC-4881 in </w:t>
      </w:r>
      <w:r>
        <w:rPr>
          <w:rFonts w:ascii="Arial" w:cs="Arial" w:eastAsia="Arial" w:hAnsi="Arial"/>
          <w:sz w:val="16"/>
          <w:szCs w:val="16"/>
          <w:b w:val="1"/>
          <w:bCs w:val="1"/>
          <w:i w:val="1"/>
          <w:iCs w:val="1"/>
          <w:color w:val="auto"/>
        </w:rPr>
        <w:t>AXIN1</w:t>
      </w:r>
      <w:r>
        <w:rPr>
          <w:rFonts w:ascii="Arial" w:cs="Arial" w:eastAsia="Arial" w:hAnsi="Arial"/>
          <w:sz w:val="16"/>
          <w:szCs w:val="16"/>
          <w:b w:val="1"/>
          <w:bCs w:val="1"/>
          <w:color w:val="auto"/>
        </w:rPr>
        <w:t xml:space="preserve"> or </w:t>
      </w:r>
      <w:r>
        <w:rPr>
          <w:rFonts w:ascii="Arial" w:cs="Arial" w:eastAsia="Arial" w:hAnsi="Arial"/>
          <w:sz w:val="16"/>
          <w:szCs w:val="16"/>
          <w:b w:val="1"/>
          <w:bCs w:val="1"/>
          <w:i w:val="1"/>
          <w:iCs w:val="1"/>
          <w:color w:val="auto"/>
        </w:rPr>
        <w:t>APC</w:t>
      </w:r>
      <w:r>
        <w:rPr>
          <w:rFonts w:ascii="Arial" w:cs="Arial" w:eastAsia="Arial" w:hAnsi="Arial"/>
          <w:sz w:val="16"/>
          <w:szCs w:val="16"/>
          <w:b w:val="1"/>
          <w:bCs w:val="1"/>
          <w:color w:val="auto"/>
        </w:rPr>
        <w:t xml:space="preserve"> mutant cancers. </w:t>
      </w:r>
      <w:r>
        <w:rPr>
          <w:rFonts w:ascii="Arial" w:cs="Arial" w:eastAsia="Arial" w:hAnsi="Arial"/>
          <w:sz w:val="16"/>
          <w:szCs w:val="16"/>
          <w:color w:val="auto"/>
        </w:rPr>
        <w:t>Phase 2 open label, multicenter clinical study to assess the efficacy,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safety, and pharmacokinetics of REC-4881 in patients with </w:t>
      </w:r>
      <w:r>
        <w:rPr>
          <w:rFonts w:ascii="Arial" w:cs="Arial" w:eastAsia="Arial" w:hAnsi="Arial"/>
          <w:sz w:val="16"/>
          <w:szCs w:val="16"/>
          <w:i w:val="1"/>
          <w:iCs w:val="1"/>
          <w:color w:val="auto"/>
        </w:rPr>
        <w:t>AXIN1</w:t>
      </w:r>
      <w:r>
        <w:rPr>
          <w:rFonts w:ascii="Arial" w:cs="Arial" w:eastAsia="Arial" w:hAnsi="Arial"/>
          <w:sz w:val="16"/>
          <w:szCs w:val="16"/>
          <w:color w:val="auto"/>
        </w:rPr>
        <w:t xml:space="preserve"> or </w:t>
      </w:r>
      <w:r>
        <w:rPr>
          <w:rFonts w:ascii="Arial" w:cs="Arial" w:eastAsia="Arial" w:hAnsi="Arial"/>
          <w:sz w:val="16"/>
          <w:szCs w:val="16"/>
          <w:i w:val="1"/>
          <w:iCs w:val="1"/>
          <w:color w:val="auto"/>
        </w:rPr>
        <w:t>APC</w:t>
      </w:r>
      <w:r>
        <w:rPr>
          <w:rFonts w:ascii="Arial" w:cs="Arial" w:eastAsia="Arial" w:hAnsi="Arial"/>
          <w:sz w:val="16"/>
          <w:szCs w:val="16"/>
          <w:color w:val="auto"/>
        </w:rPr>
        <w:t xml:space="preserve"> mutant cancers. Enrollment criteria include (1) unresectable, locally advanced, or metastatic cancers; (2) ≥ 55 years of age; (3) confirmed </w:t>
      </w:r>
      <w:r>
        <w:rPr>
          <w:rFonts w:ascii="Arial" w:cs="Arial" w:eastAsia="Arial" w:hAnsi="Arial"/>
          <w:sz w:val="16"/>
          <w:szCs w:val="16"/>
          <w:i w:val="1"/>
          <w:iCs w:val="1"/>
          <w:color w:val="auto"/>
        </w:rPr>
        <w:t>AXIN1</w:t>
      </w:r>
      <w:r>
        <w:rPr>
          <w:rFonts w:ascii="Arial" w:cs="Arial" w:eastAsia="Arial" w:hAnsi="Arial"/>
          <w:sz w:val="16"/>
          <w:szCs w:val="16"/>
          <w:color w:val="auto"/>
        </w:rPr>
        <w:t xml:space="preserve"> or </w:t>
      </w:r>
      <w:r>
        <w:rPr>
          <w:rFonts w:ascii="Arial" w:cs="Arial" w:eastAsia="Arial" w:hAnsi="Arial"/>
          <w:sz w:val="16"/>
          <w:szCs w:val="16"/>
          <w:i w:val="1"/>
          <w:iCs w:val="1"/>
          <w:color w:val="auto"/>
        </w:rPr>
        <w:t>APC</w:t>
      </w:r>
      <w:r>
        <w:rPr>
          <w:rFonts w:ascii="Arial" w:cs="Arial" w:eastAsia="Arial" w:hAnsi="Arial"/>
          <w:sz w:val="16"/>
          <w:szCs w:val="16"/>
          <w:color w:val="auto"/>
        </w:rPr>
        <w:t xml:space="preserve"> mutation by NGS (tissue or blood); (4) no MEK inhibitor treatment within 2 months of initial dose; (5) ≥ 1 prior line of therapy; and (6) ECOG PS 0-1. The primary endpoints are safety, tolerability, and preliminary anti-tumor activity as measured by Objective Response Rate (ORR).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are currently 3 active programs in clinical development for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cancers.</w:t>
      </w:r>
    </w:p>
    <w:p>
      <w:pPr>
        <w:spacing w:after="0" w:line="252" w:lineRule="exact"/>
        <w:rPr>
          <w:sz w:val="20"/>
          <w:szCs w:val="20"/>
          <w:color w:val="auto"/>
        </w:rPr>
      </w:pPr>
    </w:p>
    <w:p>
      <w:pPr>
        <w:ind w:left="660" w:right="14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FOG-001, a TCF-blocking β-catenin inhibitor from FogPharma, is being studied in a Phase 1/2 trial in patients with locally advanced or metastatic solid tumors with Wnt activating mutations, including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Tegavivint, a TBL1 inhibitor from Iterion Therapeutics, is being studied in a Phase 1/2 trial in combination with pembrolizumab in patients with advanced hepatocellular carcinoma harboring mutations in either </w:t>
      </w:r>
      <w:r>
        <w:rPr>
          <w:rFonts w:ascii="Arial" w:cs="Arial" w:eastAsia="Arial" w:hAnsi="Arial"/>
          <w:sz w:val="18"/>
          <w:szCs w:val="18"/>
          <w:i w:val="1"/>
          <w:iCs w:val="1"/>
          <w:color w:val="auto"/>
        </w:rPr>
        <w:t>CTNNB1</w:t>
      </w:r>
      <w:r>
        <w:rPr>
          <w:rFonts w:ascii="Arial" w:cs="Arial" w:eastAsia="Arial" w:hAnsi="Arial"/>
          <w:sz w:val="18"/>
          <w:szCs w:val="18"/>
          <w:color w:val="auto"/>
        </w:rPr>
        <w:t xml:space="preserve"> or </w:t>
      </w:r>
      <w:r>
        <w:rPr>
          <w:rFonts w:ascii="Arial" w:cs="Arial" w:eastAsia="Arial" w:hAnsi="Arial"/>
          <w:sz w:val="18"/>
          <w:szCs w:val="18"/>
          <w:i w:val="1"/>
          <w:iCs w:val="1"/>
          <w:color w:val="auto"/>
        </w:rPr>
        <w:t>AXIN1.</w:t>
      </w:r>
    </w:p>
    <w:p>
      <w:pPr>
        <w:spacing w:after="0" w:line="179" w:lineRule="exact"/>
        <w:rPr>
          <w:rFonts w:ascii="Arial" w:cs="Arial" w:eastAsia="Arial" w:hAnsi="Arial"/>
          <w:sz w:val="18"/>
          <w:szCs w:val="18"/>
          <w:color w:val="auto"/>
        </w:rPr>
      </w:pPr>
    </w:p>
    <w:p>
      <w:pPr>
        <w:ind w:left="660" w:right="320" w:hanging="328"/>
        <w:spacing w:after="0" w:line="276"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DKN-01, an anti-DKK1 monoclonal antibody from Leap Therapeutics, is being studied in a Phase 2 trial in combination with pembrolizumab in patients with advanced or recurrent endometrial cancer harboring Wnt activating mutations, including </w:t>
      </w:r>
      <w:r>
        <w:rPr>
          <w:rFonts w:ascii="Arial" w:cs="Arial" w:eastAsia="Arial" w:hAnsi="Arial"/>
          <w:sz w:val="17"/>
          <w:szCs w:val="17"/>
          <w:i w:val="1"/>
          <w:iCs w:val="1"/>
          <w:color w:val="auto"/>
        </w:rPr>
        <w:t>AXIN1</w:t>
      </w:r>
      <w:r>
        <w:rPr>
          <w:rFonts w:ascii="Arial" w:cs="Arial" w:eastAsia="Arial" w:hAnsi="Arial"/>
          <w:sz w:val="17"/>
          <w:szCs w:val="17"/>
          <w:color w:val="auto"/>
        </w:rPr>
        <w:t xml:space="preserve"> or</w:t>
      </w:r>
    </w:p>
    <w:p>
      <w:pPr>
        <w:ind w:left="660"/>
        <w:spacing w:after="0"/>
        <w:rPr>
          <w:rFonts w:ascii="Arial" w:cs="Arial" w:eastAsia="Arial" w:hAnsi="Arial"/>
          <w:sz w:val="17"/>
          <w:szCs w:val="17"/>
          <w:color w:val="auto"/>
        </w:rPr>
      </w:pPr>
      <w:r>
        <w:rPr>
          <w:rFonts w:ascii="Arial" w:cs="Arial" w:eastAsia="Arial" w:hAnsi="Arial"/>
          <w:sz w:val="18"/>
          <w:szCs w:val="18"/>
          <w:i w:val="1"/>
          <w:iCs w:val="1"/>
          <w:color w:val="auto"/>
        </w:rPr>
        <w:t>APC.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REC-3964 for Clostridioides difficile Infection - Phase 2</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REC-3964 is an orally bioavailable, small molecule inhibitor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glucosyltransferase. This molecule has the potential to prevent recurrent disease and be used as secondary prophylaxis therapy in high-risk patients with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infections, a leading cause of antibiotic-induced diarrhea and a major cause of morbidity and mortality. A Phase 1 study in healthy volunteers completed in Q3 2023 and demonstrated that REC-3964 was well tolerated with no serious adverse events (SAEs) reported. We expect to initiate a Phase 2 study in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Disease Overview</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C. difficile-</w:t>
      </w:r>
      <w:r>
        <w:rPr>
          <w:rFonts w:ascii="Arial" w:cs="Arial" w:eastAsia="Arial" w:hAnsi="Arial"/>
          <w:sz w:val="18"/>
          <w:szCs w:val="18"/>
          <w:color w:val="auto"/>
        </w:rPr>
        <w:t>induced diarrhea is a leading cause of antibiotic-induced diarrhea and arises from the disruption of normal bacterial flora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colon. Toxins A, or TcdA, and B, or TcdB, secreted by the bacterium are responsible for considerable morbidity, including severe diarrhea, colitis, toxic megacolon, sepsis, extended hospital stays and potentially, death. More than 730,000 patients are diagnosed in the US and EU5 each year. Recurrence of disease occurs in 20-30% of patients treated with standard of care. Standard of care includes antibiotic therapies which can further impair gut flora and lead to relapse.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Insight Recursion OS</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REC-3964 is a new chemical entity that was identified with our brute-force approach which utilized phenomics to identify cellular and structural changes in epithelial cells associated with the pathological changes resulting from exposure to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toxins. Structure-activity-relationship (SAR) was driven through the Recursion OS to identify structural series that restored structural defects resulting from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toxins’ effects. REC-3964 was identified from a lead benzodiazepinedione structural series that confers selective antagonism against the </w:t>
      </w:r>
      <w:r>
        <w:rPr>
          <w:rFonts w:ascii="Arial" w:cs="Arial" w:eastAsia="Arial" w:hAnsi="Arial"/>
          <w:sz w:val="18"/>
          <w:szCs w:val="18"/>
          <w:i w:val="1"/>
          <w:iCs w:val="1"/>
          <w:color w:val="auto"/>
        </w:rPr>
        <w:t>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toxins’ effects with nanomolar potency on our platform, and dose dependent cellular restoration to a modeled healthy state in human</w:t>
      </w:r>
      <w:r>
        <w:rPr>
          <w:rFonts w:ascii="Arial" w:cs="Arial" w:eastAsia="Arial" w:hAnsi="Arial"/>
          <w:sz w:val="18"/>
          <w:szCs w:val="18"/>
          <w:i w:val="1"/>
          <w:iCs w:val="1"/>
          <w:color w:val="auto"/>
        </w:rPr>
        <w:t xml:space="preserve"> </w:t>
      </w:r>
      <w:r>
        <w:rPr>
          <w:rFonts w:ascii="Arial" w:cs="Arial" w:eastAsia="Arial" w:hAnsi="Arial"/>
          <w:sz w:val="18"/>
          <w:szCs w:val="18"/>
          <w:color w:val="auto"/>
        </w:rPr>
        <w:t>endothelial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144780</wp:posOffset>
            </wp:positionV>
            <wp:extent cx="3874770" cy="4080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4770"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color w:val="auto"/>
        </w:rPr>
        <w:t xml:space="preserve">Figure 51. REC-3964 rescued the phenotype of human epithelial cells treated with </w:t>
      </w:r>
      <w:r>
        <w:rPr>
          <w:rFonts w:ascii="Arial" w:cs="Arial" w:eastAsia="Arial" w:hAnsi="Arial"/>
          <w:sz w:val="16"/>
          <w:szCs w:val="16"/>
          <w:b w:val="1"/>
          <w:bCs w:val="1"/>
          <w:i w:val="1"/>
          <w:iCs w:val="1"/>
          <w:color w:val="auto"/>
        </w:rPr>
        <w:t>C. difficile</w:t>
      </w:r>
      <w:r>
        <w:rPr>
          <w:rFonts w:ascii="Arial" w:cs="Arial" w:eastAsia="Arial" w:hAnsi="Arial"/>
          <w:sz w:val="16"/>
          <w:szCs w:val="16"/>
          <w:b w:val="1"/>
          <w:bCs w:val="1"/>
          <w:color w:val="auto"/>
        </w:rPr>
        <w:t xml:space="preserve"> toxin. </w:t>
      </w:r>
      <w:r>
        <w:rPr>
          <w:rFonts w:ascii="Arial" w:cs="Arial" w:eastAsia="Arial" w:hAnsi="Arial"/>
          <w:sz w:val="16"/>
          <w:szCs w:val="16"/>
          <w:color w:val="auto"/>
        </w:rPr>
        <w:t>REC-3964 was identified as demonstrating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concentration-responsive rescue in HUVEC cells treated with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toxin B on Recursion’s phenomics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Preclinical</w:t>
      </w:r>
    </w:p>
    <w:p>
      <w:pPr>
        <w:spacing w:after="0" w:line="25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REC-3964 was validated in orthogonal functional assays including the Electrical Cell-substrate Impedance Sensing (ECIS) assay where it demonstrated concentration-dependent activity in blocking toxin-mediated barrier disruption.</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shown in a target-based validation assay that REC-3964 selectively inhibits the toxin’s innate glucosyltransferase (IC50 = 4.7-9 nM), suggesting suppression of toxin-induced glycosylation of Rho-GTPases in host cells as the most likely mode of action. REC-3964 has negligible off-target activity, does not target the host’s glucosyltransferases, produces favorable gut and plasma exposure levels following oral dosing, and is non-mutagenic. Further, 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hamster model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treatment with REC-3964 significantly prolonged the survival of animals relative to bezlotoxumab and vehicle treated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142875</wp:posOffset>
            </wp:positionV>
            <wp:extent cx="3557270" cy="1954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5727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340"/>
        <w:spacing w:after="0" w:line="265" w:lineRule="auto"/>
        <w:rPr>
          <w:sz w:val="20"/>
          <w:szCs w:val="20"/>
          <w:color w:val="auto"/>
        </w:rPr>
      </w:pPr>
      <w:r>
        <w:rPr>
          <w:rFonts w:ascii="Arial" w:cs="Arial" w:eastAsia="Arial" w:hAnsi="Arial"/>
          <w:sz w:val="16"/>
          <w:szCs w:val="16"/>
          <w:b w:val="1"/>
          <w:bCs w:val="1"/>
          <w:color w:val="auto"/>
        </w:rPr>
        <w:t xml:space="preserve">Figure 52. REC-3964 blocks </w:t>
      </w:r>
      <w:r>
        <w:rPr>
          <w:rFonts w:ascii="Arial" w:cs="Arial" w:eastAsia="Arial" w:hAnsi="Arial"/>
          <w:sz w:val="16"/>
          <w:szCs w:val="16"/>
          <w:b w:val="1"/>
          <w:bCs w:val="1"/>
          <w:i w:val="1"/>
          <w:iCs w:val="1"/>
          <w:color w:val="auto"/>
        </w:rPr>
        <w:t>C. difficile</w:t>
      </w:r>
      <w:r>
        <w:rPr>
          <w:rFonts w:ascii="Arial" w:cs="Arial" w:eastAsia="Arial" w:hAnsi="Arial"/>
          <w:sz w:val="16"/>
          <w:szCs w:val="16"/>
          <w:b w:val="1"/>
          <w:bCs w:val="1"/>
          <w:color w:val="auto"/>
        </w:rPr>
        <w:t xml:space="preserve"> Toxin B-mediated endothelial barrier disruption. </w:t>
      </w:r>
      <w:r>
        <w:rPr>
          <w:rFonts w:ascii="Arial" w:cs="Arial" w:eastAsia="Arial" w:hAnsi="Arial"/>
          <w:sz w:val="16"/>
          <w:szCs w:val="16"/>
          <w:color w:val="auto"/>
        </w:rPr>
        <w:t>Transendothelial resistance was quantified with ECIS 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incubation of HUVEC cells with 10ng/mL TcdB from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in the presence of REC-3964. Barrier resistance is shown on a normalized scale with 0% representing the resistance in the absence of REC-3964, and 100% representing the resistance of healthy monolayers that were not exposed to toxin B. Data are presented as Mean ± SEM, N≥3 independent experiments.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135890</wp:posOffset>
            </wp:positionV>
            <wp:extent cx="3857625" cy="1945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5762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color w:val="auto"/>
        </w:rPr>
        <w:t xml:space="preserve">Figure 53. </w:t>
      </w:r>
      <w:r>
        <w:rPr>
          <w:rFonts w:ascii="Arial" w:cs="Arial" w:eastAsia="Arial" w:hAnsi="Arial"/>
          <w:sz w:val="16"/>
          <w:szCs w:val="16"/>
          <w:b w:val="1"/>
          <w:bCs w:val="1"/>
          <w:i w:val="1"/>
          <w:iCs w:val="1"/>
          <w:color w:val="auto"/>
        </w:rPr>
        <w:t>C. difficile</w:t>
      </w:r>
      <w:r>
        <w:rPr>
          <w:rFonts w:ascii="Arial" w:cs="Arial" w:eastAsia="Arial" w:hAnsi="Arial"/>
          <w:sz w:val="16"/>
          <w:szCs w:val="16"/>
          <w:b w:val="1"/>
          <w:bCs w:val="1"/>
          <w:color w:val="auto"/>
        </w:rPr>
        <w:t xml:space="preserve"> infected model hamsters treated with REC-3964 survive longer than vehicle treated animals. </w:t>
      </w:r>
      <w:r>
        <w:rPr>
          <w:rFonts w:ascii="Arial" w:cs="Arial" w:eastAsia="Arial" w:hAnsi="Arial"/>
          <w:sz w:val="16"/>
          <w:szCs w:val="16"/>
          <w:color w:val="auto"/>
        </w:rPr>
        <w:t>REC-3964 was administered by</w:t>
      </w:r>
      <w:r>
        <w:rPr>
          <w:rFonts w:ascii="Arial" w:cs="Arial" w:eastAsia="Arial" w:hAnsi="Arial"/>
          <w:sz w:val="16"/>
          <w:szCs w:val="16"/>
          <w:b w:val="1"/>
          <w:bCs w:val="1"/>
          <w:color w:val="auto"/>
        </w:rPr>
        <w:t xml:space="preserve"> </w:t>
      </w:r>
      <w:r>
        <w:rPr>
          <w:rFonts w:ascii="Arial" w:cs="Arial" w:eastAsia="Arial" w:hAnsi="Arial"/>
          <w:sz w:val="16"/>
          <w:szCs w:val="16"/>
          <w:color w:val="auto"/>
        </w:rPr>
        <w:t>oral gavage twice daily for 5 consecutive days along with groups for vehicle and vancomycin (50 mg/kg, QD). N=5 in untreated and vancomycin treated animals and N=10 in vehicle and REC-3964 treated animals.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386080</wp:posOffset>
            </wp:positionV>
            <wp:extent cx="5572125" cy="3437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212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b w:val="1"/>
          <w:bCs w:val="1"/>
          <w:color w:val="auto"/>
        </w:rPr>
        <w:t xml:space="preserve">Figure 54. REC-3964 selectively inhibits the toxin’s innate UDP-glucose glucosyltransferase. </w:t>
      </w:r>
      <w:r>
        <w:rPr>
          <w:rFonts w:ascii="Arial" w:cs="Arial" w:eastAsia="Arial" w:hAnsi="Arial"/>
          <w:sz w:val="16"/>
          <w:szCs w:val="16"/>
          <w:color w:val="auto"/>
        </w:rPr>
        <w:t>(A) Autocatalytic event releases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 difficile</w:t>
      </w:r>
      <w:r>
        <w:rPr>
          <w:rFonts w:ascii="Arial" w:cs="Arial" w:eastAsia="Arial" w:hAnsi="Arial"/>
          <w:sz w:val="16"/>
          <w:szCs w:val="16"/>
          <w:b w:val="1"/>
          <w:bCs w:val="1"/>
          <w:color w:val="auto"/>
        </w:rPr>
        <w:t xml:space="preserve"> </w:t>
      </w:r>
      <w:r>
        <w:rPr>
          <w:rFonts w:ascii="Arial" w:cs="Arial" w:eastAsia="Arial" w:hAnsi="Arial"/>
          <w:sz w:val="16"/>
          <w:szCs w:val="16"/>
          <w:color w:val="auto"/>
        </w:rPr>
        <w:t>toxin’s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glucosyltransferase enzymatic domain into the infected cell, which locks Rho family GTPases in the inactive state. Inactivation of Rho GTPases alters cytoskeletal dynamics, induces apoptosis and impairs barrier function which drives the pathological effects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infection. (B) REC-3964 binds and blocks catalytic activity of the toxin’s innate glucosyltransferase with no effect on the host protein.</w:t>
      </w:r>
      <w:r>
        <w:rPr>
          <w:rFonts w:ascii="Arial" w:cs="Arial" w:eastAsia="Arial" w:hAnsi="Arial"/>
          <w:sz w:val="21"/>
          <w:szCs w:val="21"/>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89535</wp:posOffset>
            </wp:positionV>
            <wp:extent cx="3977640" cy="2322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776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color w:val="auto"/>
        </w:rPr>
        <w:t xml:space="preserve">Figure 55. REC-3964 significantly extended survival over the standard of care, bezlotoxumab, in a human disease relevant CDI hamster model. </w:t>
      </w:r>
      <w:r>
        <w:rPr>
          <w:rFonts w:ascii="Arial" w:cs="Arial" w:eastAsia="Arial" w:hAnsi="Arial"/>
          <w:sz w:val="16"/>
          <w:szCs w:val="16"/>
          <w:color w:val="auto"/>
        </w:rPr>
        <w:t xml:space="preserve">REC-3964 was administered at 200 mg/kg by oral gavage twice daily for 7 consecutive days along with groups for vehicle and vancomycin (50 mg/kg, QD). Bezlotoxumab was administered at 10 mg/kg BID 2 days prior to inoculation with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(strain 630). N=10 hamsters per group. Clinical observations were conducted from Day 0 to Day 7, with surviving animals monitored until Day 14. REC-3964 demonstrated a significant difference in the probability of survival vs bezlotoxumab at the end of treatment (p&lt;0.001, log-rank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1714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 xml:space="preserve">Awad, MM. et al. (2014). Clostridium difficile virulence factors: Insights into an anaerobic spore-forming pathogen. </w:t>
      </w:r>
      <w:r>
        <w:rPr>
          <w:rFonts w:ascii="Arial" w:cs="Arial" w:eastAsia="Arial" w:hAnsi="Arial"/>
          <w:sz w:val="14"/>
          <w:szCs w:val="14"/>
          <w:i w:val="1"/>
          <w:iCs w:val="1"/>
          <w:color w:val="auto"/>
        </w:rPr>
        <w:t>Gut Microbes. 5(5)</w:t>
      </w:r>
      <w:r>
        <w:rPr>
          <w:rFonts w:ascii="Arial" w:cs="Arial" w:eastAsia="Arial" w:hAnsi="Arial"/>
          <w:sz w:val="14"/>
          <w:szCs w:val="14"/>
          <w:color w:val="auto"/>
        </w:rPr>
        <w:t>, 579-593.</w:t>
      </w:r>
    </w:p>
    <w:p>
      <w:pPr>
        <w:sectPr>
          <w:pgSz w:w="11900" w:h="16838" w:orient="portrait"/>
          <w:cols w:equalWidth="0" w:num="1">
            <w:col w:w="11120"/>
          </w:cols>
          <w:pgMar w:left="320" w:top="135" w:right="4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5" w:right="459" w:bottom="144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Clinical</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conducted a Phase 1 healthy volunteer study to evaluate the safety, tolerability, and PK of REC-3964 at increasing oral doses in comparison with placebo. A total of 90 healthy subjects participated in this study with 48 subjects in the Single Ascending Dose (SAD) study and 42 subjects in the Multiple Ascending Dose (MAD) study. The SAD study included a cohort of healthy elderly subjects (age &gt; 65 years). REC-3964 monotherapy was safe and well tolerated at single doses up to 1200 mg (SAD) and multiple doses (MAD) up to 900 mg.</w:t>
      </w:r>
    </w:p>
    <w:p>
      <w:pPr>
        <w:spacing w:after="0" w:line="20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SAD study, the most frequently reported TEAE with REC-3964 was contact dermatitis (4 subjects, 11.1%). All TEAEs were mild in severity and the only TEAE that was considered related to REC-3964 was a single TEAE of fatigue. There were no serious adverse events (SAEs), deaths, or TEAEs that led to discontinuation. In the MAD study, the most frequently reported TEAEs with REC-3964 were fatigue and headache (6 subjects each, 17.6%). All TEAEs were mild in severity. For subjects receiving REC-3964, 11.8% (n=4) had TEAEs considered to be related to treatment, consisting of abdominal distension (3 subjects) and flatulence (1 subject). Abdominal distension was also considered to be related to the study drug for 25% (n=2) of subjects who received placebo. There were no serious adverse events (SAEs), deaths, or TEAEs that led to discontinuation.</w:t>
      </w:r>
    </w:p>
    <w:p>
      <w:pPr>
        <w:spacing w:after="0" w:line="2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PK analysis demonstrated that exposures (AUC) increased approximately dose-proportionally across the dose ranges tested and the half-life ranged from approximately 7 to 10 hours. The peak and systemic exposure to REC-3964 was comparable between healthy elderly subjects and subjects aged ≤ 65 years. As a result, BID dosing is expected to reach targeted trough concentrations.</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There were no clinically meaningful trends or clinically significant abnormalities in hematology and chemistry and no clinically relevant effects on ECG parameters (including QTcF) or vital signs after administration of single or multiple doses of REC-3964.</w:t>
      </w:r>
    </w:p>
    <w:p>
      <w:pPr>
        <w:spacing w:after="0" w:line="18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We plan to initiate a Phase 2 open label, multicenter study in 2024 to evaluate the safety, tolerability, efficacy, and PK of REC-3964 at doses of either 250 mg or 500 mg both administered orally (PO) twice a day (BID) over a 28-day period compared to an observational cohort after an initial cure with vancomycin. The primary endpoints for this study will be safety, tolerability, and preliminary efficacy as assessed by the rate of recurrent </w:t>
      </w:r>
      <w:r>
        <w:rPr>
          <w:rFonts w:ascii="Arial" w:cs="Arial" w:eastAsia="Arial" w:hAnsi="Arial"/>
          <w:sz w:val="18"/>
          <w:szCs w:val="18"/>
          <w:i w:val="1"/>
          <w:iCs w:val="1"/>
          <w:color w:val="auto"/>
        </w:rPr>
        <w:t>Clostridioides difficile</w:t>
      </w:r>
      <w:r>
        <w:rPr>
          <w:rFonts w:ascii="Arial" w:cs="Arial" w:eastAsia="Arial" w:hAnsi="Arial"/>
          <w:sz w:val="18"/>
          <w:szCs w:val="18"/>
          <w:color w:val="auto"/>
        </w:rPr>
        <w:t xml:space="preserve"> infection (rCDI).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140970</wp:posOffset>
            </wp:positionV>
            <wp:extent cx="5606415" cy="2820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641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80"/>
        <w:spacing w:after="0" w:line="296" w:lineRule="auto"/>
        <w:rPr>
          <w:sz w:val="20"/>
          <w:szCs w:val="20"/>
          <w:color w:val="auto"/>
        </w:rPr>
      </w:pPr>
      <w:r>
        <w:rPr>
          <w:rFonts w:ascii="Arial" w:cs="Arial" w:eastAsia="Arial" w:hAnsi="Arial"/>
          <w:sz w:val="16"/>
          <w:szCs w:val="16"/>
          <w:b w:val="1"/>
          <w:bCs w:val="1"/>
          <w:color w:val="auto"/>
        </w:rPr>
        <w:t>Table 2. Summary of Adverse Events from Phase 1 Multiple Ascending Dose Study. AE=adverse event; MAD=multiple ascending dose; SAE=serious adverse event; TEAE=treatment-emergent adverse event.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386080</wp:posOffset>
            </wp:positionV>
            <wp:extent cx="5863590" cy="3549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6359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b w:val="1"/>
          <w:bCs w:val="1"/>
          <w:color w:val="auto"/>
        </w:rPr>
        <w:t>Figure 56. Planned Phase 2 study schema of REC-3964 for prevention of rCDI</w:t>
      </w:r>
      <w:r>
        <w:rPr>
          <w:rFonts w:ascii="Arial" w:cs="Arial" w:eastAsia="Arial" w:hAnsi="Arial"/>
          <w:sz w:val="16"/>
          <w:szCs w:val="16"/>
          <w:color w:val="auto"/>
        </w:rPr>
        <w:t>. Phase 2 open-label, multicenter clinical study to assess the safety,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tolerability, PK, and efficacy of REC-3964 at two dose levels. Enrollment criteria include (1) High risk for rCDI; (2)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associated diarrhea with confirmation of toxin positivity (3) No fulminant CDI; (4) No history of chronic diarrheal illness due to other causes. The primary endpoints are safety, tolerability, and efficacy as determined by the rate of reduction of rCDI after initial clinical cure with vancomycin.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are a number of approved drugs for the treatment and prevention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w:t>
      </w:r>
    </w:p>
    <w:p>
      <w:pPr>
        <w:spacing w:after="0" w:line="252" w:lineRule="exact"/>
        <w:rPr>
          <w:sz w:val="20"/>
          <w:szCs w:val="20"/>
          <w:color w:val="auto"/>
        </w:rPr>
      </w:pPr>
    </w:p>
    <w:p>
      <w:pPr>
        <w:ind w:left="660" w:right="60" w:hanging="328"/>
        <w:spacing w:after="0" w:line="318"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Antibiotics are the main treatment for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with vancomycin and fidaxomicin as the two most commonly prescribed. Metronidazole may also be prescribed for severe cases. However, the efficacy of antibiotic therapy decreases with each recurrence.</w:t>
      </w:r>
    </w:p>
    <w:p>
      <w:pPr>
        <w:spacing w:after="0" w:line="156" w:lineRule="exact"/>
        <w:rPr>
          <w:rFonts w:ascii="Arial" w:cs="Arial" w:eastAsia="Arial" w:hAnsi="Arial"/>
          <w:sz w:val="17"/>
          <w:szCs w:val="17"/>
          <w:color w:val="auto"/>
        </w:rPr>
      </w:pPr>
    </w:p>
    <w:p>
      <w:pPr>
        <w:ind w:left="66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Bezlotoxumab is a human monoclonal antibody against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toxin B approved for reducing CDI recurrence in patients receiving antibiotics who are at high-risk for CDI recurrence.</w:t>
      </w:r>
    </w:p>
    <w:p>
      <w:pPr>
        <w:spacing w:after="0" w:line="179"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Stool derived microbiome products are used to prevent recurrent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with RBX2660 and SER-109 approved for this indication, following antibiotic treatment for recurrent CDI.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are currently 2 active programs in clinical development for the prevention of recurrent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w:t>
      </w:r>
    </w:p>
    <w:p>
      <w:pPr>
        <w:spacing w:after="0" w:line="252" w:lineRule="exact"/>
        <w:rPr>
          <w:sz w:val="20"/>
          <w:szCs w:val="20"/>
          <w:color w:val="auto"/>
        </w:rPr>
      </w:pPr>
    </w:p>
    <w:p>
      <w:pPr>
        <w:ind w:left="660" w:right="62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VE303, an oral microbiome therapeutic from Vedanta Biosciences, is being studied in a Phase 3 trial in patients with ≥ 1 prior occurrence of CDI, including a high-risk for recurrence population.</w:t>
      </w:r>
    </w:p>
    <w:p>
      <w:pPr>
        <w:spacing w:after="0" w:line="179"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LMN-201, an oral biologic from Lumen Bioscience, is being studied in a Phase 2 trial in patients newly diagnosed with CDI planning to receive antibiotic treatment.</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 xml:space="preserve">To our knowledge, REC-3964 is the first orally bioavailable, non-antibiotic,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toxin inhibitor that selectively targets bacterial toxin while sparing the host.</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Preclinical Programs</w:t>
      </w:r>
    </w:p>
    <w:p>
      <w:pPr>
        <w:spacing w:after="0" w:line="261" w:lineRule="exact"/>
        <w:rPr>
          <w:sz w:val="20"/>
          <w:szCs w:val="20"/>
          <w:color w:val="auto"/>
        </w:rPr>
      </w:pPr>
    </w:p>
    <w:p>
      <w:pPr>
        <w:ind w:left="660" w:right="860" w:hanging="328"/>
        <w:spacing w:after="0" w:line="28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Novel CDK12-adjacent target, RBM39, for the potential treatment of HR-proficient ovarian cancers and other Solid Tumors (previously identified as Target Gamma).</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first-in-class novel chemical entity for the treatment of an undisclosed indication in Fibrosis (Target Epsilon)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HR-Proficient Ovarian Cancers and other Solid Tumors (Previously Identified as Target Gamma)</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Using inferential search, we identified compounds that inhibit RBM39 and phenocopy the loss of </w:t>
      </w:r>
      <w:r>
        <w:rPr>
          <w:rFonts w:ascii="Arial" w:cs="Arial" w:eastAsia="Arial" w:hAnsi="Arial"/>
          <w:sz w:val="18"/>
          <w:szCs w:val="18"/>
          <w:i w:val="1"/>
          <w:iCs w:val="1"/>
          <w:color w:val="auto"/>
        </w:rPr>
        <w:t>CDK12</w:t>
      </w:r>
      <w:r>
        <w:rPr>
          <w:rFonts w:ascii="Arial" w:cs="Arial" w:eastAsia="Arial" w:hAnsi="Arial"/>
          <w:sz w:val="18"/>
          <w:szCs w:val="18"/>
          <w:color w:val="auto"/>
        </w:rPr>
        <w:t xml:space="preserve">, but not </w:t>
      </w:r>
      <w:r>
        <w:rPr>
          <w:rFonts w:ascii="Arial" w:cs="Arial" w:eastAsia="Arial" w:hAnsi="Arial"/>
          <w:sz w:val="18"/>
          <w:szCs w:val="18"/>
          <w:i w:val="1"/>
          <w:iCs w:val="1"/>
          <w:color w:val="auto"/>
        </w:rPr>
        <w:t>CDK13</w:t>
      </w:r>
      <w:r>
        <w:rPr>
          <w:rFonts w:ascii="Arial" w:cs="Arial" w:eastAsia="Arial" w:hAnsi="Arial"/>
          <w:sz w:val="18"/>
          <w:szCs w:val="18"/>
          <w:color w:val="auto"/>
        </w:rPr>
        <w:t>. We further optimized these molecules to generate lead candidates with oral bioavailability capable of single agent activity in homologous recombination proficient (HR-proficient) ovarian cancers and other solid tumors. There are approximately 200,000 drug-treatable patients per year in the US and EU5 whose tumors lack mutations in the homologous recombination repair (HRR) pathway and who have progressed on frontline therapies. While PARP inhibitors have significantly improved outcomes for patients with HR-deficient cancers, patients with HR-proficient tumors have poorer prognosis and unfavorable outcomes. We expect to submit an IND for this program in H2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Disease Overview</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Mutations in DNA repair pathways and genomic instability are a fundamental hallmark of cancer. Large-scale genomic datasets highlight cancers such as ovarian, breast, prostate, pancreatic, non-small cell lung, and small-cell lung cancers harboring molecular alterations within the DDR repair network. Cancers with genetic alterations in the DDR pathway such as homologous recombination (HR) can often be treated with DDR inhibitors, such as PARP inhibitors. However, patients with HR-proficient tumors do not derive significant clinical benefit from PARP inhibitors. Accordingly, there is a high unmet need for developing therapeutics that can regulate DNA repair mechanisms for the treatment of HR-proficient cancers, including ovarian cancer.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Insight from Recursion OS</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Reports suggest that genetic or pharmacologic depletion of CDK12 can reduce the expression of several genes involved in the homologous recombination repair pathway such as BRCA1 and BRCA2, inducing a BRCA-like phenotype and DDR response. Thus, CDK12 has received considerable interest as a therapeutic target and tumor biomarker for HR-proficient cancers. Despite reports of functional redundancy, we observed that the genetic knockout of CDK12 could be clearly distinguished phenotypically from that of CDK13. Using map-based inference to characterize and relate cellular phenotypes, we identified RBM39 as an alternative target that selectively mimics CDK12 loss, but not CDK13, providing a novel approach for targeting CDK12 biology while circumventing any toxicities that may arise due to CDK13. We subsequently discovered REC-1170204 as an RBM39 molecular glue degrader that closely mimics the phenotypic loss of CDK12 and RBM39, but not CDK13. Functionally, REC-1170204 treatment globally impacts the expression of many DDR genes but does so in a CDK12 independent manner.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386080</wp:posOffset>
            </wp:positionV>
            <wp:extent cx="4114800" cy="22802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1480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Figure 57: Inferred map relationships between </w:t>
      </w:r>
      <w:r>
        <w:rPr>
          <w:rFonts w:ascii="Arial" w:cs="Arial" w:eastAsia="Arial" w:hAnsi="Arial"/>
          <w:sz w:val="16"/>
          <w:szCs w:val="16"/>
          <w:b w:val="1"/>
          <w:bCs w:val="1"/>
          <w:i w:val="1"/>
          <w:iCs w:val="1"/>
          <w:color w:val="auto"/>
        </w:rPr>
        <w:t>CDK12, CDK13, RBM39</w:t>
      </w:r>
      <w:r>
        <w:rPr>
          <w:rFonts w:ascii="Arial" w:cs="Arial" w:eastAsia="Arial" w:hAnsi="Arial"/>
          <w:sz w:val="16"/>
          <w:szCs w:val="16"/>
          <w:b w:val="1"/>
          <w:bCs w:val="1"/>
          <w:color w:val="auto"/>
        </w:rPr>
        <w:t xml:space="preserve"> and REC-1170204. </w:t>
      </w:r>
      <w:r>
        <w:rPr>
          <w:rFonts w:ascii="Arial" w:cs="Arial" w:eastAsia="Arial" w:hAnsi="Arial"/>
          <w:sz w:val="16"/>
          <w:szCs w:val="16"/>
          <w:color w:val="auto"/>
        </w:rPr>
        <w:t>Map representation demonstrating a high degree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phenotypic similarity between </w:t>
      </w:r>
      <w:r>
        <w:rPr>
          <w:rFonts w:ascii="Arial" w:cs="Arial" w:eastAsia="Arial" w:hAnsi="Arial"/>
          <w:sz w:val="16"/>
          <w:szCs w:val="16"/>
          <w:i w:val="1"/>
          <w:iCs w:val="1"/>
          <w:color w:val="auto"/>
        </w:rPr>
        <w:t>CDK12</w:t>
      </w:r>
      <w:r>
        <w:rPr>
          <w:rFonts w:ascii="Arial" w:cs="Arial" w:eastAsia="Arial" w:hAnsi="Arial"/>
          <w:sz w:val="16"/>
          <w:szCs w:val="16"/>
          <w:color w:val="auto"/>
        </w:rPr>
        <w:t xml:space="preserve">, </w:t>
      </w:r>
      <w:r>
        <w:rPr>
          <w:rFonts w:ascii="Arial" w:cs="Arial" w:eastAsia="Arial" w:hAnsi="Arial"/>
          <w:sz w:val="16"/>
          <w:szCs w:val="16"/>
          <w:i w:val="1"/>
          <w:iCs w:val="1"/>
          <w:color w:val="auto"/>
        </w:rPr>
        <w:t>RBM39</w:t>
      </w:r>
      <w:r>
        <w:rPr>
          <w:rFonts w:ascii="Arial" w:cs="Arial" w:eastAsia="Arial" w:hAnsi="Arial"/>
          <w:sz w:val="16"/>
          <w:szCs w:val="16"/>
          <w:color w:val="auto"/>
        </w:rPr>
        <w:t xml:space="preserve"> and multiple concentrations of REC-1170204. </w:t>
      </w:r>
      <w:r>
        <w:rPr>
          <w:rFonts w:ascii="Arial" w:cs="Arial" w:eastAsia="Arial" w:hAnsi="Arial"/>
          <w:sz w:val="16"/>
          <w:szCs w:val="16"/>
          <w:i w:val="1"/>
          <w:iCs w:val="1"/>
          <w:color w:val="auto"/>
        </w:rPr>
        <w:t>CDK13</w:t>
      </w:r>
      <w:r>
        <w:rPr>
          <w:rFonts w:ascii="Arial" w:cs="Arial" w:eastAsia="Arial" w:hAnsi="Arial"/>
          <w:sz w:val="16"/>
          <w:szCs w:val="16"/>
          <w:color w:val="auto"/>
        </w:rPr>
        <w:t xml:space="preserve"> shows little or no functional similarity to </w:t>
      </w:r>
      <w:r>
        <w:rPr>
          <w:rFonts w:ascii="Arial" w:cs="Arial" w:eastAsia="Arial" w:hAnsi="Arial"/>
          <w:sz w:val="16"/>
          <w:szCs w:val="16"/>
          <w:i w:val="1"/>
          <w:iCs w:val="1"/>
          <w:color w:val="auto"/>
        </w:rPr>
        <w:t>CDK12</w:t>
      </w:r>
      <w:r>
        <w:rPr>
          <w:rFonts w:ascii="Arial" w:cs="Arial" w:eastAsia="Arial" w:hAnsi="Arial"/>
          <w:sz w:val="16"/>
          <w:szCs w:val="16"/>
          <w:color w:val="auto"/>
        </w:rPr>
        <w:t xml:space="preserve">, </w:t>
      </w:r>
      <w:r>
        <w:rPr>
          <w:rFonts w:ascii="Arial" w:cs="Arial" w:eastAsia="Arial" w:hAnsi="Arial"/>
          <w:sz w:val="16"/>
          <w:szCs w:val="16"/>
          <w:i w:val="1"/>
          <w:iCs w:val="1"/>
          <w:color w:val="auto"/>
        </w:rPr>
        <w:t>RBM39</w:t>
      </w:r>
      <w:r>
        <w:rPr>
          <w:rFonts w:ascii="Arial" w:cs="Arial" w:eastAsia="Arial" w:hAnsi="Arial"/>
          <w:sz w:val="16"/>
          <w:szCs w:val="16"/>
          <w:color w:val="auto"/>
        </w:rPr>
        <w:t xml:space="preserve"> or any concentration of REC-1170204.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Concept</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aim to discover and develop novel, orally bioavailable, small molecules that drive de novo sensitivity in HR-proficient tumors. While the biological and clinical evidence supporting CDK12 as a therapeutic target is promising, the high homology of CDKs makes targeting a single homolog difficult and prone to off-target toxicity. Mimicking the effects of CDK12 inhibition via alternative novel targets could be a route to treating HR-proficient tumors. We intend to position our lead candidate as a single agent for the potential treatment of HR-proficient ovarian cancers and other HR-proficient solid tumors.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Preclinical</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vivo efficacy studies evaluated REC-1170204 as a single agent and in combination with niraparib in OV0273, an ovarian BRCA proficient patient derived xenograft (PDX) model. We observed statistically significant responses in both single agent REC-1170204 and combination versus either niraparib or vehicle arms. REC-1170204 also demonstrated a significant survival benefit as a monotherapy, or in combination with niraparib at &gt;30 days post final dose. As a result of our strategic collaboration with Tempus, we are leveraging genomic data across all tumor types to identify clinical biomarkers for patient expansion. We are advancing our lead candidate through IND-enabling studies with IND submission expected in H2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144780</wp:posOffset>
            </wp:positionV>
            <wp:extent cx="5854700" cy="16287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5470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Figure 58. REC-1170204 ± niraparib inhibits tumor growth in the OV0273 PDX mouse model. </w:t>
      </w:r>
      <w:r>
        <w:rPr>
          <w:rFonts w:ascii="Arial" w:cs="Arial" w:eastAsia="Arial" w:hAnsi="Arial"/>
          <w:sz w:val="16"/>
          <w:szCs w:val="16"/>
          <w:color w:val="auto"/>
        </w:rPr>
        <w:t>In the OV0273 PDX model, mice were treated with a</w:t>
      </w:r>
    </w:p>
    <w:p>
      <w:pPr>
        <w:spacing w:after="0" w:line="3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representative lead molecule REC-1170204 (100 mg/kg, BID, PO) ± niraparib (40 mg/kg, QD, PO) for 28 days. Single agent REC-1170204 or in combination with niraparib resulted in a statistically significant response vs either</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niraparib or vehicle arms, where the reduction in tumor volume is plotted using a logarithmic scale (y-axis). In addition, there was a statistically significant improvement in survival &gt; 30 days post final dose. *p&lt;0.05, ** p&lt;0.01, **** p&lt;0.0001.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Undisclosed Indication in Fibrosis – Target Epsilon</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Phenotypic screening of human PBMCs was used to identify novel and structurally diverse small molecules that reverse the phenotypic features of disease-state fibrocyte cells into those of healthy-state cells. The power of the Recursion OS revealed a relationship between the small molecule hits and a novel target that could impact fibrotic diseases. The most promising hit compounds were confirmed as potent inhibitors of this novel target (Target Epsilon) in validation experiments. Optimized hit compounds were found to be effective 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model of fibrosis. This program is now entering IND-enabling studies.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Disease Overview</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Fibrotic diseases carry a high, mostly unmet clinical need and can afflict all major organs. Patients across fibrotic disease indications may benefit from the modulation of common pathways and cells involved in driving pathogenesis of fibrosis. Immune cells, particularly monocyte-derived cell populations including fibrocytes closely associated with collagen producing myofibroblasts, can drive a fibrotic response exceeding what is necessary for injury repair. Monocyte-derived cells produce growth factors that promote the continued activation of mesenchymal populations. Molecules that modulate this immuno-mesenchymal interface may enable a shift towards a pro-resolution and tissue repair response. Despite the important role these cell types play in fibrotic processes there are no current therapies to effectively target the accumulation and differentiation of these pathogenic cell populations. With limited treatment options, two approved anti-fibrotics, patients need greater therapeutic efficacy to address this burden.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Insight from Recursion OS</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the critical role that monocyte-derived immune cells play in fibrotic disease, we developed a phenotypic screening assay from hPBMC-derived fibrocytes that could capture key features of disease in this important cell type. Human recombinant pentraxin-2 (PTX-2) is a constitutive, anti-inflammatory, innate immune plasma protein whose circulating level is decreased in chronic human fibrotic diseases. PTX-2 has an impact on monocyte differentiation to fibrocytes and macrophage polarization state, which elicit tissue repair and reduce fibrosis. Leveraging Recursion’s phenotypic screening platform, we identified multiple structurally diverse and novel small molecules that were able to phenotypically mimic the morphological effects of PTX-2 on hPBMC-derived fibrocytes and macrophages. The hPBMC-fibrocyte reversal assay was also leveraged for optimization of the identified compounds. Using inferential search of Recursion’s HUVEC phenomap, we identified a putative binding target (Epsilon) for the small molecules which was later confirmed through biochemical binding assays with the isolated protein. The identified target represents a novel approach to modulating immuno-mesenchymal cell populations in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144145</wp:posOffset>
            </wp:positionV>
            <wp:extent cx="4217670" cy="1688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1767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b w:val="1"/>
          <w:bCs w:val="1"/>
          <w:color w:val="auto"/>
        </w:rPr>
        <w:t xml:space="preserve">Figure 59: Phenotypic screening assay. </w:t>
      </w:r>
      <w:r>
        <w:rPr>
          <w:rFonts w:ascii="Arial" w:cs="Arial" w:eastAsia="Arial" w:hAnsi="Arial"/>
          <w:sz w:val="16"/>
          <w:szCs w:val="16"/>
          <w:color w:val="auto"/>
        </w:rPr>
        <w:t>Differentiation of human PBMCs into fibrocytes can be reversed by Pentraxin-2, a tissue repair protein, to mimic a</w:t>
      </w:r>
      <w:r>
        <w:rPr>
          <w:rFonts w:ascii="Arial" w:cs="Arial" w:eastAsia="Arial" w:hAnsi="Arial"/>
          <w:sz w:val="16"/>
          <w:szCs w:val="16"/>
          <w:b w:val="1"/>
          <w:bCs w:val="1"/>
          <w:color w:val="auto"/>
        </w:rPr>
        <w:t xml:space="preserve"> </w:t>
      </w:r>
      <w:r>
        <w:rPr>
          <w:rFonts w:ascii="Arial" w:cs="Arial" w:eastAsia="Arial" w:hAnsi="Arial"/>
          <w:sz w:val="16"/>
          <w:szCs w:val="16"/>
          <w:color w:val="auto"/>
        </w:rPr>
        <w:t>healthy state. Small molecules are identified which rescue disease state to healthy state.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386080</wp:posOffset>
            </wp:positionV>
            <wp:extent cx="5743575" cy="1448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4357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b w:val="1"/>
          <w:bCs w:val="1"/>
          <w:color w:val="auto"/>
        </w:rPr>
        <w:t xml:space="preserve">Figure 60: Target and compound identification and validation related to Target Epsilon. </w:t>
      </w:r>
      <w:r>
        <w:rPr>
          <w:rFonts w:ascii="Arial" w:cs="Arial" w:eastAsia="Arial" w:hAnsi="Arial"/>
          <w:sz w:val="16"/>
          <w:szCs w:val="16"/>
          <w:color w:val="auto"/>
        </w:rPr>
        <w:t>(1) Disease Score of 1.0 reflects “disease state” while disease</w:t>
      </w:r>
      <w:r>
        <w:rPr>
          <w:rFonts w:ascii="Arial" w:cs="Arial" w:eastAsia="Arial" w:hAnsi="Arial"/>
          <w:sz w:val="16"/>
          <w:szCs w:val="16"/>
          <w:b w:val="1"/>
          <w:bCs w:val="1"/>
          <w:color w:val="auto"/>
        </w:rPr>
        <w:t xml:space="preserve"> </w:t>
      </w:r>
      <w:r>
        <w:rPr>
          <w:rFonts w:ascii="Arial" w:cs="Arial" w:eastAsia="Arial" w:hAnsi="Arial"/>
          <w:sz w:val="16"/>
          <w:szCs w:val="16"/>
          <w:color w:val="auto"/>
        </w:rPr>
        <w:t>score of 0.0 reflects “healthy state”; (2) cosine similarity between REC-1169575 and genetic knockout of Epsilon is the cosine of the angle between the two vectors in high-dimensional space. Values near 1.0 suggest the angle between perturbations is near 0° and is interpreted as directionally phenosimilar;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 Target Epsilon NanoBRET assay.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Concept</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aim to discover and develop an orally bioavailable immuno-mesenchymal modulator offering a novel mechanism of action designed to treat fibro-inflammatory diseases. We are targeting a small molecule with single agent efficacy that reverses fibrosis by modulating fibrocytes, fibrotic macrophages, and adaptive immune cells. Discovered using Recursion’s phenomics platform, our lead molecule has shown promise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fibrosis, suggesting that it might restore immuno-mesenchymal homeostasis and tissue integrity by targeting immune and mesenchymal cell populations. It exhibits a unique profile with immunomodulatory effects on multiple cell types and shows anti-fibrotic effects, with the possibility of differentiating from current treatment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Preclinical</w:t>
      </w:r>
    </w:p>
    <w:p>
      <w:pPr>
        <w:spacing w:after="0" w:line="250"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We identified multiple structurally distinct small molecules capable of imparting the desired phenotypic rescue of the fibrocyte disease model. REC-1169575, a representative lead molecule, is a potent compound with an EC</w:t>
      </w:r>
      <w:r>
        <w:rPr>
          <w:rFonts w:ascii="Arial" w:cs="Arial" w:eastAsia="Arial" w:hAnsi="Arial"/>
          <w:sz w:val="23"/>
          <w:szCs w:val="23"/>
          <w:color w:val="auto"/>
          <w:vertAlign w:val="subscript"/>
        </w:rPr>
        <w:t>50</w:t>
      </w:r>
      <w:r>
        <w:rPr>
          <w:rFonts w:ascii="Arial" w:cs="Arial" w:eastAsia="Arial" w:hAnsi="Arial"/>
          <w:sz w:val="18"/>
          <w:szCs w:val="18"/>
          <w:color w:val="auto"/>
        </w:rPr>
        <w:t xml:space="preserve"> of 0.40 µM in the fibrocyte reversal assay and an IC</w:t>
      </w:r>
      <w:r>
        <w:rPr>
          <w:rFonts w:ascii="Arial" w:cs="Arial" w:eastAsia="Arial" w:hAnsi="Arial"/>
          <w:sz w:val="23"/>
          <w:szCs w:val="23"/>
          <w:color w:val="auto"/>
          <w:vertAlign w:val="subscript"/>
        </w:rPr>
        <w:t>50</w:t>
      </w:r>
      <w:r>
        <w:rPr>
          <w:rFonts w:ascii="Arial" w:cs="Arial" w:eastAsia="Arial" w:hAnsi="Arial"/>
          <w:sz w:val="18"/>
          <w:szCs w:val="18"/>
          <w:color w:val="auto"/>
        </w:rPr>
        <w:t xml:space="preserve"> of 12nM at target Epsilon. In digital tolerability, REC-1169575 was well-tolerated in C57BL/6 mice at all doses (30, 200, and 300 mg/kg/day, PO x 6 days). REC-1169575 did not significantly affect the body weight, breathing rate, motion, or body temperature of the mice. In a rodent in vivo efficacy model of fibrosis, REC-1169575 significantly reduced collagen, an important histological marker of fibrosis.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386080</wp:posOffset>
            </wp:positionV>
            <wp:extent cx="4843145" cy="2674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431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auto"/>
        </w:rPr>
        <w:t xml:space="preserve">Figure 61: REC-1169575 reduces collagen in a mouse model of fibrosis. </w:t>
      </w:r>
      <w:r>
        <w:rPr>
          <w:rFonts w:ascii="Arial" w:cs="Arial" w:eastAsia="Arial" w:hAnsi="Arial"/>
          <w:sz w:val="16"/>
          <w:szCs w:val="16"/>
          <w:color w:val="auto"/>
        </w:rPr>
        <w:t>There was a statistically significant reduction in collagen ratio, a marker of</w:t>
      </w:r>
      <w:r>
        <w:rPr>
          <w:rFonts w:ascii="Arial" w:cs="Arial" w:eastAsia="Arial" w:hAnsi="Arial"/>
          <w:sz w:val="16"/>
          <w:szCs w:val="16"/>
          <w:b w:val="1"/>
          <w:bCs w:val="1"/>
          <w:color w:val="auto"/>
        </w:rPr>
        <w:t xml:space="preserve"> </w:t>
      </w:r>
      <w:r>
        <w:rPr>
          <w:rFonts w:ascii="Arial" w:cs="Arial" w:eastAsia="Arial" w:hAnsi="Arial"/>
          <w:sz w:val="16"/>
          <w:szCs w:val="16"/>
          <w:color w:val="auto"/>
        </w:rPr>
        <w:t>fibrosis, in both our representative lead molecule REC-1169575 (50 mg/kg BID, PO) and a control molecule known to inhibit fibrosis, SB525334, a selective inhibitor of TGF-beta receptor type 1 compared to fibrosis-induced vehicle treated mice. *p&lt;0.05 (Kruskal-Wallis test)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Therapeutics Partnerships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have and in the future may collaborate with third parties to broadly explore diverse disease domains (such as fibrosis, neuroscience, oncology, immunology and inflammation) in order to identify novel target insights and potential therapeutics that may include small molecules, large molecules, gene therapies and cell therapies. We may also explore a communal asset-type strategy where we license search results from our phenomaps to partners.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goal of every partnership is to create therapeutics, yet the approach may take multiple forms:</w:t>
      </w:r>
    </w:p>
    <w:p>
      <w:pPr>
        <w:spacing w:after="0" w:line="252" w:lineRule="exact"/>
        <w:rPr>
          <w:sz w:val="20"/>
          <w:szCs w:val="20"/>
          <w:color w:val="auto"/>
        </w:rPr>
      </w:pPr>
    </w:p>
    <w:p>
      <w:pPr>
        <w:ind w:left="660" w:right="44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Novel Therapeutics</w:t>
      </w:r>
      <w:r>
        <w:rPr>
          <w:rFonts w:ascii="Arial" w:cs="Arial" w:eastAsia="Arial" w:hAnsi="Arial"/>
          <w:sz w:val="18"/>
          <w:szCs w:val="18"/>
          <w:color w:val="auto"/>
        </w:rPr>
        <w:t>. Without any presumptive target hypothesis, we can identify differentiated therapeutics by rapidly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large compound libraries within our maps of human cellular biology.</w:t>
      </w:r>
    </w:p>
    <w:p>
      <w:pPr>
        <w:spacing w:after="0" w:line="179"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Novel Targets</w:t>
      </w:r>
      <w:r>
        <w:rPr>
          <w:rFonts w:ascii="Arial" w:cs="Arial" w:eastAsia="Arial" w:hAnsi="Arial"/>
          <w:sz w:val="18"/>
          <w:szCs w:val="18"/>
          <w:color w:val="auto"/>
        </w:rPr>
        <w:t>. By profiling diverse biological perturbations (such as genetic factors) on our platform, we may be able to identify novel</w:t>
      </w:r>
      <w:r>
        <w:rPr>
          <w:rFonts w:ascii="Arial" w:cs="Arial" w:eastAsia="Arial" w:hAnsi="Arial"/>
          <w:sz w:val="18"/>
          <w:szCs w:val="18"/>
          <w:i w:val="1"/>
          <w:iCs w:val="1"/>
          <w:color w:val="auto"/>
        </w:rPr>
        <w:t xml:space="preserve"> </w:t>
      </w:r>
      <w:r>
        <w:rPr>
          <w:rFonts w:ascii="Arial" w:cs="Arial" w:eastAsia="Arial" w:hAnsi="Arial"/>
          <w:sz w:val="18"/>
          <w:szCs w:val="18"/>
          <w:color w:val="auto"/>
        </w:rPr>
        <w:t>druggable targets that we can then exploit with partners to generate therapeutic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Roche &amp; Genentech Collaboration and License Agreement</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December 5, 2021, we entered into a Collaboration and License Agreement with Genentech, Inc. and F. Hoffmann-La Roche Ltd, pursuant to which we will construct, using our imaging technology and proprietary machine learning algorithms, unique maps of the inferred relationships amongst perturbation phenotypes in a given cellular context and together with Roche and Genentech will create multimodal models and maps to further expand and refine such inferred relationships, in both cases with the goal to discover and develop therapeutic small molecule programs in a gastrointestinal cancer indication and in key areas of neuroscience.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Upfront Payment. </w:t>
      </w:r>
      <w:r>
        <w:rPr>
          <w:rFonts w:ascii="Arial" w:cs="Arial" w:eastAsia="Arial" w:hAnsi="Arial"/>
          <w:sz w:val="18"/>
          <w:szCs w:val="18"/>
          <w:color w:val="auto"/>
        </w:rPr>
        <w:t>In January 2022, Roche paid us an upfront cash payment of $150.0 million.</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Phenomap Creation, Acceptance and Access. </w:t>
      </w:r>
      <w:r>
        <w:rPr>
          <w:rFonts w:ascii="Arial" w:cs="Arial" w:eastAsia="Arial" w:hAnsi="Arial"/>
          <w:sz w:val="18"/>
          <w:szCs w:val="18"/>
          <w:color w:val="auto"/>
        </w:rPr>
        <w:t>Under the Collaboration Agreement, we are responsible for creating a certain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phenomaps in each of the Exclusive Fields. We will also provide Roche with limited access to our pre-existing human umbilical vein endothelial cells (HUVEC) phenomap. Roche will have specified rights to query or access the phenomaps to generate novel inferences that may lead to the discovery or development of therapeutic products.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Phenomap-Related Options. </w:t>
      </w:r>
      <w:r>
        <w:rPr>
          <w:rFonts w:ascii="Arial" w:cs="Arial" w:eastAsia="Arial" w:hAnsi="Arial"/>
          <w:sz w:val="18"/>
          <w:szCs w:val="18"/>
          <w:color w:val="auto"/>
        </w:rPr>
        <w:t>Each of the phenomaps requested by Roche and created by Recursion may be subject to either an initiation</w:t>
      </w:r>
      <w:r>
        <w:rPr>
          <w:rFonts w:ascii="Arial" w:cs="Arial" w:eastAsia="Arial" w:hAnsi="Arial"/>
          <w:sz w:val="18"/>
          <w:szCs w:val="18"/>
          <w:i w:val="1"/>
          <w:iCs w:val="1"/>
          <w:color w:val="auto"/>
        </w:rPr>
        <w:t xml:space="preserve"> </w:t>
      </w:r>
      <w:r>
        <w:rPr>
          <w:rFonts w:ascii="Arial" w:cs="Arial" w:eastAsia="Arial" w:hAnsi="Arial"/>
          <w:sz w:val="18"/>
          <w:szCs w:val="18"/>
          <w:color w:val="auto"/>
        </w:rPr>
        <w:t>fee, acceptance fee or both. Such fees could exceed $250.0 million for sixteen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twelve (12) eligible phenomaps, Roche’s associated exercise fee payments to Recursion could exceed $250.0 million.</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Collaboration Programs and Roche Options. </w:t>
      </w:r>
      <w:r>
        <w:rPr>
          <w:rFonts w:ascii="Arial" w:cs="Arial" w:eastAsia="Arial" w:hAnsi="Arial"/>
          <w:sz w:val="18"/>
          <w:szCs w:val="18"/>
          <w:color w:val="auto"/>
        </w:rPr>
        <w:t>Roche and Recursion will collaborate to select certain novel inferences with respect to small</w:t>
      </w:r>
      <w:r>
        <w:rPr>
          <w:rFonts w:ascii="Arial" w:cs="Arial" w:eastAsia="Arial" w:hAnsi="Arial"/>
          <w:sz w:val="18"/>
          <w:szCs w:val="18"/>
          <w:i w:val="1"/>
          <w:iCs w:val="1"/>
          <w:color w:val="auto"/>
        </w:rPr>
        <w:t xml:space="preserve"> </w:t>
      </w:r>
      <w:r>
        <w:rPr>
          <w:rFonts w:ascii="Arial" w:cs="Arial" w:eastAsia="Arial" w:hAnsi="Arial"/>
          <w:sz w:val="18"/>
          <w:szCs w:val="18"/>
          <w:color w:val="auto"/>
        </w:rPr>
        <w:t>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 In October 2023, Roche exercised its Small Molecule Validated Hit Option to further advance our first partnership program in GI-oncology.</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Payments if Roche Exercises Option for a Collaboration Program. </w:t>
      </w:r>
      <w:r>
        <w:rPr>
          <w:rFonts w:ascii="Arial" w:cs="Arial" w:eastAsia="Arial" w:hAnsi="Arial"/>
          <w:sz w:val="18"/>
          <w:szCs w:val="18"/>
          <w:color w:val="auto"/>
        </w:rPr>
        <w:t>Under the collaboration, Roche may initiate up to forty (40) small molecule</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programs. Each small molecule collaboration program, if optioned and successfully developed and commercialized by Roche, could yield more than $300.0 million in research, development, commercialization and net sales milestones for Recursion, as well as mid- to high-single digit tiered royalties on net sales. Recursion is also eligible for research, development, commercialization and net sales milestones for target collaboration programs optioned by Roche.</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Recursion Programs</w:t>
      </w:r>
      <w:r>
        <w:rPr>
          <w:rFonts w:ascii="Arial" w:cs="Arial" w:eastAsia="Arial" w:hAnsi="Arial"/>
          <w:sz w:val="18"/>
          <w:szCs w:val="18"/>
          <w:color w:val="auto"/>
        </w:rPr>
        <w:t>. If Roche does not exercise its options in the Collaboration Agreement for certain collaboration programs, we may, with</w:t>
      </w:r>
      <w:r>
        <w:rPr>
          <w:rFonts w:ascii="Arial" w:cs="Arial" w:eastAsia="Arial" w:hAnsi="Arial"/>
          <w:sz w:val="18"/>
          <w:szCs w:val="18"/>
          <w:i w:val="1"/>
          <w:iCs w:val="1"/>
          <w:color w:val="auto"/>
        </w:rPr>
        <w:t xml:space="preserve"> </w:t>
      </w:r>
      <w:r>
        <w:rPr>
          <w:rFonts w:ascii="Arial" w:cs="Arial" w:eastAsia="Arial" w:hAnsi="Arial"/>
          <w:sz w:val="18"/>
          <w:szCs w:val="18"/>
          <w:color w:val="auto"/>
        </w:rPr>
        <w:t>Roche’s prior consent, choose to independently validate, develop and commercialize products in a limited number of such programs, subject to agreed milestones and royalties to Roche. Roche will have rights to obtain an exclusive license to exploit such products by providing notice and paying us an opt-in fee and economics exceeding those that would otherwise be applicable if Roche had exercised its option for such program.</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Exclusivity. </w:t>
      </w:r>
      <w:r>
        <w:rPr>
          <w:rFonts w:ascii="Arial" w:cs="Arial" w:eastAsia="Arial" w:hAnsi="Arial"/>
          <w:sz w:val="18"/>
          <w:szCs w:val="18"/>
          <w:color w:val="auto"/>
        </w:rPr>
        <w:t>During an agreed period of time after the Collaboration Agreement’s effective date, we are subject to certain exclusivities that limit</w:t>
      </w:r>
      <w:r>
        <w:rPr>
          <w:rFonts w:ascii="Arial" w:cs="Arial" w:eastAsia="Arial" w:hAnsi="Arial"/>
          <w:sz w:val="18"/>
          <w:szCs w:val="18"/>
          <w:i w:val="1"/>
          <w:iCs w:val="1"/>
          <w:color w:val="auto"/>
        </w:rPr>
        <w:t xml:space="preserve"> </w:t>
      </w:r>
      <w:r>
        <w:rPr>
          <w:rFonts w:ascii="Arial" w:cs="Arial" w:eastAsia="Arial" w:hAnsi="Arial"/>
          <w:sz w:val="18"/>
          <w:szCs w:val="18"/>
          <w:color w:val="auto"/>
        </w:rPr>
        <w:t>our ability to conduct certain research and development activities with respect to compounds and targets in the Exclusive Fields, other than pursuant to the collaboration with Roche. However, we may continue pursuing products that we are researching and developing in the Exclusive Fields as of the effective date of the Collaboration Agreement.</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Collaboration Agreement includes standard termination provisions, including for material breach or insolvency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Roche’s convenience. Certain of these termination rights can be exercised with respect to a particular Exclusive Field or exclusive license, as well as with respect to the entire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137160</wp:posOffset>
            </wp:positionV>
            <wp:extent cx="5657850" cy="1594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Figure 62. Under our collaboration with Roche &amp; Genentech, we are creating multimodal maps of cellular biology to elucidate novel targets and starting points.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Bayer AG Amended and Restated Research Collaboration and Option Agreement</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August 28, 2020, Recursion and Bayer entered into a Research Collaboration and Option Agreement, which was subsequently expanded on December 1, 2021, for research and collaboration on a certain number of projects related to fibrosis. On November 8, 2023, the parties amended and restated the original Bayer Agreement to re-align the collaboration with Bayer’s strategic shift in focus to oncology. As a result, the parties wound down their joint work in fibrosis and the exclusivities with respect to the field of fibrosis were terminated.</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Restated Agreement, Recursion will collaborate with Bayer for the remainder of the five-year period under the original Agreement (extendable by up to 2 years to enable completion of certain research activities), to initiate up to seven programs in oncology. During certain agreed time periods within the collaboration term, Recursion is prohibited from conducting certain research and development activities with respect to certain identified genes of relevance in oncology outside of the collaboration, either by itself or together with third parties. However, Recursion may continue research and development activities for any such identified genes that it has initiated prior to the date of identification of such gene.</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each oncology project, Recursion will work with Bayer to identify potential lead candidates for development. Under the Restated Agreement, Bayer has the first option to license potential candidates; each such license could potentially result in option exercise fees and development and commercial milestones paid to Recursion with an aggregate value of up to approximately $210.0 million for one license and up to approximately $1.5 billion if each program is licensed, as well as tiered royalties for each such license, ranging from low- to mid-single digit percentages of sales, depending on commercial success. Royalty periods for each license are on a country-by-country basis, and the duration of each such period is tied to the duration of patent or regulatory exclusivity in each country (with a minimum term of 10 years each).</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If Bayer does not exercise its option with respect to a lead candidate or otherwise discontinues a project prior to completion, within a specified period of time, Recursion may exercise an option to negotiate with Bayer in good faith to obtain an exclusive license under Bayer’s interest in any lead series developed pursuant to the project and backup compounds related thereto, as well as a non-exclusive license under Bayer’s background intellectual property necessary for Recursion’s use of the project results related to such compounds.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Bayer may terminate the collaboration at any time without cause. Either party may terminate the agreement for a material breach by the other party. The term of each license agreement continues on a product-by-product and country-by-country basis until the later of (a) the expiration of the last to expire valid claim of the licensed patents covering such product in such country, (b) the expiration of any applicable regulatory exclusivity period for such product in such country and (c) ten years after the first commercial sale of such product in such country. Bayer may terminate each such license agreement at any time without cause. Either party may terminate each such license agreement for the other party’s uncured material breach.</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Technology Partnerships</w:t>
      </w:r>
    </w:p>
    <w:p>
      <w:pPr>
        <w:spacing w:after="0" w:line="2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While we focus on the generation and utilization of the Recursion Data Universe to maximize our pipeline and partnership value-drivers, we are exploring ways to make small, select data layers and foundation models externally available to drive additional value and technology and data collaborations that strengthen our platform. Large datasets generated for training AI models are rare and valuable, especially with respect to biology and chemistry, where most data generated is siloed and not relatable across experimental contexts. The Recursion OS has generated, and continues to generate, highly relatable and reliable datasets used to train foundation models. Our collaborations with NVIDIA, Tempus and Enamine highlight how data, foundation models and compute are integral value drivers in the TechBio space and for Recursion.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NVIDIA</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July 2023, we entered a strategic collaboration with NVIDIA to accelerate the development of our groundbreaking AI foundation models for biology and chemistry using our supercomputer, BioHive-1, and priority access on NVIDIA DGX™ Cloud. We intend to optimize and distribute these models for internal use in addition to possible commercial license or release on BioNeMo, NVIDIA’s cloud service for generative AI in drug discovery. During the JP Morgan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Healthcare Conference in 2024 we released, with NVIDIA, Phenom-Beta on the BioNeMo platform. Phenom-Beta is a smaller, yet still powerful, version of the Phenom-1 model discussed above. In November 2023, we committed to working with NVIDIA to expand BioHive-1, increasing the computational capacity by over 4X. We project that upon completion and benchmarking, BioHive-1 will be in the top 50 most powerful supercomputers in the world across any industry (according to the TOP500 list) and will be the most powerful supercomputer owned and operated by any biopharma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2023, we entered a collaboration with Tempus to gain preferred access to one of the world’s largest proprietary, de-identified, patient-centric oncology datasets, spanning DNA, RNA, health records and more to support the discovery of potential biomarker-enriched therapeutics at scale through the training of causal AI models. By combining the forward genetics approach of Tempus with the reverse genetics approach at Recursion, we believe we have an opportunity to improve the speed, precision, and scale of therapeutic development in oncology.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Enamine</w:t>
      </w:r>
    </w:p>
    <w:p>
      <w:pPr>
        <w:spacing w:after="0" w:line="25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December 2023, we entered a collaboration with Enamine to generate and design enriched compound libraries for the global drug discovery industry. By leveraging Recursion’s MatchMaker, an AI model, to identify compounds in the Enamine REAL Space predicted to bind to high-value targets, we believe we can generate more powerful compound libraries for drug discovery purposes. Enamine may offer the resulting libraries to customers for purchase and will co-brand any libraries under both the Enamine and Recursion’s MatchMaker trademarks. This collaboration is an example of how select data layers can drive value in novel ways.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People and Culture</w:t>
      </w:r>
    </w:p>
    <w:p>
      <w:pPr>
        <w:spacing w:after="0" w:line="2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Essential to leading and defining TechBio is our team of over 500 Recursionauts, balanced between life scientists such as chemists and biologists (approximately 35% of employees) and computational and technical experts such as data scientists and software engineers (approximately 40% of employees). This kind of functional balance intentionally stands in contrast to traditional biotechnology companies. Together our team creates an environment where empirical data, statistical rigor and creative thinking is brought to bear on the problems we address. While we are united in a common mission, </w:t>
      </w:r>
      <w:r>
        <w:rPr>
          <w:rFonts w:ascii="Arial" w:cs="Arial" w:eastAsia="Arial" w:hAnsi="Arial"/>
          <w:sz w:val="18"/>
          <w:szCs w:val="18"/>
          <w:b w:val="1"/>
          <w:bCs w:val="1"/>
          <w:i w:val="1"/>
          <w:iCs w:val="1"/>
          <w:color w:val="auto"/>
        </w:rPr>
        <w:t>Decoding Biology to Radically Improve Lives</w:t>
      </w:r>
      <w:r>
        <w:rPr>
          <w:rFonts w:ascii="Arial" w:cs="Arial" w:eastAsia="Arial" w:hAnsi="Arial"/>
          <w:sz w:val="18"/>
          <w:szCs w:val="18"/>
          <w:color w:val="auto"/>
        </w:rPr>
        <w:t>, our strength lies in our differences: expertise, gender, race, disciplines, experience and perspectives. Deliberately building and cultivating this culture is critical to achieving our audacious goals.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386080</wp:posOffset>
            </wp:positionV>
            <wp:extent cx="5863590" cy="3566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6359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63. Breakdown of Recursion’s over 500 employees across life sciences, technology and strategic operations.</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One of the most critical elements supporting Recursion’s leadership in TechBio is what we call the Recursion Mindset – a deep belief and commitment to industrialization through automation, systems-thinking, algorithms and data to deliver our mission. Broadly at the company we apply this mindset to eliminate toil and inefficiency creating space for our creative energy to be pointed at Recursion’s hardest problems. The Recursion Mindset is made manifest through our Founding Principles and supported by our Culture and Values. Our Founding Principles are the guideposts to our approach to technical and scientific decision-making. Our Values are the core behaviors that define our Culture and are the simplest definition of how we will achieve our mission. Combined they are the shape of our culture and guide us to reimagine how medicines are made on the path to delivering our mission.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Figure 64. Recursion’s Founding Principles. </w:t>
      </w:r>
      <w:r>
        <w:rPr>
          <w:rFonts w:ascii="Arial" w:cs="Arial" w:eastAsia="Arial" w:hAnsi="Arial"/>
          <w:sz w:val="16"/>
          <w:szCs w:val="16"/>
          <w:color w:val="auto"/>
        </w:rPr>
        <w:t>These six founding principles differentiate our approach from nearly every other biopharma company, enable</w:t>
      </w:r>
      <w:r>
        <w:rPr>
          <w:rFonts w:ascii="Arial" w:cs="Arial" w:eastAsia="Arial" w:hAnsi="Arial"/>
          <w:sz w:val="16"/>
          <w:szCs w:val="16"/>
          <w:b w:val="1"/>
          <w:bCs w:val="1"/>
          <w:color w:val="auto"/>
        </w:rPr>
        <w:t xml:space="preserve"> </w:t>
      </w:r>
      <w:r>
        <w:rPr>
          <w:rFonts w:ascii="Arial" w:cs="Arial" w:eastAsia="Arial" w:hAnsi="Arial"/>
          <w:sz w:val="16"/>
          <w:szCs w:val="16"/>
          <w:color w:val="auto"/>
        </w:rPr>
        <w:t>us to lead TechBio and form the foundation for a mindset we teach and enrich for at Recursion.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133350</wp:posOffset>
            </wp:positionV>
            <wp:extent cx="4920615" cy="3103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2061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Figure 65. Recursion’s Values. </w:t>
      </w:r>
      <w:r>
        <w:rPr>
          <w:rFonts w:ascii="Arial" w:cs="Arial" w:eastAsia="Arial" w:hAnsi="Arial"/>
          <w:sz w:val="16"/>
          <w:szCs w:val="16"/>
          <w:color w:val="auto"/>
        </w:rPr>
        <w:t>These five values support our founding principles and guide our culture at Recursion.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Diversity, Equity, Inclusion and Belonging</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Recursion, we believe in the moral and business case for diversity. The research-based evidence is unequivocal that diverse perspectives support better complex decision-making, foster greater innovation and ultimately result in greater company performance and success. We seek the best talent by maximizing diversity at the top of the recruiting funnel and then mitigating bias through objective decision-making throughout the hiring process. We foster an environment of inclusion for candidates and employees to unleash the strength of our differences. Lastly, acknowledging the breadth of societal injustice and inequities we pursue fair and equitable outcomes across all people-decisions through process design and supported by analytics.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Recruitment, Development and Training</w:t>
      </w:r>
    </w:p>
    <w:p>
      <w:pPr>
        <w:spacing w:after="0" w:line="25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take a design-thinking approach to building the employee experience at Recursion. It is a fit-for-purpose system that finds, grows and retains top talent to deliver our mission. Our people are mission-driven, humble, bright, generous of spirit and constructively dissatisfied with the status quo. We employ a targeted approach to identify, attract and hire diverse employees across highly technical scientific disciplines including: biology, chemistry, data science, machine learning, engineering, robotics, clinical development and more. We seek people that are a fit for our commitment to industrialization as defined by our Recursion Mindset, which is manifested in our Founding Principles and Values.</w:t>
      </w:r>
    </w:p>
    <w:p>
      <w:pPr>
        <w:spacing w:after="0" w:line="19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Culturally, we instill an expectation to be constantly learning and teaching in pursuit of growing ourselves as fast as Recursion. Most notable is a 2-day experience offered year-round to all employees called Decoding Recursion. It is an opportunity for close interaction with senior leaders who teach the Recursion Mindset through stories. The need to learn is reinforced throughout our performance system which creates accountability for our learning, delivery and impact on others.</w:t>
      </w:r>
    </w:p>
    <w:p>
      <w:pPr>
        <w:spacing w:after="0" w:line="20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People stay at Recursion because of the opportunity to impact the world and grow in a place where they feel challenged, supported and connected. Throughout the employee experience we create moments, rituals, programs and spaces that inspire ambition, reward contributions and growth and foster belonging.</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Health and Safety</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dedicated Standard Operating Procedures to manage occupational health and safety, safety training and injury and illness and incident reporting. Every employee is responsible to ensure these procedures and policies are followed. We offer extensive training to ensure understanding and compliance. Compliance is mandatory for all laboratory employees per requirements of the Occupational Safety and Health Administration standard on Hazardous Chemicals in Laboratories. Our Co-Founder and CEO is the Director of Public Safety at the company and has the ultimate responsibility for chemical hygiene within the organization. Our Chemical Hygiene Officer and Lab Manager oversees the day-to-day management of institutional chemical hygiene.</w:t>
      </w:r>
    </w:p>
    <w:p>
      <w:pPr>
        <w:spacing w:after="0" w:line="211" w:lineRule="exact"/>
        <w:rPr>
          <w:sz w:val="20"/>
          <w:szCs w:val="20"/>
          <w:color w:val="auto"/>
        </w:rPr>
      </w:pPr>
    </w:p>
    <w:p>
      <w:pPr>
        <w:ind w:right="860"/>
        <w:spacing w:after="0" w:line="285" w:lineRule="auto"/>
        <w:rPr>
          <w:sz w:val="20"/>
          <w:szCs w:val="20"/>
          <w:color w:val="auto"/>
        </w:rPr>
      </w:pPr>
      <w:r>
        <w:rPr>
          <w:rFonts w:ascii="Arial" w:cs="Arial" w:eastAsia="Arial" w:hAnsi="Arial"/>
          <w:sz w:val="18"/>
          <w:szCs w:val="18"/>
          <w:i w:val="1"/>
          <w:iCs w:val="1"/>
          <w:u w:val="single" w:color="auto"/>
          <w:color w:val="auto"/>
        </w:rPr>
        <w:t>Read more about how we invest in and motivate our people to achieve our mission in Recursion’s latest Environmental, Social and Governance Report, available at our corporate website.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Headquarters</w:t>
      </w:r>
    </w:p>
    <w:p>
      <w:pPr>
        <w:spacing w:after="0" w:line="250"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Our United States headquarters is in downtown Salt Lake City, Utah where we lease 105,419 square feet of office and laboratory space. The lease for this space expires in May 2028. In November 2022, we expanded into 103,634 square feet of office and laboratory space adjacent to our headquarters under a lease that expires in May 2032. Our modern headquarters is a draw for local, national and international talent.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386080</wp:posOffset>
            </wp:positionV>
            <wp:extent cx="3660140" cy="49377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60140"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Figure 66. Our headquarters is centrally located in downtown Salt Lake City, Utah. </w:t>
      </w:r>
      <w:r>
        <w:rPr>
          <w:rFonts w:ascii="Arial" w:cs="Arial" w:eastAsia="Arial" w:hAnsi="Arial"/>
          <w:sz w:val="16"/>
          <w:szCs w:val="16"/>
          <w:color w:val="auto"/>
        </w:rPr>
        <w:t>We are a proud founding member of BioHive, the branding effort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life science hub of Utah. Working with state and local government, we are helping to create a burgeoning life science ecosystem around a downtown cluster of companies centered around our headquarters.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Offices and Facilities</w:t>
      </w: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Toronto and Montréal</w:t>
      </w:r>
      <w:r>
        <w:rPr>
          <w:rFonts w:ascii="Arial" w:cs="Arial" w:eastAsia="Arial" w:hAnsi="Arial"/>
          <w:sz w:val="17"/>
          <w:szCs w:val="17"/>
          <w:color w:val="auto"/>
        </w:rPr>
        <w:t>. In June 2023, we celebrated the opening of our 28,110 square foot Toronto site, which serves as the headquarters for</w:t>
      </w:r>
      <w:r>
        <w:rPr>
          <w:rFonts w:ascii="Arial" w:cs="Arial" w:eastAsia="Arial" w:hAnsi="Arial"/>
          <w:sz w:val="17"/>
          <w:szCs w:val="17"/>
          <w:i w:val="1"/>
          <w:iCs w:val="1"/>
          <w:color w:val="auto"/>
        </w:rPr>
        <w:t xml:space="preserve"> </w:t>
      </w:r>
      <w:r>
        <w:rPr>
          <w:rFonts w:ascii="Arial" w:cs="Arial" w:eastAsia="Arial" w:hAnsi="Arial"/>
          <w:sz w:val="17"/>
          <w:szCs w:val="17"/>
          <w:color w:val="auto"/>
        </w:rPr>
        <w:t>Recursion Canada. The lease for this space expires in November 2032. The new site represents Recursion’s significant growth in Canada and our continued investment in the local economy. Following the acquisition of Cyclica, we consolidated our Toronto based teams into our new headquarters. In addition to our Recursion Canada headquarters we have a site in Montréal that houses our semi-autonomous artificial intelligence research engine, Valence Labs, which is located in the world-renowned artificial intelligence and machine learning hub MILA.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5" w:right="4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386080</wp:posOffset>
            </wp:positionV>
            <wp:extent cx="5597525" cy="18859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9752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auto"/>
        </w:rPr>
        <w:t xml:space="preserve">Figure 67. Recursion’s satellite offices and facilities. </w:t>
      </w:r>
      <w:r>
        <w:rPr>
          <w:rFonts w:ascii="Arial" w:cs="Arial" w:eastAsia="Arial" w:hAnsi="Arial"/>
          <w:sz w:val="16"/>
          <w:szCs w:val="16"/>
          <w:color w:val="auto"/>
        </w:rPr>
        <w:t>Left panel: Mila, the Quebec Artificial Intelligence Institute, is recognized worldwide for its major</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 to AI. Right panel: Government and biotech leaders celebrate the opening of our Toronto office, home to Recursion’s Canadian headquarters and our largest site outside of our global headquarters in Salt Lake City, Utah. This site, along with the Mila Montreal office, serves as multidisciplinary hubs across data science and machine learning.</w:t>
      </w:r>
    </w:p>
    <w:p>
      <w:pPr>
        <w:spacing w:after="0" w:line="19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Digital Vivarium. </w:t>
      </w:r>
      <w:r>
        <w:rPr>
          <w:rFonts w:ascii="Arial" w:cs="Arial" w:eastAsia="Arial" w:hAnsi="Arial"/>
          <w:sz w:val="18"/>
          <w:szCs w:val="18"/>
          <w:color w:val="auto"/>
        </w:rPr>
        <w:t>We lease a property that serves as a rodent vivarium. This lease expires in May 2028. We use this facility to conduct drug-discovery enabling pharmacokinetic, pharmacodynamic and exploratory safety studies. The facility is equipped with proprietary, digitally enabled cage technology.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Social Responsibility</w:t>
      </w:r>
    </w:p>
    <w:p>
      <w:pPr>
        <w:spacing w:after="0" w:line="26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We believe that to achieve our mission, we must </w:t>
      </w:r>
      <w:r>
        <w:rPr>
          <w:rFonts w:ascii="Arial" w:cs="Arial" w:eastAsia="Arial" w:hAnsi="Arial"/>
          <w:sz w:val="18"/>
          <w:szCs w:val="18"/>
          <w:i w:val="1"/>
          <w:iCs w:val="1"/>
          <w:color w:val="auto"/>
        </w:rPr>
        <w:t>act like the company we aim to be</w:t>
      </w:r>
      <w:r>
        <w:rPr>
          <w:rFonts w:ascii="Arial" w:cs="Arial" w:eastAsia="Arial" w:hAnsi="Arial"/>
          <w:sz w:val="18"/>
          <w:szCs w:val="18"/>
          <w:color w:val="auto"/>
        </w:rPr>
        <w:t>, which means we must be a good corporate citizen. In recognition of our commitment to excellence in environmental, social and governance stewardship, Recursion received a Prime Rating in 2023 for ESG performance from Institutional Shareholder Services (ISS). The ISS ESG Corporate Rating provides an assessment of a company's environmental, social and governance activity. A Prime Rating is awarded to companies with ESG performance above a sector-specific threshold and is defined by ISS as "absolute best in class". Additionally, as of January 2024, Recursion was ranked 16 out of over 900 companies (approximately top 2%) in the pharmaceutical category by Morningstar Sustainalytics</w:t>
      </w:r>
      <w:r>
        <w:rPr>
          <w:rFonts w:ascii="Arial" w:cs="Arial" w:eastAsia="Arial" w:hAnsi="Arial"/>
          <w:sz w:val="23"/>
          <w:szCs w:val="23"/>
          <w:color w:val="auto"/>
          <w:vertAlign w:val="superscript"/>
        </w:rPr>
        <w:t>20</w:t>
      </w:r>
      <w:r>
        <w:rPr>
          <w:rFonts w:ascii="Arial" w:cs="Arial" w:eastAsia="Arial" w:hAnsi="Arial"/>
          <w:sz w:val="18"/>
          <w:szCs w:val="18"/>
          <w:color w:val="auto"/>
        </w:rPr>
        <w:t xml:space="preserve"> which gives an in-depth analysis of a company’s ESG performance and compares it to industry peers. This ranking places Recursion in Sustainalytics’ 2024 Top-Rated ESG Companies List.</w:t>
      </w:r>
    </w:p>
    <w:p>
      <w:pPr>
        <w:spacing w:after="0" w:line="22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To date, we have focused our community efforts in areas of impact that are aligned with our Values and our strengths, including: (i) diversity, equity and inclusion in technology and biotechnology (e.g., in 2020 the Recursion Foundation launched Altitude Lab, a life science incubator and accelerator for diverse health care entrepreneurs); (ii) the growth and sustainability of our local life science and technology ecosystems (e.g., Recursion is a founding member of BioHive, a Utah life science collective); and (iii) the promotion of sustainable environmental practices (e.g., Recursion aims to achieve net-zero greenhouse gas emissions across our operations by the year 2030). We believe that through these principles of community engagement, we can extend our mission of radically improving lives to those in our communities.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Read more about how we are delivering on that belief in Recursion’s Environmental, Social and Governance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1714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80" w:firstLine="8"/>
        <w:spacing w:after="0" w:line="252" w:lineRule="auto"/>
        <w:tabs>
          <w:tab w:leader="none" w:pos="144"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Copyright © 2023 Morningstar Sustainalytics. All rights reserved. This section contains information developed by Sustainalytics (www.sustainalytics.com). Such information and data are proprietary of Sustainalytics and/or its third-party suppliers (Third Party Data) and are provided for informational purposes only. They do not constitute an endorsement of any product or project, nor an investment advice and are not warranted to be complete, timely, accurate or suitable for a particular purpose. Their use is subject to conditions available at https://www.sustainalytics.com/legal-disclaimers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Commercialization</w:t>
      </w:r>
    </w:p>
    <w:p>
      <w:pPr>
        <w:spacing w:after="0" w:line="26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may retain significant development and commercial rights to some of our drug candidates. If marketing approval is obtained, we may commercialize our drug candidates on our own, or potentially with a partner, in the United States and other geographies. We currently have no sales, marketing, or commercial product distribution capabilities. Decisions to create this infrastructure and capability will be made following further advancement of our drug candidates and based on our assessment of our ability to build the necessary capabilities and infrastructure with competitive advantage. Clinical data, the size of the addressable patient population, the size of the commercial infrastructure, manufacturing needs and major trends as to how value is accrued in the industry may all influence or alter our commercialization plans.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currently utilize contract development and manufacturing organizations to produce drug substance and investigational drug product in support of the assets within our pipeline. To date, we have obtained drug substance and drug product for our drug candidates from third party contract manufacturers. We are in the process of developing our supply chain for each of our drug candidates on a project-by-project basis based on our development needs.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Agreements</w:t>
      </w:r>
    </w:p>
    <w:p>
      <w:pPr>
        <w:spacing w:after="0" w:line="261"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To achieve our mission, we may partner with leading biotechnology companies, pharmaceutical companies and academic research institutions to access datasets, molecules, or other 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Tempus Master Agreement</w:t>
      </w:r>
    </w:p>
    <w:p>
      <w:pPr>
        <w:spacing w:after="0" w:line="25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On November 3, 2023, Recursion Pharmaceuticals, Inc., or the Company, and Tempus Labs, Inc., or Tempus entered into a Master Agreement, or the Tempus Agreement pursuant to which Tempus may provide certain services and deliverables to the Company and/or license certain data to the Company. The term of the Tempus Agreement is five years from the effective date of the Tempus Agreement, or the Term.</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terms of the Tempus Agreement, the Company is granted a limited right to access Tempus’s proprietary database of de-identified clinical and molecular data for certain therapeutic product development purposes, including to develop, train, improve, modify, and create derivative works of the Company’s machine learning/artificial intelligence models for the purposes of therapeutic product development. The Company is permitted to download a maximum number of de-identified records at any one time, subject to an aggregate cap in the total unique records that can be downloaded over the course of the Term, and to retain each downloaded record for a period of 180 days from the date of download. After such 180-day period, The Company may elect to license such downloaded records for a longer period subject to additional terms and the payment of additional fees.</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exchange for these rights, the Company will pay Tempus an initial license fee in an amount equal to $22.0 million, or the Initial License Fee and annual license fees during the Term ranging between $22.0 million and $42.0 million, which, together with the Initial License Fee, totals up to $160.0 million over the Term, subject to the Company’s early termination, which may be triggered only following the third anniversary of the Master Agreement’s effective date, and payment by the Company of an early termination fee (as further discussed below). The Initial License Fee and each annual license fee shall be payable at the Company’s option either in the form of (x) cash, (y) shares of Class A Common Stock of the Company or (z) a combination of cash and shares of Class A Common Stock in such proportion as is determined by the Company in its sole discretion; provided that (a) the aggregate number of shares of Class A Common Stock that the Company may issue in connection with all payments under this Agreement shall not exceed 19.9% of the aggregate total of shares of Class A Common Stock and the Company’s Class B Common Stock outstanding on November 2, 2023 or the date immediately preceding the date of any shares of Class A Common Stock issued pursuant to the Tempus Agreement, whichever is less (the “Share Maximum”).</w:t>
      </w:r>
    </w:p>
    <w:p>
      <w:pPr>
        <w:spacing w:after="0" w:line="21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 the event that all or any portion of the Initial License Fee or any annual license fee is payable in the form of shares of Class A Common Stock, the Company shall, subject to the Share Maximum, issue to Tempus a number of</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shares of Class A Common Stock equal to (1) the amount of such fee divided by (2) the volume weighted average price of Class A Common Stock for the seven trading day period ending on the trading day immediately preceding (and including) the date that is five business days before the date on which such fee is paid (any shares so issued, the “Tempus Shares”).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agreed to use commercially reasonable efforts to prepare and file a registration statement (or a prospectus supplement to an effective registration statement on Form S-3ASR that will become automatically effective upon filing with the SEC pursuant to Rule 462(e)) with the Securities and Exchange Commission as soon as practicable but in no event later than 30 days after each issuance of Tempus Shares under the Tempus Agreement, and to use its commercially reasonable efforts to have the registration statement declared effective as promptly as possible but in any event within 30 days following initially filing (or up to 90 days in the event of full SEC review). After such registration, the Company has agreed to use commercially reasonable efforts to keep such registration statement effective until such date that all Tempus Shares covered by such registration statement have been sold thereunder or may be sold without restriction or volume limitation under Rule 144 as promulgated by the SEC under the Securities Act of 1933, as amended.</w:t>
      </w:r>
    </w:p>
    <w:p>
      <w:pPr>
        <w:spacing w:after="0" w:line="21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Tempus Agreement also grants the Company the right to access and use Tempus’ LENS software that permits the viewing and analysis of clinical, molecular, and other health data maintained by Tempus. Company will pay Tempus a six-figure annual license fee for the duration of the Term for the use of such software.</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mutual rights to terminate for an uncured breach of the Tempus Agreement, the Company may terminate the Tempus Agreement for convenience after three years upon 90 days prior notice, subject to payment by the Company of an early termination fee equal to (a) an amount per unique record that Company has downloaded prior to termination less (b) the sum of any annual license fees paid prior to termination, which could result in early payment of the aggregate annual license fees contemplated by the Tempus Agreement to the extent all records made available under the Tempus Agreement have been downloaded.</w:t>
      </w: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Either party may assign its rights under the Tempus Agreement subject to limited restrictions, but the Company may not assign the Tempus Agreement without Tempus’s consent if the proposed assignee is a large pharmaceutical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REC-994: University of Utah Research Foundation Agreements</w:t>
      </w: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February 2016, we entered into an Amended and Restated License Agreement with the University of Utah Research Foundation, or UURF, pursuant to which we obtained an exclusive license under certain patents and a non-exclusive license under certain know-how, in each case controlled by UURF and related to the drug tempol, or REC-994, to make, have made, use, offer to sell, sell, import and distribute products incorporating REC-994 worldwide for the treatment of cerebral cavernous malformation, or CCM. In partial consideration for the license rights, we issued UURF equity in our company. In addition, we agreed to reimburse UURF for a specified portion of costs associated with the filing, maintenance and prosecution of the licensed patent rights. The Amended and Restated License Agreement will expire on a country-by-country basis upon the expiration of the last-to-expire patent within the patent rights in the applicable country. UURF may terminate the agreement for an uncured material breach, if we cease commercially diligent efforts to develop or commercialize a licensed product or service, or our bankruptcy or insolvency.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REC-2282: Ohio State Innovation Foundation In-License</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2018, we entered into an Exclusive License Agreement with the Ohio State Innovation Foundation, or OSIF, pursuant to which we obtained an exclusive, sublicensable, non-transferable, royalty-bearing license under certain patents and fully-paid up, royalty-free, nonexclusive license under certain know-how, in each case controlled by OSIF and related to the pan-histone deacetylase inhibitor, OSU-HDAC42, or REC-2282, to develop, make, have made, use, sell, offer for sale and import products incorporating OSU-HDAC42 worldwide. OSIF also assigned certain assets to us, relating to the pharmaceutical composition known as AR-42. OSIF retains the right to use and allow other academic, nonprofit and government institutions to use the licensed intellectual property for research, non-commercial and educational purposes. OSIF shall not practice, have practiced, or transfer such reserved rights for any clinical purpose other than completion of the existing clinical trials at the time of the license agreement without our prior written consent. We are developing REC-2282 for the treatment of NF2 and are evaluating the utility of the compound in additional disease states using our platform.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the agreement, we must use commercially reasonable efforts to commercialize licensed products and are required to meet certain diligence milestones within two years following the execution of the agreement, including the initiation of clinical trials. The license agreement is also limited by and made subject to certain rights and regulations of the government, including the Bayh-Dole Act.</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consideration for the license, we paid OSIF an upfront payment of $2.0 million dollars and are obligated to pay OSIF certain milestones, totaling up to $20.0 million dollars, as well as mid-single digit royalties on net sales of the licensed products. In addition, we owe 25% of any non-royalty sublicensing consideration prior to a Phase II clinical trial or 15% of such sublicensing consideration after initiation of a Phase II clinical trial, provided that milestone payments are creditable against these sublicensing fees. In 2022 we paid OSIF $1.0 million dollars upon dosing of the first patient in the Phase 2 study of REC-2282 for the treatment of NF2.</w:t>
      </w:r>
    </w:p>
    <w:p>
      <w:pPr>
        <w:spacing w:after="0" w:line="2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agreement expires on the expiration of the last valid claim within the licensed patents. We may terminate this agreement on 90 days prior written notice to OSIF. Either party may terminate the agreement on 60 days prior written notice for an uncured, material breach by the other party, or bankruptcy or insolvency of the other party.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REC-4881: Takeda License Agreement</w:t>
      </w:r>
    </w:p>
    <w:p>
      <w:pPr>
        <w:spacing w:after="0" w:line="2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May 2020, we entered into a License Agreement, or the Takeda In-License, with Takeda Pharmaceutical Company Limited, or Takeda, pursuant to which we obtained an exclusive (even as to Takeda and its affiliates), worldwide, sublicensable under certain conditions, transferable, royalty-bearing license to certain Takeda patents, know-how and materials related to develop, manufacture and commercialize Takeda’s clinical-stage compound known as TAK-733, a non-ATP-competitive allosteric inhibitor of MEK1 and MEK2, subject to a non-exclusive, royalty-free, irrevocable, fully paid up, license back to Takeda to use the licensed compounds for non-clinical research purposes. We are currently developing the compound REC-4881 for the treatment of FAP, and patients with spontaneous </w:t>
      </w:r>
      <w:r>
        <w:rPr>
          <w:rFonts w:ascii="Arial" w:cs="Arial" w:eastAsia="Arial" w:hAnsi="Arial"/>
          <w:sz w:val="18"/>
          <w:szCs w:val="18"/>
          <w:i w:val="1"/>
          <w:iCs w:val="1"/>
          <w:color w:val="auto"/>
        </w:rPr>
        <w:t>APC</w:t>
      </w:r>
      <w:r>
        <w:rPr>
          <w:rFonts w:ascii="Arial" w:cs="Arial" w:eastAsia="Arial" w:hAnsi="Arial"/>
          <w:sz w:val="18"/>
          <w:szCs w:val="18"/>
          <w:color w:val="auto"/>
        </w:rPr>
        <w:t>-mutant tumors. We are also evaluating the utility of the compound in additional disease states using our platform.</w:t>
      </w: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required to use commercially reasonable efforts to develop and commercialize at least one licensed product in each of (a) the US, (b) at least three of the following European countries: the United Kingdom, France, Germany, Italy and Spain and (c) Japan.</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Upon execution of the agreement, we paid an upfront fee of $1.5 million to Takeda. Under the Takeda In-License, we are obligated to pay Takeda milestones amounts totaling up to $39.5 million upon achievement of specified development and regulatory milestone events. In addition, we are obligated to pay Takeda low-to-mid single-digit royalties based on net sales of products containing the licensed compounds by us, our affiliates or sublicensees, subject to specified reductions. Our obligation to pay royalties continues on a country-by-country basis until the latest of expiration of the last to expire patent licensed by Takeda that covers the product, expiration of any regulatory exclusivity period for the product and ten years after the first commercial sale of the product, in such country. As of the date of this filing, we have not made any milestone or royalty payments to Takeda.</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party has the right to terminate the license agreement for the other party’s material uncured breach, insolvency or bankruptcy. In addition, we may terminate the agreement without cause any time after May 2023, and Takeda may terminate the agreement if we have not conducted any material activities in support of the development or commercialization of the licensed compounds or any product containing a licensed compound and have not demonstrated that we used commercially reasonable efforts towards the development of such compounds or products for a period of 12 consecutive months and such failure is not due to events beyond our reasonable control. Further, Takeda may terminate the license agreement if we challenge the validity or enforceability of a licensed patent. Upon termination for any reason other than for Takeda’s breach of the license agreement, upon Takeda’s request we are obligated to negotiate in good faith, for a period of 120 days, terms and conditions of a license to Takeda under certain technology developed by us during the term of the agreement for the purpose of developing, commercializing and otherwise exploiting the licensed compounds and products containing the licensed compounds.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Epsilon: Bayer License Agreement</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2023, we entered into a License Agreement with Bayer, the Bayer License Agreement, pursuant to which we obtained (a) an assignment of certain compounds, know-how and inventions related primarily to fibrosis, and (b) an exclusive, sublicensable and royalty-bearing license under certain project know-how related to fibrosis to research, develop, manufacture and commercialize products as independent research tools in all fields worldwide, subject to a non-exclusive, royalty-free license back to Bayer to use such licensed project know-how solely for internal research and development purposes.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use commercially reasonable efforts to develop and commercialize at least one product in one of the following countries: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the US, (b) Japan, or (c) a country of the European Union.</w:t>
      </w:r>
    </w:p>
    <w:p>
      <w:pPr>
        <w:spacing w:after="0" w:line="234" w:lineRule="exact"/>
        <w:rPr>
          <w:sz w:val="20"/>
          <w:szCs w:val="20"/>
          <w:color w:val="auto"/>
        </w:rPr>
      </w:pPr>
    </w:p>
    <w:p>
      <w:pPr>
        <w:ind w:right="80" w:hanging="17"/>
        <w:spacing w:after="0" w:line="257" w:lineRule="auto"/>
        <w:rPr>
          <w:sz w:val="20"/>
          <w:szCs w:val="20"/>
          <w:color w:val="auto"/>
        </w:rPr>
      </w:pPr>
      <w:r>
        <w:rPr>
          <w:rFonts w:ascii="Arial" w:cs="Arial" w:eastAsia="Arial" w:hAnsi="Arial"/>
          <w:sz w:val="18"/>
          <w:szCs w:val="18"/>
          <w:color w:val="auto"/>
        </w:rPr>
        <w:t>Under the Bayer License Agreement, we are obligated to pay Bayer milestone amounts totaling up to approximately $34 million upon achievement of specified development, regulatory and sales milestones. In addition, we are obligated to pay Bayer low single-digit royalties based on net sales of products containing certain compounds by us, our affiliates, or sublicensees, subject to specified reductions. Our obligation to pay royalties continues on a product-by-product and country-by-country basis until the latest of: (a) expiration of the last to expire patent filed by us, our affiliates or sublicensees that covers the product, and (b) ten years after the first commercial sale of the product in such country. As of the date of this filing, we have not made any milestone or royalty payments to Bayer.</w:t>
      </w:r>
    </w:p>
    <w:p>
      <w:pPr>
        <w:spacing w:after="0" w:line="209" w:lineRule="exact"/>
        <w:rPr>
          <w:sz w:val="20"/>
          <w:szCs w:val="20"/>
          <w:color w:val="auto"/>
        </w:rPr>
      </w:pPr>
    </w:p>
    <w:p>
      <w:pPr>
        <w:ind w:right="200" w:hanging="17"/>
        <w:spacing w:after="0" w:line="262" w:lineRule="auto"/>
        <w:rPr>
          <w:sz w:val="20"/>
          <w:szCs w:val="20"/>
          <w:color w:val="auto"/>
        </w:rPr>
      </w:pPr>
      <w:r>
        <w:rPr>
          <w:rFonts w:ascii="Arial" w:cs="Arial" w:eastAsia="Arial" w:hAnsi="Arial"/>
          <w:sz w:val="18"/>
          <w:szCs w:val="18"/>
          <w:color w:val="auto"/>
        </w:rPr>
        <w:t>Each party has the right to terminate the license agreement for the other party’s material uncured breach. In addition, we may terminate the agreement without cause. Upon termination by us without cause or by Bayer for our breach, Bayer would have the right to use, practice, develop and exploit (including the right to sublicense) certain assigned know-how solely for Bayer’s internal research and development purposes.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efforts to date have resulted in several clinical-stage programs, an expansive pipeline of differentiated programs in early discovery and preclinical development, several partnerships with large pharma and technology companies, as well as an intellectual property portfolio comprising patents, trademarks, software and trade secrets. We believe that our differentiated approach provides us with a significant competitive advantage. We are a hybrid company, competing within multiple categories of the pharmaceutical, biotechnology, and technology industries where companies are similarly working to integrate rapidly advancing technologies into their drug discovery and development activities and/or are creating scalable scientific platforms. Notable competitors include:</w:t>
      </w:r>
    </w:p>
    <w:p>
      <w:pPr>
        <w:spacing w:after="0" w:line="209" w:lineRule="exact"/>
        <w:rPr>
          <w:sz w:val="20"/>
          <w:szCs w:val="20"/>
          <w:color w:val="auto"/>
        </w:rPr>
      </w:pPr>
    </w:p>
    <w:p>
      <w:pPr>
        <w:ind w:left="660" w:right="4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TechBio Companies. </w:t>
      </w:r>
      <w:r>
        <w:rPr>
          <w:rFonts w:ascii="Arial" w:cs="Arial" w:eastAsia="Arial" w:hAnsi="Arial"/>
          <w:sz w:val="18"/>
          <w:szCs w:val="18"/>
          <w:color w:val="auto"/>
        </w:rPr>
        <w:t>Such companies apply computational tools to unlock novel insights or accelerate drug discovery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across different points in the value chain. Representative examples include Relay Therapeutics, Exscientia, Isomorphic Labs, Schrodinger, and AbCellera.</w:t>
      </w:r>
    </w:p>
    <w:p>
      <w:pPr>
        <w:spacing w:after="0" w:line="197" w:lineRule="exact"/>
        <w:rPr>
          <w:rFonts w:ascii="Arial" w:cs="Arial" w:eastAsia="Arial" w:hAnsi="Arial"/>
          <w:sz w:val="18"/>
          <w:szCs w:val="18"/>
          <w:color w:val="auto"/>
        </w:rPr>
      </w:pPr>
    </w:p>
    <w:p>
      <w:pPr>
        <w:ind w:left="660" w:right="60" w:hanging="328"/>
        <w:spacing w:after="0" w:line="291"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Scalable Platform Companies</w:t>
      </w:r>
      <w:r>
        <w:rPr>
          <w:rFonts w:ascii="Arial" w:cs="Arial" w:eastAsia="Arial" w:hAnsi="Arial"/>
          <w:sz w:val="17"/>
          <w:szCs w:val="17"/>
          <w:color w:val="auto"/>
        </w:rPr>
        <w:t>. Such companies are applying novel scientific approaches or engineering novel therapeutic modalities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potential to seed large numbers of therapeutic candidates. These companies may compete directly with our pipeline of predominantly small molecule therapeutics. Representative companies include Moderna, BioNTech, and Roivant Sciences.</w:t>
      </w:r>
    </w:p>
    <w:p>
      <w:pPr>
        <w:spacing w:after="0" w:line="179"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Traditional Biopharma Companies</w:t>
      </w:r>
      <w:r>
        <w:rPr>
          <w:rFonts w:ascii="Arial" w:cs="Arial" w:eastAsia="Arial" w:hAnsi="Arial"/>
          <w:sz w:val="18"/>
          <w:szCs w:val="18"/>
          <w:color w:val="auto"/>
        </w:rPr>
        <w:t>. Such companies, while primarily engaged in late-stage clinical development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are increasingly making their own investments in the application of ML and advanced computational tools across the drug discovery and development value chain. Such investments may include partnerships with other biotechnology companies (including Recursion) from which we may benefit. Representative companies include Janssen (a subsidiary of Johnson &amp; Johnson), Merck, and Pfizer.</w:t>
      </w:r>
    </w:p>
    <w:p>
      <w:pPr>
        <w:spacing w:after="0" w:line="206"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Large Technology Companies. </w:t>
      </w:r>
      <w:r>
        <w:rPr>
          <w:rFonts w:ascii="Arial" w:cs="Arial" w:eastAsia="Arial" w:hAnsi="Arial"/>
          <w:sz w:val="18"/>
          <w:szCs w:val="18"/>
          <w:color w:val="auto"/>
        </w:rPr>
        <w:t>Large technology companies constantly seek growth opportunities. Technology-enabled drug</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discovery may represent a compelling opportunity for these companies, some of which have research groups or subsidiaries focused on drug discovery and others of which have signed large technology partnerships with biopharma companies. Representative companies include Alphabet, Microsoft, and Amazon.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intellectual property focus is the industrialization of phenomics, a new class of -omics data, and have applied industry knowledge to date to continue to build out and expand a variety of other cutting-edge technologies. Further, we have generated algorithmic, software and statistical insights in the course of our work. Within the burgeoning field of technology-enabled drug discovery, we seek to protect our innovations, with a combination of patents and trade secrets and for each novel technology or improvement we develop, we consider the appropriate course of intellectual property protection.</w:t>
      </w:r>
    </w:p>
    <w:p>
      <w:pPr>
        <w:spacing w:after="0" w:line="2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commercial success depends in part on our ability to obtain, maintain, enforce and defend intellectual property rights owned or licensed by us that are directed to our current and future drug product candidates and methods of their use, drug development and product development technologies, and know how, without infringing, misappropriating or otherwise violating the intellectual property and proprietary rights of others, and to prevent others from infringing, misappropriating or otherwise violating our intellectual property and proprietary rights. We seek to protect our proprietary position by, among other methods, filing or licensing U.S. and foreign patents and patent applications related to our proprietary technology, inventions and improvements that are important to the development and implementation of our business. We also rely on trademarks, trade secrets, know-how, continuing technological innovation and potential in-licensing opportunities to develop and maintain our proprietary position.</w:t>
      </w:r>
    </w:p>
    <w:p>
      <w:pPr>
        <w:spacing w:after="0" w:line="21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for our current and future drug product candidates that we are developing and seeking to commercialize, we have and will continue to pursue composition of matter and therapeutic method of use patents, dosage formulation patents, therapeutic use patents on novel indications, and other relevant aspects of our current or future drug product candidates, where available. In addition, we have and will continue to pursue patents with respect to our proprietary drug discovery platform and drug development technologies. We may also continue to seek patent protection, either alone or jointly with our collaborators, as our collaboration agreements may dictate.</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believe in the benefits of open-source science and that open-source data sharing drives value for us and society as a whole. For example, we have published certain key findings and datasets derived from our platform around COVID-19 under terms designed to allow anyone to make use of the data, in the hope that the data would be useful in fighting the global pandemic. We have also released some of the largest open-sourced biological datasets in the world under terms that allow for broad academic and non-commercial use.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37"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As of February 2024, we currently own or license at least 300 patents or patent applications worldwide, including over 170 issued patents or allowed patent applications in the US and other strategic markets, covering all aspects of our business, including Platform IP and Program IP.</w:t>
      </w:r>
    </w:p>
    <w:p>
      <w:pPr>
        <w:spacing w:after="0" w:line="144" w:lineRule="exact"/>
        <w:rPr>
          <w:sz w:val="20"/>
          <w:szCs w:val="20"/>
          <w:color w:val="auto"/>
        </w:rPr>
      </w:pPr>
    </w:p>
    <w:p>
      <w:pPr>
        <w:ind w:left="660" w:hanging="328"/>
        <w:spacing w:after="0" w:line="24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Platform IP: Approximately one-third of the patents and patent applications that we own or license worldwide relate to the Recursion platform, including patents and applications related to the Recursion OS IP, as well as many other inventions related to cell perturbations, gene editing, drug discovery, drug development and hardware solutions. Through our acquisition of Cyclica Inc., we obtained approximately 4 patent families related to drug discovery. We also pursue a strategy of seeking patent protection on smaller discrete inventions throughout the breadth of our pipeline, ranging from experiment design, operations within our labs, data collection and analysis (including deep learning insights).</w:t>
      </w:r>
    </w:p>
    <w:p>
      <w:pPr>
        <w:spacing w:after="0" w:line="21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Recursion Program IP: A breakdown of our Program IP portfolio is below:</w:t>
      </w:r>
    </w:p>
    <w:p>
      <w:pPr>
        <w:spacing w:after="0" w:line="238" w:lineRule="exact"/>
        <w:rPr>
          <w:rFonts w:ascii="Arial" w:cs="Arial" w:eastAsia="Arial" w:hAnsi="Arial"/>
          <w:sz w:val="18"/>
          <w:szCs w:val="18"/>
          <w:color w:val="auto"/>
        </w:rPr>
      </w:pPr>
    </w:p>
    <w:p>
      <w:pPr>
        <w:ind w:left="1300" w:right="100" w:hanging="320"/>
        <w:spacing w:after="0" w:line="242" w:lineRule="auto"/>
        <w:tabs>
          <w:tab w:leader="none" w:pos="1296"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REC-2282: We exclusively license OSIF’s interest in patents and patent applications related to REC-2282 from OSIF; these patents and patent applications relate to composition of matter and methods of use for REC-2282. Currently, we expect our licensed issued patents related to REC-2282 to generally expire between 2024 and 2035, excluding any patent term extension, or other mechanisms for effecting patent term, and assuming payment of all appropriate maintenance, renewal, annuity or other governmental fee. With respect to NF-2, orphan drug exclusivity in the U.S. would run seven years from marketing authorization.</w:t>
      </w:r>
    </w:p>
    <w:p>
      <w:pPr>
        <w:spacing w:after="0" w:line="205" w:lineRule="exact"/>
        <w:rPr>
          <w:rFonts w:ascii="Arial" w:cs="Arial" w:eastAsia="Arial" w:hAnsi="Arial"/>
          <w:sz w:val="18"/>
          <w:szCs w:val="18"/>
          <w:color w:val="auto"/>
        </w:rPr>
      </w:pPr>
    </w:p>
    <w:p>
      <w:pPr>
        <w:ind w:left="1300" w:right="40" w:hanging="320"/>
        <w:spacing w:after="0" w:line="256" w:lineRule="auto"/>
        <w:tabs>
          <w:tab w:leader="none" w:pos="1296"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REC-994: We exclusively license UURF’s interest in patents and patent applications related to use of REC-994 for treatment or prevention of CCM from UURF. Currently, we expect our licensed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1300"/>
        <w:spacing w:after="0" w:line="253" w:lineRule="auto"/>
        <w:rPr>
          <w:sz w:val="20"/>
          <w:szCs w:val="20"/>
          <w:color w:val="auto"/>
        </w:rPr>
      </w:pPr>
      <w:r>
        <w:rPr>
          <w:rFonts w:ascii="Arial" w:cs="Arial" w:eastAsia="Arial" w:hAnsi="Arial"/>
          <w:sz w:val="18"/>
          <w:szCs w:val="18"/>
          <w:color w:val="auto"/>
        </w:rPr>
        <w:t>issued patents related to REC-994 to generally expire in 2035, excluding any patent term extension, or other mechanisms for effecting patent term, and assuming payment of all appropriate maintenance, renewal, annuity or other governmental fee. With respect to CCM, orphan drug exclusivity in the U.S. would run seven years from marketing authorization.</w:t>
      </w:r>
    </w:p>
    <w:p>
      <w:pPr>
        <w:spacing w:after="0" w:line="196" w:lineRule="exact"/>
        <w:rPr>
          <w:sz w:val="20"/>
          <w:szCs w:val="20"/>
          <w:color w:val="auto"/>
        </w:rPr>
      </w:pPr>
    </w:p>
    <w:p>
      <w:pPr>
        <w:ind w:left="1300" w:right="300" w:hanging="320"/>
        <w:spacing w:after="0"/>
        <w:tabs>
          <w:tab w:leader="none" w:pos="12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REC-4881: We own patent applications, or exclusively license Takeda’s interest in patents and patent applications from Takeda, related to composition of matter and methods of use for REC-4881. Currently, we expect our licensed issued patents related to REC-4881 to generally expire in 2029, excluding any patent term extension, or other mechanisms for effecting patent term, and assuming payment of all appropriate maintenance, renewal, annuity or other governmental fee. With respect to FAP, orphan drug exclusivity in the U.S. would run seven years from marketing authorization.</w:t>
      </w:r>
    </w:p>
    <w:p>
      <w:pPr>
        <w:spacing w:after="0" w:line="207" w:lineRule="exact"/>
        <w:rPr>
          <w:rFonts w:ascii="Arial" w:cs="Arial" w:eastAsia="Arial" w:hAnsi="Arial"/>
          <w:sz w:val="18"/>
          <w:szCs w:val="18"/>
          <w:color w:val="auto"/>
        </w:rPr>
      </w:pPr>
    </w:p>
    <w:p>
      <w:pPr>
        <w:ind w:left="1300" w:right="60" w:hanging="320"/>
        <w:spacing w:after="0" w:line="247" w:lineRule="auto"/>
        <w:tabs>
          <w:tab w:leader="none" w:pos="12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REC-3964: We own patent applications, including an allowed US patent application, related to the composition of matter and methods of use of REC-3964. Upon issuance, we expect our patents resulting from these patent applications will expire no earlier than 2042, excluding any patent term adjustment or patent term extension, or other mechanisms for effecting patent term, and assuming payment of all appropriate maintenance, renewal, annuity or other governmental fee.</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biotechnology has emerged in the United States and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platform and drug candidates and the methods used to manufacture them. Moreover, our issued patents and those that may issue in the future may not guarantee us the right to practice our technology in relation to the commercialization of our drug product candidates. The area of patent and other intellectual property rights in biotechnology is an evolving one with many risks and uncertainties, which may prevent us from commercializing our drug candidates and future drug candidates and practicing our proprietary technology.</w:t>
      </w: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issued patents and those that may issue in the future may be challenged, narrowed, circumvented, or invalidated, which could limit our ability to stop competitors from marketing related platforms or drug candidates or limit the length of the term of patent protection that we may have for our drug candidates, future drug candidates and platforms. In addition, the rights granted under any issued patents may not provide us with complete protection or competitive advantages against competitors with similar technology. Furthermore, our competitors may independently develop similar technologies that achieve similar outcomes but with different approaches. For these reasons, we may have competition for our drug candidates. Moreover, the time required for the development, testing and regulatory review of our candidate products may shorten the length of effective patent protection following commercialization. For this and other risks related to our proprietary technology, inventions, improvements, platforms and drug candidates, please see the section titled “Risk Factors—Risks Related to Our Intellectual Property.”</w:t>
      </w:r>
    </w:p>
    <w:p>
      <w:pPr>
        <w:spacing w:after="0" w:line="20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commercial success will also depend in part on not infringing upon the intellectual property and proprietary rights of third parties. It is uncertain whether the issuance of any third -party patent would require us to alter our development or commercial strategies for our products or processes or to obtain licenses or cease certain activities. Our breach of any license agreements or failure to obtain a license to proprietary rights that we may require to develop or commercialize our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“Risk Factors— 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Some of our pending patent applications in the United States are provisional patent applications. 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A U.S. patent also may be accorded patent term adjustment, or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(PTE), which permits patent term restoration as compensation for the patent term lost during the FDA regulatory review process. However, with respect to patent term extensions granted as a result of the FDA regulatory review period, the restoration period cannot be longer than five years, the total patent term including the restoration period must not exceed 14 years following FDA approval, only one patent applicable to each regulatory review period may be extended and only those issued claims covering the approved drug or a method for using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Rapidly evolving patent laws in the United States and elsewhere make it difficult to predict the breadth of claims that may be allowed or enforced in our patents. Moreover, patent offices in general can require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are able to obtain patents, the patents may be substantially narrower than anticipated.</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ability to maintain and defend our intellectual property and proprietary position for our drug product candidates, methods of their use, and other proprietary technologies will depend on our success in obtaining effective claims and enforcing those claims once granted. We do not know whether any of the patent applications that we may file or license from third parties will result in the issuance of any patents. The issued patents that we own, may receive in the future, or license from third parties may be challenged, invalidated, held unenforceable, narrowed or circumvented, and the rights granted under any issued patents may not provide us with proprietary protection or competitive advantages against third parties, including our competitors, with similar technology. Furthermore, third parties, including our competitors, may be able to independently develop and commercialize similar drugs or products, or duplicate our technology, business model or strategy without infringing our patents.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5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As of February 2024, our trademark portfolio comprises more than 70 registered trademarks or active trademark applications worldwide, among which we have issued trademarks in the U.S. for “Recursion” and “Recursion Pharmaceuticals.”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5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to our reliance on patent protection for our inventions, drug candidates and programs, we also rely on trade secrets, know-how, confidentiality agreements and continuing technological innovation to develop and maintain our competitive position. For example, some elements of manufacturing processes, proprietary assays,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analytics techniques and processes, knowledge gained through clinical experience such as approaches to dosing and administration and management of patients,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the misappropriation of our proprietary technology by third parties. However, such agreements and policies may be breached, and we may not have adequate remedies for such breaches. For more information regarding the risks related to our intellectual property, see “Risk Factors—Risks Related to Our Intellectual Property.”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can be marketed, considerable data demonstrating its quality, safety and efficacy must be obtained, organized into a format specific for each regulatory authority, submitted for review and approved by the relevant regulatory authority.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the FDA regulates drugs under the Federal Food, Drug, and Cosmetic Act, or FDCA.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212" w:lineRule="exact"/>
        <w:rPr>
          <w:sz w:val="20"/>
          <w:szCs w:val="20"/>
          <w:color w:val="auto"/>
        </w:rPr>
      </w:pPr>
    </w:p>
    <w:p>
      <w:pPr>
        <w:ind w:left="660" w:right="120" w:hanging="328"/>
        <w:spacing w:after="0" w:line="262"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drug candidates are considered small molecule drugs and must be approved by the FDA through the new drug application, or NDA, process before they may be legally marketed in the United States. The process generally involves the following: completion of extensive preclinical studies in accordance with applicable regulations, including studies conducted in accordance with good laboratory practice, or GLP;</w:t>
      </w:r>
    </w:p>
    <w:p>
      <w:pPr>
        <w:spacing w:after="0" w:line="203"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human clinical trials in the U.S. may begin;</w:t>
      </w:r>
    </w:p>
    <w:p>
      <w:pPr>
        <w:spacing w:after="0" w:line="179"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trial site before each trial may be initiated;</w:t>
      </w:r>
    </w:p>
    <w:p>
      <w:pPr>
        <w:spacing w:after="0" w:line="179"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or GCP, requirements and other clinical trial-related regulations to establish substantial evidence of the safety and efficacy of the investigational product for each proposed indication;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filing for review;</w:t>
      </w:r>
    </w:p>
    <w:p>
      <w:pPr>
        <w:spacing w:after="0" w:line="252"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NDA filing;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user fees for FDA review of the NDA;</w:t>
      </w:r>
    </w:p>
    <w:p>
      <w:pPr>
        <w:spacing w:after="0" w:line="252"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 and</w:t>
      </w:r>
    </w:p>
    <w:p>
      <w:pPr>
        <w:spacing w:after="0" w:line="179"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80"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data required to support an NDA is generated in two distinct developmental stages: preclinical and clinical. The preclinical and clinical testing and approval process requires substantial time, effort and financial resources, and we cannot be certain that any approvals for any current and future drug candidates will be granted on a timely basis, or at all.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Before testing any drug product candidate in humans, the product candidate must undergo rigorous preclinical testing. The conduct of preclinical studies is subject to federal regulations and requirements, including GLP and ICH regulations for safety/toxicology studies. 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Preclinical studies include laboratory evaluation of product chemistry and formulation,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which are generally required for FDA approval of an NDA, to commence. A separate submission to an existing IND must also be made for each successive clinical trial conducted during product development along with any subsequent changes to the investigational plan. Some long-term nonclinical testing, such as animal tests of reproductive adverse events and carcinogenicity, may continue after the IND is submitted.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must also approve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21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generally accept a well-designed and well-conducted foreign clinical trial not conducted under an IND if the trial was conducted in accordance with GCP and GMP requirements, and the FDA is able to validate the data through an onsite inspection, if deemed necessary, and the practice of medicine in the foreign country is consistent with the United States.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Clinical trials in the United States generally are conducted in three sequential phases, known as Phase 1, Phase 2 and Phase 3, and may overlap.</w:t>
      </w:r>
    </w:p>
    <w:p>
      <w:pPr>
        <w:spacing w:after="0" w:line="180" w:lineRule="exact"/>
        <w:rPr>
          <w:sz w:val="20"/>
          <w:szCs w:val="20"/>
          <w:color w:val="auto"/>
        </w:rPr>
      </w:pPr>
    </w:p>
    <w:p>
      <w:pPr>
        <w:ind w:left="660" w:right="60" w:hanging="328"/>
        <w:spacing w:after="0" w:line="26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drug candidate. The primary purpose of these clinical trials is to assess the metabolism, pharmacologic action, tolerability and safety of the drug, the side effects associated with increasing doses, and if possible to gain early evidence on effectiveness.</w:t>
      </w:r>
    </w:p>
    <w:p>
      <w:pPr>
        <w:spacing w:after="0" w:line="203"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and dosing schedule required to produce the desired benefits. At the same time, safety and further pharmacokinetic and pharmacodynamic information are collected, possible adverse effects and safety risks are identified, and a preliminary evaluation of efficacy is conducted.</w:t>
      </w:r>
    </w:p>
    <w:p>
      <w:pPr>
        <w:spacing w:after="0" w:line="197" w:lineRule="exact"/>
        <w:rPr>
          <w:rFonts w:ascii="Arial" w:cs="Arial" w:eastAsia="Arial" w:hAnsi="Arial"/>
          <w:sz w:val="18"/>
          <w:szCs w:val="18"/>
          <w:color w:val="auto"/>
        </w:rPr>
      </w:pPr>
    </w:p>
    <w:p>
      <w:pPr>
        <w:ind w:left="660" w:right="40" w:hanging="328"/>
        <w:spacing w:after="0" w:line="282" w:lineRule="auto"/>
        <w:tabs>
          <w:tab w:leader="none" w:pos="6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8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Post-approval trials, sometimes referred to as Phase 4 clinical trials, are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The sponsor is also responsible for submitting written IND safety reports, including reports of serious and unexpected suspected adverse events, findings from other studies suggesting a significant risk to humans exposed to the drug,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and any clinically significant increase in the rate of a serious suspected adverse reaction over that listed in the protocol or investigator brochure.</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Concurrent with clinical trials, companies usually complete additional animal safety studies and also must develop additional information about the chemistry and physical characteristics of the drug as well as finalize a process for manufacturing the product in commercial quantities in accordance with cGMP requirements. The manufacturing process, as performed by the manufacturing facility, must be capable of consistently producing quality batches of our drug candidates. Additionally, appropriate packaging must be selected and tested, and stability studies must be conducted to demonstrate that our drug candidates do not undergo unacceptable deterioration over their labeled shelf life.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Process</w:t>
      </w:r>
    </w:p>
    <w:p>
      <w:pPr>
        <w:spacing w:after="0" w:line="2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to ensure product quality and other relevant data. In short, the NDA is a request for approval to market the drug in the United States for one or more specified indications and must contain proof of safety and efficacy for a drug.</w:t>
      </w: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legally marketed in the United States.</w:t>
      </w:r>
    </w:p>
    <w:p>
      <w:pPr>
        <w:spacing w:after="0" w:line="206"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Under the Prescription Drug User Fee Act, or PDUFA, as amended, each NDA must be accompanied by a user fee. FDA adjusts the PDUFA user fees on an annual basis. PDUFA also imposes an annual program fee for each marketed human drug.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FDA reviews all submitted NDAs before it accepts them for filing and may request additional information rather than accepting the NDA for filing. The FDA must make a decision on accepting an NDA for filing within 60 days of receipt. Once the submission is accepted for filing, the FDA begins an in-depth review of the NDA. Under the goals and policies agreed to by the FDA under PDUFA, the FDA has ten months, from the filing date, in which to complete its initial review of a new molecular-entity NDA and respond to the applicant, and six months from the filing date of a new molecular-entity NDA designated for priority review. The FDA does not always meet its PDUFA goal dates for standard and priority NDAs, and the review process is often extended by FDA requests for additional information or clarification.</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additional pivotal Phase 3 clinical trial(s) and/or other significant and time-consuming requirements related to clinical trials, preclinical studies and/or manufacturing. If a Complete Response Letter is issued, the applicant may either resubmit the NDA, addressing all of the deficiencies identified in the letter, or withdraw the application. Even if such data and information are submitted, the FDA may decide that the NDA</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does not satisfy the criteria for approval. Data obtained from clinical trials are not always conclusive and the FDA may interpret data differently than we interpret the same data.</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 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Under the Orphan Drug Act, the FDA may grant an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drug candidate is determined to be contained within the scope of the competitor’s product for the same indication.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approval, but ideally no later than the pre-NDA meeting with the FDA.</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 product may also be eligible for accelerated approval, if it treats a serious or life-threatening condition and generally provides a meaningful advantage over available therapies. In addition, it must demonstrate an effect on 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surrogate endpoint that is reasonably likely to predict clinical benefit or on a clinical endpoint that can be measured earlier than irreversible morbidity or mortality, or IMM, which is reasonably likely to predict an effect on IMM or other clinical benefit. As a condition of approval, the FDA may require that a sponsor of a drug receiving accelerated approval perform adequate and well-controlled post-marketing clinical trials. FDA may withdraw drug approval or require changes to the labeled indication of the drug if confirmatory post-market trials fail to verify clinical benefit or do not demonstrate sufficient clinical benefit to justify the risks associated with the drug. If the FDA concludes that a drug shown to be effective can be safely used only if distribution or use is restricted, it may require such post-marketing restrictions as it deems necessary to assure safe use of the product.</w:t>
      </w:r>
    </w:p>
    <w:p>
      <w:pPr>
        <w:spacing w:after="0" w:line="2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designations do not change the standards for approval, but may expedite the development or approval process.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events and comply with promotion and advertising requirements, which include restrictions on promoting drugs for unapproved uses or patient populations, known as “off-label promotion,”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0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FDA regulations require that products be manufactured in specific approved facilities and in accordance with cGMP regulations.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208"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91" w:lineRule="exact"/>
        <w:rPr>
          <w:sz w:val="20"/>
          <w:szCs w:val="20"/>
          <w:color w:val="auto"/>
        </w:rPr>
      </w:pPr>
    </w:p>
    <w:p>
      <w:pPr>
        <w:ind w:left="5520" w:right="40" w:hanging="5188"/>
        <w:spacing w:after="0" w:line="944" w:lineRule="auto"/>
        <w:tabs>
          <w:tab w:leader="none" w:pos="6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Safe and effective use of a therapeutic product may rely upon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for use in selecting the patients that will be more likely to respond to that therapy. If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is essential to the safe and effective use of the therapeutic product and if the manufacturer wishes to market or distribute such diagnostic for use as a companion diagnostic, then the FDA will require separate approval or clearance of the diagnostic as a companion diagnostic to the therapeutic product. According to FDA guidance, an unapproved or uncleared companion diagnostic device used to make treatment decisions in clinical trials of a drug generally will be considered an investigational medical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The sponsor of the diagnostic device will be required to comply with the IDE regulations for clinical studies involving the investigational diagnostic device. According to the guidance, if a diagnostic device and a drug are to be studied together to support their respective approvals, both products can be studied in the same clinical trial, if the trial meets both the requirements of the IDE regulations and the IND regulations. The guidance provides that depending on the details of the clinical trial protocol, the investigational product(s), and subjects involved, a sponsor may seek to submit an IDE alone (e.g., if the drug has already been approved by FDA and is used consistent with its approved labeling), or both an IND and an IDE.</w:t>
      </w:r>
    </w:p>
    <w:p>
      <w:pPr>
        <w:spacing w:after="0" w:line="21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Pursuing FDA approval/clearance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would require either a pre-market notification, also called 510(k) clearance, or a pre-market approval, or PMA, or a de novo classification for that diagnostic. The review of companion diagnostics involves coordination of review with the FDA’s Center for Devices and Radiological Health.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clearance process</w:t>
      </w:r>
    </w:p>
    <w:p>
      <w:pPr>
        <w:spacing w:after="0" w:line="2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210"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 novo classification process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a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21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Obtaining FDA marketing authorization, de novo down-classification, or approval for medical devices is expensive and uncertain, may take several years and generally requires significant scientific and clinical data.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PMA process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As part of the PMA review, the FDA will typically inspect the manufacturer’s facilities for compliance with the Quality System Regulation, or QSR, which imposes extensive testing, control, documentation and other quality assurance and GMP requirements.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After a device is placed on the market, it remains subject to significant regulatory requirements. Among other requirements, medical devices may be marketed only for the uses and indications for which they are cleared or approved, device manufacturers must establish registration and device listings with the FDA and a medical device manufacturer’s manufacturing processes and those of its suppliers are required to comply with the applicable portions of the Quality System Regulation, or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and the FDA also may inspect foreign facilities that export products to the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250" w:lineRule="exact"/>
        <w:rPr>
          <w:sz w:val="20"/>
          <w:szCs w:val="20"/>
          <w:color w:val="auto"/>
        </w:rPr>
      </w:pPr>
    </w:p>
    <w:p>
      <w:pPr>
        <w:ind w:left="660" w:right="120" w:hanging="328"/>
        <w:spacing w:after="0" w:line="254"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 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ACA (as defined below) provides that the government may assert that a claim including items or services resulting from a violation of the federal Anti-Kickback Statute constitutes a false or fraudulent claim for purposes of the civil False Claims Act;</w:t>
      </w:r>
    </w:p>
    <w:p>
      <w:pPr>
        <w:spacing w:after="0" w:line="212"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federal criminal False Claims Act and Civil Monetary Penalties Laws, and the civil False Claims Act that can be enforced by private citizens through civil whistleblower or qui tam actions, prohibit individuals or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660" w:right="120"/>
        <w:spacing w:after="0" w:line="262" w:lineRule="auto"/>
        <w:rPr>
          <w:sz w:val="20"/>
          <w:szCs w:val="20"/>
          <w:color w:val="auto"/>
        </w:rPr>
      </w:pPr>
      <w:r>
        <w:rPr>
          <w:rFonts w:ascii="Arial" w:cs="Arial" w:eastAsia="Arial" w:hAnsi="Arial"/>
          <w:sz w:val="18"/>
          <w:szCs w:val="18"/>
          <w:color w:val="auto"/>
        </w:rPr>
        <w:t>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203" w:lineRule="exact"/>
        <w:rPr>
          <w:sz w:val="20"/>
          <w:szCs w:val="20"/>
          <w:color w:val="auto"/>
        </w:rPr>
      </w:pPr>
    </w:p>
    <w:p>
      <w:pPr>
        <w:ind w:left="660" w:hanging="328"/>
        <w:spacing w:after="0" w:line="318" w:lineRule="auto"/>
        <w:tabs>
          <w:tab w:leader="none" w:pos="6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w:t>
      </w:r>
    </w:p>
    <w:p>
      <w:pPr>
        <w:spacing w:after="0" w:line="156" w:lineRule="exact"/>
        <w:rPr>
          <w:rFonts w:ascii="Arial" w:cs="Arial" w:eastAsia="Arial" w:hAnsi="Arial"/>
          <w:sz w:val="17"/>
          <w:szCs w:val="17"/>
          <w:color w:val="auto"/>
        </w:rPr>
      </w:pPr>
    </w:p>
    <w:p>
      <w:pPr>
        <w:ind w:left="660" w:right="120" w:hanging="328"/>
        <w:spacing w:after="0" w:line="262"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including mandatory contractual terms, with respect to safeguarding the privacy, security and transmission of individually identifiable health information;</w:t>
      </w:r>
    </w:p>
    <w:p>
      <w:pPr>
        <w:spacing w:after="0" w:line="203"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FD&amp;C Act, which prohibits, among other things, the adulteration or misbranding of drugs, biologics and medical devices;</w:t>
      </w:r>
    </w:p>
    <w:p>
      <w:pPr>
        <w:spacing w:after="0" w:line="252" w:lineRule="exact"/>
        <w:rPr>
          <w:rFonts w:ascii="Arial" w:cs="Arial" w:eastAsia="Arial" w:hAnsi="Arial"/>
          <w:sz w:val="18"/>
          <w:szCs w:val="18"/>
          <w:color w:val="auto"/>
        </w:rPr>
      </w:pPr>
    </w:p>
    <w:p>
      <w:pPr>
        <w:ind w:left="660" w:right="220" w:hanging="328"/>
        <w:spacing w:after="0" w:line="259"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Centers for Medicare &amp; Medicaid Services, or CMS, information regarding certain payments and other transfers of value to physicians and teaching hospitals as well as information regarding ownership and investment interests held by physicians and their immediate family members; and</w:t>
      </w:r>
    </w:p>
    <w:p>
      <w:pPr>
        <w:spacing w:after="0" w:line="206"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state laws that require biotechnology companies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Pricing and rebate programs must also comply with the Medicaid rebate requirements of the U.S. Omnibus Budget Reconciliation Act of 1990 and more recent requirements in the Affordable Care Act of 2010, as amended by the Health Care and Education Reconciliation Act of 2010 (collectively,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and/or medical device products is subject to additional requirements and regulations, including extensive record-keeping, licensing, storage and security requirements intended to prevent the unauthorized sale of pharmaceutical and/or medical device products. Products must meet applicable child-resistant packaging requirements under the U.S. Poison Prevention Packaging Act as well as other applicable consumer safety requirements.</w:t>
      </w:r>
    </w:p>
    <w:p>
      <w:pPr>
        <w:spacing w:after="0" w:line="2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2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Depending upon the timing, duration and specifics of FDA approval of any future drug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a method for using it, or a method of manufacturing it, is eligible for the extension and the application for the extension must be submitted prior to the expiration of the patent. The USPTO, in consultation with the FDA, reviews and approves the application for any patent term extension or restoration. In the future, if and when our products receive FDA approval, we may apply for restoration of patent term for our currently owned or licensed patents covering products eligible for patent term extension to add patent life beyond its current expiration date, depending on the expected length of the clinical trials and other factors involved in the filing of the relevant NDA. Similar provisions are available in Europe and certain other jurisdictions to extend the term of a patent that covers an approved drug. We may seek patent term extension for any of our issued or licensed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an NCE. A drug is an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21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ensures that the rules for conducting clinical trials in the EU will be identical. In the meantime, Clinical Trials Directive 2001/20/EC continues to govern all clinical trials performed in the EU.</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5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the European Economic Area, or EEA, which is composed of the 28 Member States of the European Union and three European Free Trade Association States (Norway, Iceland and Liechtenstein), medicinal products can only be commercialized after obtaining a Marketing Authorization, or MA. There are two types of marketing authorizations.</w:t>
      </w:r>
    </w:p>
    <w:p>
      <w:pPr>
        <w:spacing w:after="0" w:line="198" w:lineRule="exact"/>
        <w:rPr>
          <w:sz w:val="20"/>
          <w:szCs w:val="20"/>
          <w:color w:val="auto"/>
        </w:rPr>
      </w:pPr>
    </w:p>
    <w:p>
      <w:pPr>
        <w:ind w:left="660" w:right="60" w:hanging="328"/>
        <w:spacing w:after="0" w:line="255"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211"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SOPC, and a draft of the labeling and package leaflet, which are sent to the other Member States (referred to as the Member States Concerned) for their approval. If the Member States Concerned raise no objections, based on a potential serious risk to public health, to the assessment, SOPC, labeling or packaging proposed by the RMS, the product is subsequently granted a national MA in all the Member States (i.e., in the RMS and the Member States Concerned).</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above described procedures, before granting the MA, EMA or the competent authorities of the Member States of the EEA make an assessment of the risk-benefit balance of the product on the basis of scientific criteria concerning its quality, safety and efficacy. Similar to the U.S. patent term-restoration, Supplementary Protection Certificates, or SPCs, serve as an extension to a patent right in Europe for up to five years. SPCs apply to specific pharmaceutical products to offset the loss of patent protection due to the lengthy testing and clinical trials these products require prior to obtaining regulatory marketing approval.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CMS decides whether and to what extent a new product will be covered and reimbursed under Medicare, and private third-party payors often follow CMS’s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candidates. There may be especially significant delays in obtaining coverage and reimbursement for newly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approved drugs. Third-party payors may limit coverage to specific drug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2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the price structures of the United States and generally prices tend to be significantly lower.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Patient Protection and Affordable Care Act of 2010, as amended by the Health Care and Education Reconciliation Act of 2010, or collectively, the ACA, was passed which substantially changed the way healthcare is financed by both the government and private insurers, and significantly impacts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or HHS, Secretary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206"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Congress has considered legislation that would repeal or repeal and replace all or part of the ACA. While Congress has not passed comprehensive repeal legislation, two bills affecting the implementation of certain taxes under the ACA have passed.</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November 20, 2020, the HHS Office of Inspector General (“OIG”) issued a final rule eliminating the federal Anti-Kickback Statute safe harbors for rebates paid by manufacturers to Medicare Part D plan sponsors, Medicaid managed care organizations, and those entities’ pharmacy benefit managers, the purpose of which is to further reduce the cost of drug products to consumers. OIG created two safe harbors for certain point-of-sale reductions in price on prescription pharmaceutical products and certain pharmacy benefit manager service fees. On December 2, 2020, OIG and CMS each issued a final rule that set forth modifications to the federal Anti-Kickback Statute, Civil Monetary Penalties Law and Physician Self-Referral Law (or the Stark Law) (respectively) regulations to remove regulatory barriers to value-based care arrangements. CMS’s final rule also clarifies and updates certain long-standing terms that appear throughout the Stark Law regulations.</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2029 unless additional congressional action is taken.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federal Inflation Reduction Act, signed into law on August 16, 2022, contains multiple provisions that could have an adverse effect on our ability to generate revenue, attain profitability, or commercialize our drug candidates if approved, as the statute includes provisions intended to reduce the cost of prescription drugs under Medicare. In addition to the direct impact of the IRA on federal drug reimbursement, the statute may also lead to similar reductions in payments from private payers. Various members of the current U.S. Congress have indicated that lowering drug prices continues to be a legislative and political priority, and some have introduced other proposals aimed at drug pricing. Similarly,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 is located at 41 S Rio Grande Street, Salt Lake City, UT 84101. Our telephone number is (385) 269-0203.</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all amendments to those reports filed or furnished pursuant to Section 13(a) or 15(d) of the Securities Exchange Act of 1934, or the Exchange Act, are available free of charge on our website as soon as reasonably practicable after they are electronically filed with, or furnished to, the SEC. Our website is www.recursion.com. Investors and others should note that we announce material financial and other information to our investors using our investor relations website (https://ir.recursion.com/), SEC filings, press releases, public conference calls and webcasts. We use these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report includes citations to information published by third parties, including academic and industry research, publications, surveys, and studies. While we believe that such information is reliable, we have not separately verified such information, and such information is not a part of, and is not incorporated into, this report.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5" w:right="439" w:bottom="1440"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13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921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together with all of the other information contained in this Annual Report on Form 10-K and our other public filings with the SEC, before making investment decisions regarding our common stock. The risks described below are not the only risks we face. The occurrence of any of the following risks, or of additional risks and uncertainties not presently known to us or that we currently believe to be immaterial, could cause our business, prospects, operating results, and financial condition to be materially and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254"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We are a clinical-stage biotechnology company with a limited operating history and no products approved by regulators for commercial sale, which may make it difficult to evaluate our current and future business prospects.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inception in November 2013, we have focused substantially all of our efforts and financial resources on building our drug discovery platform and developing our initial drug candidates. All of our drug candidates are still in the discovery, preclinical development, or clinical stages. Before we can commercialize our drug candidates, they require, among other steps, clinical success; development of internal or external manufacturing capacity and marketing expertise; and regulatory approval by the U.S. Food and Drug Administration (FDA) and other applicable jurisdictions. We have no products approved for commercial sale and we can provide no assurance that we will obtain regulatory approvals to market and sell any drug products in the future. We therefore have never generated any revenue from drug product sales, and we do not expect to generate any revenue from drug product sales in the foreseeable future. Until we successfully develop and commercialize drug candidates, which may never occur, we expect to finance our operations through a combination of equity offerings, debt financings, and strategic collaborations or similar arrangements. Biopharmaceutical product development is a highly speculative undertaking and involves a substantial degree of risk. For these and other reasons discussed elsewhere in this Risk Factors section, it may be difficult to evaluate our current business and our future prospects.</w:t>
      </w:r>
    </w:p>
    <w:p>
      <w:pPr>
        <w:spacing w:after="0" w:line="211"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incurred net losses in each year since our inception. We had an accumulated deficit of $967.6 million as of December 31, 2023. Substantially all of our operating losses have resulted from costs incurred in connection with research and development efforts, including clinical studies, and from general and administrative costs associated with our operations. We expect our operating expenses to significantly increase as we continue to invest in research and development efforts and the commencement and continuation of clinical trials of our existing and future drug candidates. We also continue to incur additional costs associated with operating as a public company. As a result, we expect to continue to incur substantial and increasing operating losses for the foreseeable future. Our prior losses, combined with expected future losses, have had, and will continue to have, an adverse effect on our stockholders’ deficit and working capital. Because of the numerous risks and uncertainties associated with developing pharmaceutical products and new technologies, we are unable to predict the extent of any future losses or when we will become profitable, if at all. Even if we do become profitable, we may not be able to sustain or increase our profitability on a quarterly or annual basis.</w:t>
      </w:r>
    </w:p>
    <w:p>
      <w:pPr>
        <w:spacing w:after="0" w:line="214" w:lineRule="exact"/>
        <w:rPr>
          <w:sz w:val="20"/>
          <w:szCs w:val="20"/>
          <w:color w:val="auto"/>
        </w:rPr>
      </w:pPr>
    </w:p>
    <w:p>
      <w:pPr>
        <w:ind w:right="900"/>
        <w:spacing w:after="0" w:line="272"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at least some of our product development programs, business development plans, strategic investments, and potential commercialization efforts, and to possibly cease operations.</w:t>
      </w:r>
    </w:p>
    <w:p>
      <w:pPr>
        <w:spacing w:after="0" w:line="18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Our mission, decoding biology to radically improve lives, is broad, expensive to achieve, and will require substantial additional capital in the future. We have programs throughout the stages of development including clinical, preclinical, late discovery and early discovery. We expect our expenses to increase in connection with our ongoing activities as we continue the research and development of, initiate clinical trials of, and potentially seek marketing approval for, our current drug candidates, and as we add to our pipeline what we believe will be an accelerating number of additional programs. Preclinical and clinical testing is expensive and can take many years, so we will need supplemental funding to complete these undertakings. If our drug candidates are eventually</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approved by regulators, we will require significant additional funding in order to launch and commercialize our products.</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 but not limited to the following:</w:t>
      </w:r>
    </w:p>
    <w:p>
      <w:pPr>
        <w:spacing w:after="0" w:line="180" w:lineRule="exact"/>
        <w:rPr>
          <w:sz w:val="20"/>
          <w:szCs w:val="20"/>
          <w:color w:val="auto"/>
        </w:rPr>
      </w:pP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drug candidates that we pursue and their development requirements;</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results, and costs of our current and future preclinical and clinical trials;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9" w:lineRule="exact"/>
        <w:rPr>
          <w:rFonts w:ascii="Arial" w:cs="Arial" w:eastAsia="Arial" w:hAnsi="Arial"/>
          <w:sz w:val="18"/>
          <w:szCs w:val="18"/>
          <w:color w:val="auto"/>
        </w:rPr>
      </w:pPr>
    </w:p>
    <w:p>
      <w:pPr>
        <w:ind w:left="380" w:right="140" w:hanging="157"/>
        <w:spacing w:after="0" w:line="250" w:lineRule="auto"/>
        <w:tabs>
          <w:tab w:leader="none" w:pos="3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obtain marketing approval for any current or future drug candidates, expenses related to product sales, marketing, manufacturing, and distribution;</w:t>
      </w:r>
    </w:p>
    <w:p>
      <w:pPr>
        <w:ind w:left="380" w:right="200" w:hanging="157"/>
        <w:spacing w:after="0" w:line="250" w:lineRule="auto"/>
        <w:tabs>
          <w:tab w:leader="none" w:pos="3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and other strategic arrangements on favorable terms, and the success of such collaborations, licensing, and strategic arrangements;</w:t>
      </w:r>
    </w:p>
    <w:p>
      <w:pPr>
        <w:jc w:val="both"/>
        <w:ind w:left="400" w:right="680" w:hanging="177"/>
        <w:spacing w:after="0" w:line="250" w:lineRule="auto"/>
        <w:tabs>
          <w:tab w:leader="none" w:pos="3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the operations of our manufacturers, suppliers, or other vendors, including the timing and enrollment of participants in our planned clinical trials, resulting from global supply chain issues or other force majeure events;</w:t>
      </w:r>
    </w:p>
    <w:p>
      <w:pPr>
        <w:spacing w:after="0" w:line="1" w:lineRule="exact"/>
        <w:rPr>
          <w:rFonts w:ascii="Arial" w:cs="Arial" w:eastAsia="Arial" w:hAnsi="Arial"/>
          <w:sz w:val="18"/>
          <w:szCs w:val="18"/>
          <w:color w:val="auto"/>
        </w:rPr>
      </w:pP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9" w:lineRule="exact"/>
        <w:rPr>
          <w:rFonts w:ascii="Arial" w:cs="Arial" w:eastAsia="Arial" w:hAnsi="Arial"/>
          <w:sz w:val="18"/>
          <w:szCs w:val="18"/>
          <w:color w:val="auto"/>
        </w:rPr>
      </w:pPr>
    </w:p>
    <w:p>
      <w:pPr>
        <w:ind w:left="400" w:right="300" w:hanging="177"/>
        <w:spacing w:after="0" w:line="250" w:lineRule="auto"/>
        <w:tabs>
          <w:tab w:leader="none" w:pos="3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and other applications covering our intellectual property; maintaining, protecting, and enforcing our intellectual property rights; and defending intellectual property-related claims of third parties;</w:t>
      </w:r>
    </w:p>
    <w:p>
      <w:pPr>
        <w:ind w:left="380" w:right="640" w:hanging="157"/>
        <w:spacing w:after="0" w:line="250" w:lineRule="auto"/>
        <w:tabs>
          <w:tab w:leader="none" w:pos="3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business operations and our research and development activities, including into new geographies and through acquisitions;</w:t>
      </w: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increase in salaries and wages and the extension of benefits required to retain, attract and motivate qualified personnel;</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increases in costs of components necessary for our business;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any commitments to become carbon neutral by 2030 and other environmental, social and governance goals; and</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3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historically have financed our operations primarily through private placements of our capital stock, through the net proceeds from our initial public offering and from our “at-the market” offerings under our Open Market Sales Agreement (the “Sales Agreement”) with Jefferies LLC (the “Sales Agent”), that provides for the offering, issuance and sale of up to an aggregate amount of $300.0 million of our Class A common stock from time to time in. We expect that our existing cash position and short-term investments as of the date of this Annual Report on Form 10-K will be sufficient to fund our operating expenses and capital expenditures for at least the next 12 months. However, identifying potential drug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drug candidates, even if approved, may not achieve commercial success. We do not anticipate that our commercial revenues, if any, will be derived from sales of products for at least several years. Accordingly, we will need to continue to rely on additional financing to achieve our business objectives, and we may need to raise substantial additional funds sooner than expected.</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Until such time, if ever, as we can generate substantial revenues, we expect to finance our cash needs potentially through a combination of private and public equity offerings and debt financings, as well as strategic collaborations, partnerships, and licensing arrangements. We do not have any committed external source of funds other than amounts payable by Takeda Pharmaceutical Company Limited (Takeda), by Bayer AG (Bayer) under and by Genentech, Inc. and F. Hoffmann-La Roche Ltd (together, Roche Genentech), under collaboration agreements. Disruptions in the financial markets in general, due to the COVID-19 or other potential pandemics, U.S. debt ceiling and budget deficit concerns, and other geo-political issues such as the Ukraine/Russia conflict, the Israel-Hamas war, and political and trade uncertainties in the greater China region, may make equity and debt financing more difficult to obtain. We cannot be certain that future financing will be available in sufficient amounts or on terms acceptable to us, if at all. If we are unable to raise additional funds through equity or debt financings, or strategic collaborations or similar arrangements, on a timely basis and satisfactory terms, we may be required to significantly curtail, delay, or discontinue one or more of our research and development programs or the future commercialization of any drug candidate, or we may be unable to expand our operations or otherwise capitalize 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700"/>
        <w:spacing w:after="0" w:line="247" w:lineRule="auto"/>
        <w:rPr>
          <w:sz w:val="20"/>
          <w:szCs w:val="20"/>
          <w:color w:val="auto"/>
        </w:rPr>
      </w:pPr>
      <w:r>
        <w:rPr>
          <w:rFonts w:ascii="Arial" w:cs="Arial" w:eastAsia="Arial" w:hAnsi="Arial"/>
          <w:sz w:val="18"/>
          <w:szCs w:val="18"/>
          <w:color w:val="auto"/>
        </w:rPr>
        <w:t>our business opportunities as desired. Any of these circumstances could materially and adversely affect our business and results of operations</w:t>
      </w:r>
      <w:r>
        <w:rPr>
          <w:sz w:val="1"/>
          <w:szCs w:val="1"/>
          <w:color w:val="auto"/>
        </w:rPr>
        <w:drawing>
          <wp:inline distT="0" distB="0" distL="0" distR="0">
            <wp:extent cx="34290" cy="12890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and may cause us to cease operations.</w:t>
      </w:r>
    </w:p>
    <w:p>
      <w:pPr>
        <w:spacing w:after="0" w:line="217"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Raising additional capital and issuing additional securities may cause dilution to our stockholders, restrict our operations, require us to relinquish rights to our technologies or drug candidates, and divert management’s attention from our core business.</w:t>
      </w:r>
    </w:p>
    <w:p>
      <w:pPr>
        <w:spacing w:after="0" w:line="1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terms of any financing we obtain may adversely affect the holdings or rights of our stockholders, and the issuance of additional securities, whether equity or debt, or the possibility of such issuance, may cause the market price of our shares to decline. To the extent that we raise additional capital or otherwise issue additional securities through the sale of Class A common stock or securities convertible or exchangeable into Class A common stock, our stockholders’ ownership interests will be diluted.</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example, in October 2022, we issued 15.3 million shares of our Class A common stock for gross proceeds of $150 million and in July 2023, we issued 7.7 million shares of our Class A common stock for gross proceeds of $50 million. Additionally, in August 2023, we entered into the Sales Agreement to provide for the offering, issuance and sale of up to an aggregate amount of $300.0 million of our Class A common stock from time to time in “at-the-market” offerings. In addition to capital raising issuances, in connection with the acquisitions of Cyclica Inc. (Cyclica) and Valence Discovery Inc. (Valence) in May 2023, we issued 12.4 million shares of our Class A common stock or securities convertible or exchangeable into Class A common stock and we issued 3.2 million shares of our Class A common stock in November 2023 to Tempus Labs, Inc. (Tempus) in payment for the initial license fee under the terms of that certain Master Agreement entered into by and between us and Tempus (the Tempus Agreement) and may issue additional shares in the future under the Tempus Agreement. Sales of a substantial number of shares of our outstanding Class A common stock in the public market could occur at any time. These sales, or the perception in the market that the holders of a large number of shares of our Class A common stock intend to sell shares, could reduce the market price of our common stock.</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as a condition to providing additional funds to us, future investors may demand, and may be granted, favorable terms that may include liquidation, preferences, dividend payments, voting rights or other preferences that materially and adversely affect the rights of common stockholders. Debt financing, if available, would result in increased fixed payment obligations. In addition, we may be required to agree to certain restrictive covenants, which could adversely impact our ability to make capital expenditures, declare dividends, or otherwise conduct our business. We also may need to raise funds through additional strategic collaborations, partnerships, or licensing arrangements with third parties at an earlier stage than would be desirable. Such arrangements could require us to relinquish rights to some of our technologies or drug candidates, future revenue streams, or research programs, or otherwise agree to terms unfavorable to us. Fundraising efforts have the potential to divert our management’s attention from our core business or create competing priorities, which may adversely affect our ability to develop and commercialize our drug candidates and technologies.</w:t>
      </w:r>
    </w:p>
    <w:p>
      <w:pPr>
        <w:spacing w:after="0" w:line="210"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b w:val="1"/>
          <w:bCs w:val="1"/>
          <w:i w:val="1"/>
          <w:iCs w:val="1"/>
          <w:color w:val="auto"/>
        </w:rPr>
        <w:t>We are engaged in strategic collaborations and we intend to seek to establish additional collaborations, including for the clinical development or commercialization of our drug candidates. If we are unable to establish collaborations on commercially reasonable terms or at all, or if current and future collaborations are not successful, we may have to alter our development and commercialization plans.</w:t>
      </w:r>
    </w:p>
    <w:p>
      <w:pPr>
        <w:spacing w:after="0" w:line="19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product development programs and the potential commercialization of our drug candidates will require substantial additional cash to fund expenses. To date our operating revenue has primarily been generated through funded research and development agreements with Roche Genentech, Takeda, and Bayer. For example, in December 2021, we entered into a Collaboration and License Agreement with Roche Genentech (the Roche Genentech Agreement) for discovery of small molecule drug candidates with the potential to treat key areas of neuroscience and an oncology indication, under which we received a non-refundable upfront payment of $150.0 million in January 2022 and an option fee for a single molecule validation program in oncology of $3M in October 2023. We intend to seek additional strategic collaborations, partnerships, and licensing arrangements with pharmaceutical and biotechnology companies. In the near term, the value of our company will depend in part on the number and quality of the collaborations and similar arrangements that we negotiate. Whether we reach a definitive agreement for a collaboration will depend, among other things, on our assessment of the collaborator’s resources and expertise, the terms and conditions of the proposed collaboration, and the potential collaborator’s evaluation of a number of factors. Those factors may include, among others, (i) our technologies and capabilities; (ii) our intellectual property position with respect to the</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5" w:right="4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subject drug candidate; (iii) the design or results of clinical trials; (iv) the likelihood of approval by the FDA and similar regulatory authorities outside the U.S.; (v) the potential market for the subject drug candidate; (vi) potential competing products; and (vii) industry and market conditions generally. In addition, the significant number of business combinations among large pharmaceutical companies has reduced the number of potential future collaborators with whom we can partner.</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Collaborations and similar arrangements are complex and time-consuming to negotiate and document. We may have to relinquish valuable rights to our product candidates, intellectual property, or future revenue streams, or grant licenses on terms that are not favorable to us or in instances where it would have been more advantageous for us to retain sole development and commercialization rights. </w:t>
      </w:r>
      <w:r>
        <w:rPr>
          <w:rFonts w:ascii="Arial" w:cs="Arial" w:eastAsia="Arial" w:hAnsi="Arial"/>
          <w:sz w:val="19"/>
          <w:szCs w:val="19"/>
          <w:color w:val="auto"/>
        </w:rPr>
        <w:t>W</w:t>
      </w:r>
      <w:r>
        <w:rPr>
          <w:rFonts w:ascii="Arial" w:cs="Arial" w:eastAsia="Arial" w:hAnsi="Arial"/>
          <w:sz w:val="18"/>
          <w:szCs w:val="18"/>
          <w:color w:val="auto"/>
        </w:rPr>
        <w:t>e may be restricted under collaboration agreements from entering into future agreements on certain terms with other potential collaborators. In addition, management of our relationships with collaborators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p>
    <w:p>
      <w:pPr>
        <w:spacing w:after="0" w:line="20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Collaborations and similar arrangements may never result in the successful development or commercialization of drug candidates or the generation of sales revenue. The success of these arrangements will depend heavily on the efforts and activities of our collaborators. Collaborators generally have significant discretion in determining the efforts and resources that they will apply to these collaborations, and they may not pursue or prioritize the development and commercialization of partnered drug candidates in a manner that is in our best interests. Product revenues arising from collaborations are likely to be lower than if we directly marketed and sold products. Disagreements with collaborators regarding clinical development or commercialization matters can lead to delays in the development process or commercialization of the applicable drug candidate and, in some cases, the termination of the collaboration arrangement. These disagreements can be difficult to resolve if neither of the parties has final decision-making authority. Collaboration agreements are typically terminable by the collaborator, and any such termination or expiration would adversely affect us financially and could harm our business reputation. If we were to become involved in arbitration or litigation with any of our collaborators, it would consume time and divert management resources away from operations, damage our reputation, impact our ability to enter into future collaboration agreements, and may further result in substantial payments from us to our collaborators to settle those disputes.</w:t>
      </w:r>
    </w:p>
    <w:p>
      <w:pPr>
        <w:spacing w:after="0" w:line="2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may not be able to establish additional strategic collaborations and similar arrangements on a timely basis, on acceptable terms, or at all, and to maintain and successfully conclude them. Collaborative relationships with third parties could cause us to expend significant resources and incur substantial business risk with no assurance of financial return. If we are unable to establish or maintain strategic collaborations and similar arrangements on terms favorable to us and realize the intended benefits of those partnering arrangements, our research and development efforts and potential to generate revenue may be limited and our business and operating results could be materially and adversely impacted.</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 We or our current and future collaborators may never successfully develop and commercialize our drug candidates, which would negatively affect our results of operation and our ability to continue our business operations.</w:t>
      </w:r>
    </w:p>
    <w:p>
      <w:pPr>
        <w:spacing w:after="0" w:line="1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ability to become profitable depends upon our ability to generate substantial revenue in an amount necessary to offset our expenses. As of December 31, 2023, we have not generated any revenue from our drug candidates or technologies, other than limited grant revenues, as well as payments under collaboration agreements, including the Roche Genentech Agreement. We expect to continue to derive most of our revenue in the near future from collaborations. We do not expect to generate significant revenue unless and until we progress our drug candidates through clinical trials and obtain marketing approval of, and begin to sell, one or more of our drug candidates, or we otherwise receive substantial licensing or other payments under our collaborations. Even if we obtain market approval for our drug candidates, one or more of them may not achieve commercial success.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of our drug candidates depends on a number of factors, including but not limited to our ability to:</w:t>
      </w:r>
    </w:p>
    <w:p>
      <w:pPr>
        <w:spacing w:after="0" w:line="252" w:lineRule="exact"/>
        <w:rPr>
          <w:sz w:val="20"/>
          <w:szCs w:val="20"/>
          <w:color w:val="auto"/>
        </w:rPr>
      </w:pPr>
    </w:p>
    <w:p>
      <w:pPr>
        <w:ind w:left="380" w:hanging="157"/>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successfully complete preclinical studies;</w:t>
      </w:r>
    </w:p>
    <w:p>
      <w:pPr>
        <w:spacing w:after="0" w:line="27" w:lineRule="exact"/>
        <w:rPr>
          <w:rFonts w:ascii="Arial" w:cs="Arial" w:eastAsia="Arial" w:hAnsi="Arial"/>
          <w:sz w:val="18"/>
          <w:szCs w:val="18"/>
          <w:color w:val="auto"/>
        </w:rPr>
      </w:pPr>
    </w:p>
    <w:p>
      <w:pPr>
        <w:ind w:left="400" w:right="260" w:hanging="177"/>
        <w:spacing w:after="0" w:line="266" w:lineRule="auto"/>
        <w:tabs>
          <w:tab w:leader="none" w:pos="3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 approval of Investigational New Drug (IND) applications by the FDA and similar regulatory approvals outside the U.S., allowing us to commence clinical trials;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380" w:hanging="157"/>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successfully enroll subjects in, and complete, clinical trials;</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receive regulatory approvals from applicable regulatory authorities;</w:t>
      </w:r>
    </w:p>
    <w:p>
      <w:pPr>
        <w:spacing w:after="0" w:line="9" w:lineRule="exact"/>
        <w:rPr>
          <w:rFonts w:ascii="Arial" w:cs="Arial" w:eastAsia="Arial" w:hAnsi="Arial"/>
          <w:sz w:val="18"/>
          <w:szCs w:val="18"/>
          <w:color w:val="auto"/>
        </w:rPr>
      </w:pPr>
    </w:p>
    <w:p>
      <w:pPr>
        <w:ind w:left="38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ind w:left="380" w:right="30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obtain patent and trade secret protection or regulatory exclusivity for our drug candidates, and maintain, protect, defend, and enforce such intellectual property rights;</w:t>
      </w:r>
    </w:p>
    <w:p>
      <w:pPr>
        <w:ind w:left="380" w:hanging="157"/>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launch commercial sales of our drug products, whether alone or in collaboration with other parties;</w:t>
      </w:r>
    </w:p>
    <w:p>
      <w:pPr>
        <w:spacing w:after="0" w:line="9" w:lineRule="exact"/>
        <w:rPr>
          <w:rFonts w:ascii="Arial" w:cs="Arial" w:eastAsia="Arial" w:hAnsi="Arial"/>
          <w:sz w:val="18"/>
          <w:szCs w:val="18"/>
          <w:color w:val="auto"/>
        </w:rPr>
      </w:pPr>
    </w:p>
    <w:p>
      <w:pPr>
        <w:ind w:left="380" w:right="70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obtain and maintain acceptance of our drug products by patients, the medical community, and third-party payors, and effectively compete with other therapies;</w:t>
      </w:r>
    </w:p>
    <w:p>
      <w:pPr>
        <w:ind w:left="380" w:right="54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obtain and maintain coverage of and adequate reimbursement for our drug products, if and when approved, by medical insurance providers; and</w:t>
      </w:r>
    </w:p>
    <w:p>
      <w:pPr>
        <w:ind w:left="380" w:hanging="157"/>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demonstrate a continued acceptable safety profile of drug products following marketing approval.</w:t>
      </w:r>
    </w:p>
    <w:p>
      <w:pPr>
        <w:spacing w:after="0" w:line="234"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80" w:lineRule="exact"/>
        <w:rPr>
          <w:sz w:val="20"/>
          <w:szCs w:val="20"/>
          <w:color w:val="auto"/>
        </w:rPr>
      </w:pPr>
    </w:p>
    <w:p>
      <w:pPr>
        <w:ind w:right="660"/>
        <w:spacing w:after="0" w:line="255" w:lineRule="auto"/>
        <w:rPr>
          <w:sz w:val="20"/>
          <w:szCs w:val="20"/>
          <w:color w:val="auto"/>
        </w:rPr>
      </w:pPr>
      <w:r>
        <w:rPr>
          <w:rFonts w:ascii="Arial" w:cs="Arial" w:eastAsia="Arial" w:hAnsi="Arial"/>
          <w:sz w:val="18"/>
          <w:szCs w:val="18"/>
          <w:color w:val="auto"/>
        </w:rPr>
        <w:t>Our current or future collaborators would similarly need to be effective in the above activities as they pertain to the collaborators in order to successfully develop drug candidates. We and they may never succeed in developing and commercializing drug candidates. And even if we do, we may never generate revenues that are significant enough to achieve profitability; or even if our collaborators do, we may not receive option fees, milestone payments, or royalties from them that are significant enough for us to achieve profitability. Even if we achieve profitability, we may not be able to sustain or increase profitability on a quarterly or annual basis. Our failure to become and remain profitable would eventually depress our value and could impair our ability to raise capital, expand our business, maintain our research and development efforts, develop a pipeline of drug candidates, enter into collaborations, or even continue our operations.</w:t>
      </w:r>
    </w:p>
    <w:p>
      <w:pPr>
        <w:spacing w:after="0" w:line="214"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Our quarterly and annual operating results may fluctuate significantly due to a variety of factors and could fall below our expectations or the expectations of investors or securities analysts, which may cause our stock price to fluctuate or decline.</w:t>
      </w:r>
    </w:p>
    <w:p>
      <w:pPr>
        <w:spacing w:after="0" w:line="16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amount of our future losses, and when we might achieve profitability, is uncertain, and our quarterly and annual operating results may fluctuate significantly for various reasons, including, but not limited to, the following:</w:t>
      </w:r>
    </w:p>
    <w:p>
      <w:pPr>
        <w:spacing w:after="0" w:line="180" w:lineRule="exact"/>
        <w:rPr>
          <w:sz w:val="20"/>
          <w:szCs w:val="20"/>
          <w:color w:val="auto"/>
        </w:rPr>
      </w:pPr>
    </w:p>
    <w:p>
      <w:pPr>
        <w:ind w:left="380" w:hanging="157"/>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timing of, and our levels of investment in, research and development activities relating to our drug candidates;</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timing of, and status of staffing and enrollment for, clinical trials;</w:t>
      </w:r>
    </w:p>
    <w:p>
      <w:pPr>
        <w:spacing w:after="0" w:line="9" w:lineRule="exact"/>
        <w:rPr>
          <w:rFonts w:ascii="Arial" w:cs="Arial" w:eastAsia="Arial" w:hAnsi="Arial"/>
          <w:sz w:val="18"/>
          <w:szCs w:val="18"/>
          <w:color w:val="auto"/>
        </w:rPr>
      </w:pPr>
    </w:p>
    <w:p>
      <w:pPr>
        <w:ind w:left="380" w:right="140" w:hanging="157"/>
        <w:spacing w:after="0" w:line="250" w:lineRule="auto"/>
        <w:tabs>
          <w:tab w:leader="none" w:pos="3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results of clinical trials for our drug candidates, including whether there are any unexpected health or safety concerns with our drug candidates and whether we receive marketing approval for them;</w:t>
      </w:r>
    </w:p>
    <w:p>
      <w:pPr>
        <w:ind w:left="380" w:right="1040" w:hanging="157"/>
        <w:spacing w:after="0" w:line="250" w:lineRule="auto"/>
        <w:tabs>
          <w:tab w:leader="none" w:pos="3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commercialization of competing drug candidates or any other change in the competitive landscape of our industry, including consolidation among our competitors or partners;</w:t>
      </w:r>
    </w:p>
    <w:p>
      <w:pPr>
        <w:ind w:left="400" w:hanging="177"/>
        <w:spacing w:after="0"/>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timing and cost of manufacturing our drug candidates;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level of demand for our drug candidates should they receive approval, which may vary significantly;</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changes in the regulatory environment or market or general economic conditions;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increase in salaries and wages and the extension of benefits required to retain, attract and motivate qualified personnel;</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increases in costs of components necessary for our business; and</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inflation.</w:t>
      </w:r>
    </w:p>
    <w:p>
      <w:pPr>
        <w:spacing w:after="0" w:line="234"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The occurrence of one or more of these or other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any forecasts we provide to the market, or the expectations of industry or financial analysts or investors, for any period. If one or more of these events occur, the price of our Class A common stock could decline substantially.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440"/>
        <w:spacing w:after="0" w:line="294"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equity, cause us to incur debt or assume contingent liabilities, and subject us to other risks.</w:t>
      </w:r>
    </w:p>
    <w:p>
      <w:pPr>
        <w:spacing w:after="0" w:line="16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We have engaged and may in the future engage in acquisitions and strategic partnerships, including by licensing or acquiring complementary products, intellectual property rights, technologies, or businesses. Any acquisition or strategic partnership may entail numerous risks, including but not limited to the following:</w:t>
      </w:r>
    </w:p>
    <w:p>
      <w:pPr>
        <w:spacing w:after="0" w:line="198" w:lineRule="exact"/>
        <w:rPr>
          <w:sz w:val="20"/>
          <w:szCs w:val="20"/>
          <w:color w:val="auto"/>
        </w:rPr>
      </w:pPr>
    </w:p>
    <w:p>
      <w:pPr>
        <w:ind w:left="380" w:hanging="157"/>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 equity;</w:t>
      </w:r>
    </w:p>
    <w:p>
      <w:pPr>
        <w:spacing w:after="0" w:line="9" w:lineRule="exact"/>
        <w:rPr>
          <w:rFonts w:ascii="Arial" w:cs="Arial" w:eastAsia="Arial" w:hAnsi="Arial"/>
          <w:sz w:val="18"/>
          <w:szCs w:val="18"/>
          <w:color w:val="auto"/>
        </w:rPr>
      </w:pPr>
    </w:p>
    <w:p>
      <w:pPr>
        <w:ind w:left="380" w:right="220" w:hanging="157"/>
        <w:spacing w:after="0" w:line="250"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difficulties in assimilating operations, intellectual property, products, and drug candidates of an acquired company, and with integrating new personnel;</w:t>
      </w:r>
    </w:p>
    <w:p>
      <w:pPr>
        <w:ind w:left="380" w:right="160" w:hanging="157"/>
        <w:spacing w:after="0" w:line="250"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even if we are unable to complete such proposed transaction;</w:t>
      </w:r>
    </w:p>
    <w:p>
      <w:pPr>
        <w:ind w:left="380" w:hanging="156"/>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retain key employees and maintain key business relationships;</w:t>
      </w:r>
    </w:p>
    <w:p>
      <w:pPr>
        <w:spacing w:after="0" w:line="9" w:lineRule="exact"/>
        <w:rPr>
          <w:rFonts w:ascii="Arial" w:cs="Arial" w:eastAsia="Arial" w:hAnsi="Arial"/>
          <w:sz w:val="18"/>
          <w:szCs w:val="18"/>
          <w:color w:val="auto"/>
        </w:rPr>
      </w:pPr>
    </w:p>
    <w:p>
      <w:pPr>
        <w:ind w:left="400" w:right="320" w:hanging="177"/>
        <w:spacing w:after="0" w:line="25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uncertainties associated with the other party to such a transaction, including the prospects of that party and their existing products or drug candidates and ability to obtain regulatory approvals; and</w:t>
      </w:r>
    </w:p>
    <w:p>
      <w:pPr>
        <w:ind w:left="400" w:right="1500" w:hanging="177"/>
        <w:spacing w:after="0" w:line="266"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In addition, if we undertake such a transaction, we may assume or incur debt obligations, incur a large one-time expense, or acquire intangible assets, which could result in significant future amortization expenses and adversely impact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materials necessary for our business increasing more rapidly could increase our net losses.</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costs of materials necessary for our business have risen in recent years and will likely continue to increase given stringency of demands. Competition and fixed price contracts may limit our ability to maintain existing operating margins. Costs increasing more rapidly than market prices may increase our net losses and may have a material adverse impact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DRUG CANDIDATES</w:t>
      </w:r>
    </w:p>
    <w:p>
      <w:pPr>
        <w:spacing w:after="0" w:line="254"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Our approach to drug discovery is unique and may not lead to successful drug products for various reasons, including, but not limited to, challenges identifying mechanisms of action for our candidates.</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image cells and use cell morphology to understand how a diseased cell responds to drugs and if or when it appears normal. If studying the shape, structure, form, and size of cells does not prove to be an accurate way to better understand diseases or does not lead to the biological insights or viable drug candidates we anticipate, our drug discovery platform may not be useful or may not lead to successful drug products, or we may have to move to a new business model, any of which could have an adverse effect on our reputation and results of operations. If the mechanism of action of a drug candidate is unknown, it may be more difficult to choose the best lead to optimize from an efficacy standpoint and to avoid potential off-target side effects that could affect safety. Such uncertainty could make it more difficult to form partnerships with larger pharmaceutical companies, as the expenses involved in late-phase clinical trials increase the level of risk related to potential efficacy and/or safety concerns and may pose challenges to IND and/or New Drug Application (NDA) approval by the FDA or other regulatory agencies.</w:t>
      </w:r>
    </w:p>
    <w:p>
      <w:pPr>
        <w:spacing w:after="0" w:line="210"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Our drug candidates are in preclinical or clinical development, which are lengthy and expensive processes with uncertain outcomes and the potential for substantial delays.</w:t>
      </w:r>
    </w:p>
    <w:p>
      <w:pPr>
        <w:spacing w:after="0" w:line="16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current drug candidates are in preclinical or clinical development. Before we can bring any drug candidate to market, we must, among other things, successfully complete preclinical studies, have the candidate manufactured to appropriate specifications, conduct extensive clinical trials to demonstrate safety and efficacy in humans, and obtain marketing approval from the FDA and other appropriate regulatory authorities, which we have not yet demonstrated our ability to do. Clinical testing is expensive, difficult to design and implement, can take many years to complete, and is uncertain as to outcome. A failure of a clinical trial can occur at any stage of testing. The outcome of preclinical development testing and early clinical trials may not be predictive of the success of later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clinical trials, and interim results of a clinical trial do not necessarily predict final results. We may accelerate development from cell models in our drug discovery platform directly to patients without validating results through animal studies or validate results in animal studies at the same time as we conduct Phase 1 clinical trials. This approach could pose additional risks to our success if the effect of certain of our drug candidates on diseases has not been tested in animals prior to testing in humans.</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several clinical-stage drug candidates and we anticipate filing IND applications with the FDA or other regulators for Phase 1 or Phase 2 studies, as applicable, for these drug candidates. We may not be able to file such INDs, or INDs for any other drug candidates, and begin such studies, on the timelines we expect, if at all, and any such delays could impact any additional product development timelines. Moreover, we cannot be sure that submission of an IND will result in the FDA or other regulators allowing further clinical trials to begin or that, once begun, issues will not arise that require us to suspend or terminate these trials. Commencing each of these clinical trials is subject to finalizing the trial design based on discussions with the FDA and other regulatory authorities. The requirements imposed by these regulatory authorities, or their governing statutes, could change at any time, which may result in stricter approval conditions than we currently expect and/or necessitate completion of additional or longer clinical trials. Successful completion of our clinical trials is a prerequisite to submitting NDAs to the FDA, as well as Marketing Authorization Applications (MAAs) to the European Medicines Agency (EMA) and the Medicines and Healthcare Products Regulatory Agency (MHRA) for each drug candidate and, consequently, to the ultimate approval and commercial marketing of each drug candidate. We do not know whether any of our future clinical trials will begin on time or be completed on schedule, if at all.</w:t>
      </w:r>
    </w:p>
    <w:p>
      <w:pPr>
        <w:spacing w:after="0" w:line="21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We have experience, and may in the future experience delays in completing our preclinical studies and initiating or completing clinical trials, or numerous unforeseen events during, or as a result of, any clinical trials, that could require us to incur additional costs or delay or prevent our ability to receive marketing approval or to commercialize our drug candidates, including but not limited to those related to one or more of the following:</w:t>
      </w:r>
    </w:p>
    <w:p>
      <w:pPr>
        <w:spacing w:after="0" w:line="203" w:lineRule="exact"/>
        <w:rPr>
          <w:sz w:val="20"/>
          <w:szCs w:val="20"/>
          <w:color w:val="auto"/>
        </w:rPr>
      </w:pPr>
    </w:p>
    <w:p>
      <w:pPr>
        <w:ind w:left="400" w:right="260" w:hanging="177"/>
        <w:spacing w:after="0" w:line="260" w:lineRule="auto"/>
        <w:tabs>
          <w:tab w:leader="none" w:pos="3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to conduct a clinical trial at prospective trial sites;</w:t>
      </w:r>
    </w:p>
    <w:p>
      <w:pPr>
        <w:spacing w:after="0" w:line="1" w:lineRule="exact"/>
        <w:rPr>
          <w:rFonts w:ascii="Arial" w:cs="Arial" w:eastAsia="Arial" w:hAnsi="Arial"/>
          <w:sz w:val="18"/>
          <w:szCs w:val="18"/>
          <w:color w:val="auto"/>
        </w:rPr>
      </w:pPr>
    </w:p>
    <w:p>
      <w:pPr>
        <w:ind w:left="420" w:right="640" w:hanging="196"/>
        <w:spacing w:after="0" w:line="250"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may have difficulty reaching, or fail to reach, agreement on acceptable terms with prospective trial sites and prospective Contract Research Organizations (CROs),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420" w:right="600" w:hanging="196"/>
        <w:spacing w:after="0" w:line="250"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participants required for clinical trials of our drug candidates may be larger than we anticipate, enrollment in these clinical trials may be slower than we anticipate, or participants may drop out of clinical trials or fail to return for post-treatment follow-up at a higher rate than we anticipate;</w:t>
      </w:r>
    </w:p>
    <w:p>
      <w:pPr>
        <w:spacing w:after="0" w:line="1" w:lineRule="exact"/>
        <w:rPr>
          <w:rFonts w:ascii="Arial" w:cs="Arial" w:eastAsia="Arial" w:hAnsi="Arial"/>
          <w:sz w:val="18"/>
          <w:szCs w:val="18"/>
          <w:color w:val="auto"/>
        </w:rPr>
      </w:pPr>
    </w:p>
    <w:p>
      <w:pPr>
        <w:ind w:left="420" w:right="420" w:hanging="196"/>
        <w:spacing w:after="0" w:line="250"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or our third-party contractors may fail to comply with regulatory requirements, fail to meet their contractual obligations to us in a timely manner or at all, deviate from the clinical trial protocol, or drop out of a trial, which may require that we add new clinical trial sites or investigators;</w:t>
      </w:r>
    </w:p>
    <w:p>
      <w:pPr>
        <w:spacing w:after="0" w:line="1" w:lineRule="exact"/>
        <w:rPr>
          <w:rFonts w:ascii="Arial" w:cs="Arial" w:eastAsia="Arial" w:hAnsi="Arial"/>
          <w:sz w:val="18"/>
          <w:szCs w:val="18"/>
          <w:color w:val="auto"/>
        </w:rPr>
      </w:pPr>
    </w:p>
    <w:p>
      <w:pPr>
        <w:ind w:left="400" w:right="360" w:hanging="176"/>
        <w:spacing w:after="0" w:line="250" w:lineRule="auto"/>
        <w:tabs>
          <w:tab w:leader="none" w:pos="3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supply or quality of our drug candidates or the other materials necessary to conduct clinical trials of our drug candidates may be insufficient, delayed, or inadequate;</w:t>
      </w:r>
    </w:p>
    <w:p>
      <w:pPr>
        <w:ind w:left="400" w:hanging="17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occurrence of delays in the manufacturing of our drug candidates;</w:t>
      </w:r>
    </w:p>
    <w:p>
      <w:pPr>
        <w:spacing w:after="0" w:line="9" w:lineRule="exact"/>
        <w:rPr>
          <w:rFonts w:ascii="Arial" w:cs="Arial" w:eastAsia="Arial" w:hAnsi="Arial"/>
          <w:sz w:val="18"/>
          <w:szCs w:val="18"/>
          <w:color w:val="auto"/>
        </w:rPr>
      </w:pPr>
    </w:p>
    <w:p>
      <w:pPr>
        <w:ind w:left="400" w:right="600" w:hanging="176"/>
        <w:spacing w:after="0" w:line="250" w:lineRule="auto"/>
        <w:tabs>
          <w:tab w:leader="none" w:pos="3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reports may arise from preclinical or clinical testing of other therapies that raise safety, efficacy, or other concerns about our drug candidates; and</w:t>
      </w:r>
    </w:p>
    <w:p>
      <w:pPr>
        <w:ind w:left="400" w:right="120" w:hanging="176"/>
        <w:spacing w:after="0" w:line="258" w:lineRule="auto"/>
        <w:tabs>
          <w:tab w:leader="none" w:pos="3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clinical trials may produce inconclusive, mixed, or negative results about our drug candidates, including determinations that candidates have undesirable side effects or other unexpected characteristics, in which event, we may decide – or our investigators or regulators, IRBs, or ethics committees may require us — to suspend or terminate the trials.</w:t>
      </w:r>
    </w:p>
    <w:p>
      <w:pPr>
        <w:spacing w:after="0" w:line="2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From time to time as we move through the stages of development, we have published and expect in the future to publish interim top-line or preliminary data from our clinical trials. Interim data from clinical trials are subject to the risk that one or more of the clinical outcomes may materially change as enrollment of participants continues and more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20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product development costs will increase if we experience delays in testing or regulatory approvals. We do not know whether any of our future clinical trials will begin as planned, or whether any of our current or future clinical trials will need to be restructured or will be completed on schedule, if at all. If we decide or are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required to suspend or terminate a clinical trial, we may elect to abandon product development for that program. Significant preclinical study or clinical trial delays could also shorten any periods during which we may have the exclusive right to commercialize our drug candidates or could allow our competitors to bring products to market before we do and impair our ability to successfully commercialize our drug candidates. Any delays in or unfavorable outcomes from our preclinical or clinical development programs may significantly harm our business, operating results, and prospects.</w:t>
      </w:r>
    </w:p>
    <w:p>
      <w:pPr>
        <w:spacing w:after="0" w:line="208"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not be able to initiate, continue, and complete clinical trials for current or future drug candidates if we are unable to locate and timely enroll a sufficient number of eligible participants in these trials as required by the FDA or similar regulatory authorities outside the United States. The process of finding potential participants may prove more costly than currently expected and our ability to enroll eligible participants may be limited or may result in slower enrollment than we anticipate due to a number of factors, including but not limited to the following:</w:t>
      </w:r>
    </w:p>
    <w:p>
      <w:pPr>
        <w:spacing w:after="0" w:line="206" w:lineRule="exact"/>
        <w:rPr>
          <w:sz w:val="20"/>
          <w:szCs w:val="20"/>
          <w:color w:val="auto"/>
        </w:rPr>
      </w:pPr>
    </w:p>
    <w:p>
      <w:pPr>
        <w:ind w:left="380" w:hanging="157"/>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 such as requirements that participants have specific characteristics or diseases;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9" w:lineRule="exact"/>
        <w:rPr>
          <w:rFonts w:ascii="Arial" w:cs="Arial" w:eastAsia="Arial" w:hAnsi="Arial"/>
          <w:sz w:val="18"/>
          <w:szCs w:val="18"/>
          <w:color w:val="auto"/>
        </w:rPr>
      </w:pPr>
    </w:p>
    <w:p>
      <w:pPr>
        <w:ind w:left="380" w:hanging="151"/>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9" w:lineRule="exact"/>
        <w:rPr>
          <w:rFonts w:ascii="Arial" w:cs="Arial" w:eastAsia="Arial" w:hAnsi="Arial"/>
          <w:sz w:val="18"/>
          <w:szCs w:val="18"/>
          <w:color w:val="auto"/>
        </w:rPr>
      </w:pPr>
    </w:p>
    <w:p>
      <w:pPr>
        <w:ind w:left="380" w:hanging="151"/>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difficulties in identifying, recruiting, and enrolling a sufficient number of participants to complete our clinical studies;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referral practices of physicians;</w:t>
      </w:r>
    </w:p>
    <w:p>
      <w:pPr>
        <w:spacing w:after="0" w:line="9" w:lineRule="exact"/>
        <w:rPr>
          <w:rFonts w:ascii="Arial" w:cs="Arial" w:eastAsia="Arial" w:hAnsi="Arial"/>
          <w:sz w:val="18"/>
          <w:szCs w:val="18"/>
          <w:color w:val="auto"/>
        </w:rPr>
      </w:pPr>
    </w:p>
    <w:p>
      <w:pPr>
        <w:ind w:left="380" w:right="380" w:hanging="156"/>
        <w:spacing w:after="0" w:line="250" w:lineRule="auto"/>
        <w:tabs>
          <w:tab w:leader="none" w:pos="3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competitors are conducting clinical trials for drug candidates that treat the same indications as ours, and the availability and efficacy of competing therapies;</w:t>
      </w: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monitor participants adequately during and after the trial and to maintain participant informed consent and privacy;</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participants;</w:t>
      </w:r>
    </w:p>
    <w:p>
      <w:pPr>
        <w:spacing w:after="0" w:line="9" w:lineRule="exact"/>
        <w:rPr>
          <w:rFonts w:ascii="Arial" w:cs="Arial" w:eastAsia="Arial" w:hAnsi="Arial"/>
          <w:sz w:val="18"/>
          <w:szCs w:val="18"/>
          <w:color w:val="auto"/>
        </w:rPr>
      </w:pPr>
    </w:p>
    <w:p>
      <w:pPr>
        <w:ind w:left="380" w:right="680" w:hanging="156"/>
        <w:spacing w:after="0" w:line="250" w:lineRule="auto"/>
        <w:tabs>
          <w:tab w:leader="none" w:pos="3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pandemics or other public health crises such as the COVID-19 pandemic, natural disasters, global political instability, warfare, or other external events that may limit the availability of participants, principal investigators, study staff, or clinical sites; and</w:t>
      </w: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risk that enrolled participants will not complete a clinical trial.</w:t>
      </w:r>
    </w:p>
    <w:p>
      <w:pPr>
        <w:spacing w:after="0" w:line="234"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If individuals are unwilling to participate in or complete our studies for any reason, or we experience other difficulties with enrollment or participation, the timeline for recruiting participants, conducting studies, and obtaining regulatory approval of potential products may be delayed.</w:t>
      </w:r>
    </w:p>
    <w:p>
      <w:pPr>
        <w:spacing w:after="0" w:line="200"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Our planned clinical trials, or those of our current and potential future collaborators, may not be successful or may reveal significant adverse events not seen in our preclinical or nonclinical studies, which may result in a safety profile that could inhibit regulatory approval or market acceptance of any of our drug candidates.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Before obtaining regulatory approvals for the commercial sale of any products, we must demonstrate through preclinical studies and clinical trials that our drug candidates are both safe and effective for use in each target indication. Failure can occur at any time during the clinical trial process. The results of preclinical studies and early clinical trials of our drug candidates may not be predictive of the results of later-stage clinical trials, and initial success in clinical trials may not be indicative of results that will be obtained when such trials are completed. An extremely high rate of drug candidates fail as they proceed through clinical trials. Drug candidates in later stages of clinical trials also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drug candidates that commence clinical trials are never approved for marketing, and there can be no assurance that any of our current or future clinical trials will ultimately be successful or support further clinical development of any of our drug candidates.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is the case with many treatments for rare diseases and other conditions, there have been, and it is likely that in the future there may be, side effects associated with the use of our drug candidates. If significant adverse events or other side effects are observed in any of our current or future drug candidates, we may have difficulty recruiting participants in our clinical trials, they may drop out of our trials, or we may be required to abandon the trials or our development efforts of one or more drug candidates altogether. Moreover, if we develop drug candidates in combination with one or more disease therapies, it may be more difficult to accurately predict side effects. We, the FDA, other applicable regulatory authorities, or an IRB may suspend or terminate clinical trials of a drug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were later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operating results, and prospects.</w:t>
      </w:r>
    </w:p>
    <w:p>
      <w:pPr>
        <w:spacing w:after="0" w:line="211" w:lineRule="exact"/>
        <w:rPr>
          <w:sz w:val="20"/>
          <w:szCs w:val="20"/>
          <w:color w:val="auto"/>
        </w:rPr>
      </w:pPr>
    </w:p>
    <w:p>
      <w:pPr>
        <w:ind w:right="1040"/>
        <w:spacing w:after="0" w:line="294" w:lineRule="auto"/>
        <w:rPr>
          <w:sz w:val="20"/>
          <w:szCs w:val="20"/>
          <w:color w:val="auto"/>
        </w:rPr>
      </w:pPr>
      <w:r>
        <w:rPr>
          <w:rFonts w:ascii="Arial" w:cs="Arial" w:eastAsia="Arial" w:hAnsi="Arial"/>
          <w:sz w:val="18"/>
          <w:szCs w:val="18"/>
          <w:b w:val="1"/>
          <w:bCs w:val="1"/>
          <w:i w:val="1"/>
          <w:iCs w:val="1"/>
          <w:color w:val="auto"/>
        </w:rPr>
        <w:t>We conduct clinical trials for our drug candidates outside the United States, and the FDA and similar foreign regulatory authorities may not accept data from such trials.</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conducted clinical trials outside the United States, including in the United Kingdom and the Netherlands, and may in the future choose to conduct additional clinical trials outside the United States in locations that may include Australia, Europe, Asia, or other jurisdictions. FDA acceptance of trial data from clinical trials conducted outside the United States requires that all of FDA’s clinical trial requirements be met. In addition,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Many foreign regulatory bodies have similar approval requirements, and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drug candidates not receiving approval or clearance for commercialization in the applicable jurisdiction.</w:t>
      </w:r>
    </w:p>
    <w:p>
      <w:pPr>
        <w:spacing w:after="0" w:line="2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Following the United Kingdom’s departure from the EU (referred to as Brexit) on January 31, 2020, and the end of the “transition period” on December 31, 2020, the EU and the United Kingdom entered into a trade and cooperation agreement that governs certain aspects of their future relationship, including the assurance of tariff-free trade for certain goods and services. As the regulatory framework for pharmaceutical products in the United Kingdom is derived from EU directives and regulations, Brexit will materially impact the future regulatory regime that applies to products and the approval of drug candidates in the United Kingdom. Longer term, the United Kingdom is likely to develop its own legislation that diverges from that in the EU, which may delay or preclude marketing approval for our drug candidates in one or both jurisdictions.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It is difficult to establish with precision the incidence and prevalence for target patient populations of our drug candidates.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Even if approved for commercial sale, the total addressable market for our drug candidates will ultimately depend upon, among other things, (i) the indications and diagnostic criteria included in the final label; (ii) acceptance by the medical community; and (iii) patient access, product pricing, and reimbursement by third-party payors. The number of patients targeted by our drug candidates may turn out to be lower than expected, patients may not be amenable to treatment with our products, or new patients may become increasingly difficult to identify or access, all of which would adversely affect our results of operations and our business. Due to our limited resources and access to capital or for other reasons, we must prioritize development of certain drug candidates, which may prove to be the wrong choices and may adversely affect our business.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drug candidates that we are currently developing, we may fail to identify viable new drug candidates for clinical development for a number of reasons.</w:t>
      </w:r>
    </w:p>
    <w:p>
      <w:pPr>
        <w:spacing w:after="0" w:line="16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Research programs to pursue the development of our existing and planned drug candidates for additional indications, and to identify new drug candidates and disease targets, require substantial technical, financial, and human resources whether or not they are ultimately successful. For example, under the Roche Genentech Agreement, we are collaborating with Roche Genentech to develop various projects related to the discovery of small molecule drug candidates with the potential to treat “key areas” of neuroscience and an oncology indication. There can be no assurance that we will find potential targets using this approach, that the conditions targeted will be tractable, or that clinical trials will be successful. Our research programs may initially show promise in identifying potential indications and/or drug candidates, yet fail to yield results for clinical development for a number of reasons, including but not limited to the following:</w:t>
      </w:r>
    </w:p>
    <w:p>
      <w:pPr>
        <w:spacing w:after="0" w:line="210" w:lineRule="exact"/>
        <w:rPr>
          <w:sz w:val="20"/>
          <w:szCs w:val="20"/>
          <w:color w:val="auto"/>
        </w:rPr>
      </w:pPr>
    </w:p>
    <w:p>
      <w:pPr>
        <w:jc w:val="both"/>
        <w:ind w:left="400" w:right="240" w:hanging="177"/>
        <w:spacing w:after="0" w:line="257" w:lineRule="auto"/>
        <w:tabs>
          <w:tab w:leader="none" w:pos="3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drug candidates, including as a result of the limited patient sample represented in our databases and the validity of extrapolating based on insights from a particular cellular context that may not apply to other, more relevant cellular contexts;</w:t>
      </w:r>
    </w:p>
    <w:p>
      <w:pPr>
        <w:spacing w:after="0" w:line="1" w:lineRule="exact"/>
        <w:rPr>
          <w:rFonts w:ascii="Arial" w:cs="Arial" w:eastAsia="Arial" w:hAnsi="Arial"/>
          <w:sz w:val="18"/>
          <w:szCs w:val="18"/>
          <w:color w:val="auto"/>
        </w:rPr>
      </w:pPr>
    </w:p>
    <w:p>
      <w:pPr>
        <w:ind w:left="400" w:right="260" w:hanging="176"/>
        <w:spacing w:after="0" w:line="250" w:lineRule="auto"/>
        <w:tabs>
          <w:tab w:leader="none" w:pos="391"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potential drug candidates may, after further study, be shown to have harmful side effects or other characteristics that indicate they are unlikely to be effective products; or</w:t>
      </w:r>
    </w:p>
    <w:p>
      <w:pPr>
        <w:ind w:left="420" w:right="720" w:hanging="196"/>
        <w:spacing w:after="0" w:line="258"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can allocate to identify additional therapeutic opportunities for our drug candidates or to develop suitable potential drug candidates through internal research programs, thereby limiting our ability to develop, diversify, and expand our product portfolio.</w:t>
      </w:r>
    </w:p>
    <w:p>
      <w:pPr>
        <w:spacing w:after="0" w:line="20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Because we have limited financial and human resources, we will have to prioritize and focus on certain research programs, drug candidates, and target indications while forgoing others.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203"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Accordingly, there can be no assurance that we will ever be able to identify additional therapeutic opportunities for our drug candidates or to develop suitable potential drug candidates through internal research programs, which could materially adversely affect our future growth and prospects.</w:t>
      </w:r>
    </w:p>
    <w:p>
      <w:pPr>
        <w:spacing w:after="0" w:line="200"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If we are unable to obtain, or if there are delays in obtaining, required regulatory approvals for our drug candidates in the U.S. or other jurisdictions, or if approval is subject to limitations, we will be unable to commercialize, or will be delayed or limited in commercializing, the drug candidates in such jurisdiction and our ability to generate revenue may be materially impaired.</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drug candidates and the activities associated with their development and commercialization — including their design, testing, manufacture, safety, efficacy, recordkeeping, labeling, storage, approval, advertising, promotion, sale, distribution, import, and export — are subject to comprehensive regulation by the FDA and other regulatory agencies in the United States and by comparable authorities in other countries. Before we can commercialize any of our drug candidates, we must obtain marketing approval. As of December 31, 2023, all of our drug candidates are in development, and we have not received approval to market any of our drug candidates from regulatory authorities in any jurisdiction. It is possible that our current and future drug candidates will never obtain regulatory and marketing approval.</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only limited experience in filing and supporting applications to regulatory authorities and expect to rely on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It also requires the submission of information about the product manufacturing process to, and inspection of manufacturing facilities by, the relevant regulatory authority. Given our novel approach to drug discovery that uses our platform to generate data, regulatory authorities may not approve any of our drug candidates derived from our platform. They may also elect to inspect our platform and facilities and manufacturing and research practices, which may uncover regulatory deficiencies that must be addressed and remedied before research or market authorizations may occur.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process of obtaining regulatory approvals, both in the United States and abroad, is expensive and often takes many years. If the FDA or a comparable foreign regulatory authority requires that we perform additional preclinical or clinical trials, then approval may be delayed, if obtained at all. The FDA and comparable regulatory authorities in other countries have substantial discretion in the approval process and may refuse to accept any application, or they may decide that our data are insufficient for approval and require additional preclinical, clinical, or other studies. Our drug candidates could be delayed in receiving, or fail to receive, regulatory approval for many reasons, including but not limited to the following:</w:t>
      </w:r>
    </w:p>
    <w:p>
      <w:pPr>
        <w:spacing w:after="0" w:line="209" w:lineRule="exact"/>
        <w:rPr>
          <w:sz w:val="20"/>
          <w:szCs w:val="20"/>
          <w:color w:val="auto"/>
        </w:rPr>
      </w:pPr>
    </w:p>
    <w:p>
      <w:pPr>
        <w:ind w:left="380" w:hanging="157"/>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99" w:lineRule="exact"/>
        <w:rPr>
          <w:rFonts w:ascii="Arial" w:cs="Arial" w:eastAsia="Arial" w:hAnsi="Arial"/>
          <w:sz w:val="18"/>
          <w:szCs w:val="18"/>
          <w:color w:val="auto"/>
        </w:rPr>
      </w:pPr>
    </w:p>
    <w:p>
      <w:pPr>
        <w:ind w:left="420" w:right="460" w:hanging="196"/>
        <w:spacing w:after="0" w:line="268"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that a related companion diagnostic is suitable to identify appropriate patient populations;</w:t>
      </w:r>
    </w:p>
    <w:p>
      <w:pPr>
        <w:spacing w:after="0" w:line="62" w:lineRule="exact"/>
        <w:rPr>
          <w:rFonts w:ascii="Arial" w:cs="Arial" w:eastAsia="Arial" w:hAnsi="Arial"/>
          <w:sz w:val="18"/>
          <w:szCs w:val="18"/>
          <w:color w:val="auto"/>
        </w:rPr>
      </w:pPr>
    </w:p>
    <w:p>
      <w:pPr>
        <w:ind w:left="420" w:right="1140" w:hanging="196"/>
        <w:spacing w:after="0" w:line="287"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drug candidate may be only moderately effective or may have undesirable or unintended side effects, toxicities, or other characteristics;</w:t>
      </w:r>
    </w:p>
    <w:p>
      <w:pPr>
        <w:spacing w:after="0" w:line="44" w:lineRule="exact"/>
        <w:rPr>
          <w:rFonts w:ascii="Arial" w:cs="Arial" w:eastAsia="Arial" w:hAnsi="Arial"/>
          <w:sz w:val="18"/>
          <w:szCs w:val="18"/>
          <w:color w:val="auto"/>
        </w:rPr>
      </w:pPr>
    </w:p>
    <w:p>
      <w:pPr>
        <w:ind w:left="420" w:right="600" w:hanging="196"/>
        <w:spacing w:after="0" w:line="260"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 w:lineRule="exact"/>
        <w:rPr>
          <w:rFonts w:ascii="Arial" w:cs="Arial" w:eastAsia="Arial" w:hAnsi="Arial"/>
          <w:sz w:val="18"/>
          <w:szCs w:val="18"/>
          <w:color w:val="auto"/>
        </w:rPr>
      </w:pPr>
    </w:p>
    <w:p>
      <w:pPr>
        <w:ind w:left="380" w:hanging="156"/>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9" w:lineRule="exact"/>
        <w:rPr>
          <w:rFonts w:ascii="Arial" w:cs="Arial" w:eastAsia="Arial" w:hAnsi="Arial"/>
          <w:sz w:val="18"/>
          <w:szCs w:val="18"/>
          <w:color w:val="auto"/>
        </w:rPr>
      </w:pPr>
    </w:p>
    <w:p>
      <w:pPr>
        <w:ind w:left="400" w:right="440" w:hanging="176"/>
        <w:spacing w:after="0" w:line="250" w:lineRule="auto"/>
        <w:tabs>
          <w:tab w:leader="none" w:pos="39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420" w:right="580" w:hanging="196"/>
        <w:spacing w:after="0" w:line="250"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or of sufficient quality to support the submission of an NDA or other submission or to obtain regulatory approval in the United States or elsewhere;</w:t>
      </w:r>
    </w:p>
    <w:p>
      <w:pPr>
        <w:ind w:left="420" w:right="440" w:hanging="196"/>
        <w:spacing w:after="0" w:line="250"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our manufacturing processes or facilities, or those of third-party manufacturers with which we contract, for clinical and commercial supplies; and</w:t>
      </w:r>
    </w:p>
    <w:p>
      <w:pPr>
        <w:ind w:left="420" w:right="780" w:hanging="196"/>
        <w:spacing w:after="0" w:line="266"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or manufacturing data are insufficient for approval.</w:t>
      </w:r>
    </w:p>
    <w:p>
      <w:pPr>
        <w:spacing w:after="0" w:line="19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Even if we obtain approval, regulatory authorities may approve any of our drug candidates for fewer or more limited indications than we request, thereby narrowing the commercial potential of the drug candidate. In addition, regulatory authorities may grant approval contingent on the performance of costly post-marketing clinical trials or may approve a drug candidate with a label that does not include the labeling claims necessary or desirable for the successful commercialization of that drug candidate.</w:t>
      </w:r>
    </w:p>
    <w:p>
      <w:pPr>
        <w:spacing w:after="0" w:line="20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If we are unable to obtain, or experience delays in obtaining, approval of our current and future drug candidates in the U.S. or other jurisdictions, or if approval is subject to limitations, the commercial prospects for the drug candidates may be harmed, and our reputation and ability to generate revenues may be materially impaired.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realize a return on our investment of resources and cash in our drug discovery collaborations.</w:t>
      </w:r>
    </w:p>
    <w:p>
      <w:pPr>
        <w:spacing w:after="0" w:line="25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We conduct drug discovery activities for or with collaborators who are also engaged in drug discovery and development, which include pre-commercial biotechnology companies and large pharmaceutical companies. Under these collaborations, we typically provide, among other resources, the benefit of our drug discovery platform and platform experts who identify molecules that have activity against one or more specified targets. In consideration, we have received, and expect to receive in the future, (i) equity investments; (ii) upfront fees; and/or (iii) the right to receive option fees, cash milestone payments upon the achievement of specified development, regulatory, or commercial sales milestones for the drug discovery targets, and potential royalties. Our ability to receive fees and payments and realize returns from our drug discovery collaborations in a timely manner, or at all, is subject to a number of risks, including but not limited to the following:</w:t>
      </w:r>
    </w:p>
    <w:p>
      <w:pPr>
        <w:spacing w:after="0" w:line="193" w:lineRule="exact"/>
        <w:rPr>
          <w:sz w:val="20"/>
          <w:szCs w:val="20"/>
          <w:color w:val="auto"/>
        </w:rPr>
      </w:pPr>
    </w:p>
    <w:p>
      <w:pPr>
        <w:ind w:left="400" w:right="340" w:hanging="177"/>
        <w:spacing w:after="0" w:line="287" w:lineRule="auto"/>
        <w:tabs>
          <w:tab w:leader="none" w:pos="3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collaborators may incur unanticipated costs or experience delays in completing, or may be unable to complete, the development and commercialization of any drug candidates;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20" w:right="700" w:hanging="196"/>
        <w:spacing w:after="0" w:line="260"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our collaborations and may not perform their obligations as currently expected;</w:t>
      </w:r>
    </w:p>
    <w:p>
      <w:pPr>
        <w:spacing w:after="0" w:line="1" w:lineRule="exact"/>
        <w:rPr>
          <w:rFonts w:ascii="Arial" w:cs="Arial" w:eastAsia="Arial" w:hAnsi="Arial"/>
          <w:sz w:val="18"/>
          <w:szCs w:val="18"/>
          <w:color w:val="auto"/>
        </w:rPr>
      </w:pPr>
    </w:p>
    <w:p>
      <w:pPr>
        <w:ind w:left="420" w:right="240" w:hanging="196"/>
        <w:spacing w:after="0" w:line="250"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or commercialization of drug candidates for various reasons, including results of clinical trials or other studies, changes in the collaborator’s strategic focus or available funding, their desire to develop products that compete directly or indirectly with our drug candidates, or external factors (such as an acquisition or industry slowdown) that divert resources or create competing priorities;</w:t>
      </w:r>
    </w:p>
    <w:p>
      <w:pPr>
        <w:spacing w:after="0" w:line="1" w:lineRule="exact"/>
        <w:rPr>
          <w:rFonts w:ascii="Arial" w:cs="Arial" w:eastAsia="Arial" w:hAnsi="Arial"/>
          <w:sz w:val="18"/>
          <w:szCs w:val="18"/>
          <w:color w:val="auto"/>
        </w:rPr>
      </w:pPr>
    </w:p>
    <w:p>
      <w:pPr>
        <w:ind w:left="400" w:right="220" w:hanging="177"/>
        <w:spacing w:after="0" w:line="250" w:lineRule="auto"/>
        <w:tabs>
          <w:tab w:leader="none" w:pos="3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existing collaborators and potential future collaborators may begin to perceive us to be a competitor more generally, particularly as we advance our internal drug discovery programs, and therefore may be unwilling to continue existing collaborations, or enter into new collaborations, with us;</w:t>
      </w:r>
    </w:p>
    <w:p>
      <w:pPr>
        <w:spacing w:after="0" w:line="1" w:lineRule="exact"/>
        <w:rPr>
          <w:rFonts w:ascii="Arial" w:cs="Arial" w:eastAsia="Arial" w:hAnsi="Arial"/>
          <w:sz w:val="18"/>
          <w:szCs w:val="18"/>
          <w:color w:val="auto"/>
        </w:rPr>
      </w:pPr>
    </w:p>
    <w:p>
      <w:pPr>
        <w:ind w:left="400" w:right="560" w:hanging="177"/>
        <w:spacing w:after="0" w:line="250" w:lineRule="auto"/>
        <w:tabs>
          <w:tab w:leader="none" w:pos="3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drug candidate or product;</w:t>
      </w:r>
    </w:p>
    <w:p>
      <w:pPr>
        <w:ind w:left="400" w:right="160" w:hanging="177"/>
        <w:spacing w:after="0" w:line="250" w:lineRule="auto"/>
        <w:tabs>
          <w:tab w:leader="none" w:pos="3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drug candidates, or might result in litigation or arbitration;</w:t>
      </w:r>
    </w:p>
    <w:p>
      <w:pPr>
        <w:spacing w:after="0" w:line="1" w:lineRule="exact"/>
        <w:rPr>
          <w:rFonts w:ascii="Arial" w:cs="Arial" w:eastAsia="Arial" w:hAnsi="Arial"/>
          <w:sz w:val="18"/>
          <w:szCs w:val="18"/>
          <w:color w:val="auto"/>
        </w:rPr>
      </w:pPr>
    </w:p>
    <w:p>
      <w:pPr>
        <w:jc w:val="both"/>
        <w:ind w:left="420" w:right="340" w:hanging="196"/>
        <w:spacing w:after="0" w:line="250"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they may use our proprietary information in such a way as to potentially lead to disputes or legal proceedings that could jeopardize or invalidate our or their intellectual property or proprietary rights;</w:t>
      </w:r>
    </w:p>
    <w:p>
      <w:pPr>
        <w:spacing w:after="0" w:line="1" w:lineRule="exact"/>
        <w:rPr>
          <w:rFonts w:ascii="Arial" w:cs="Arial" w:eastAsia="Arial" w:hAnsi="Arial"/>
          <w:sz w:val="18"/>
          <w:szCs w:val="18"/>
          <w:color w:val="auto"/>
        </w:rPr>
      </w:pPr>
    </w:p>
    <w:p>
      <w:pPr>
        <w:ind w:left="420" w:right="160" w:hanging="196"/>
        <w:spacing w:after="0" w:line="250"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ind w:left="380" w:hanging="156"/>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drug discovery collaborations may be terminated prior to our receipt of any significant value.</w:t>
      </w:r>
    </w:p>
    <w:p>
      <w:pPr>
        <w:spacing w:after="0" w:line="2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may be over-reliant on our partners to provide information for molecules that we in-license, or such molecules may no longer be well-protected because the composition of matter patents that once protected them become expired. Moreover, we may have difficulty obtaining the quality and quantity of active pharmaceutical ingredients (API) for use in drug candidates, or we may be unable to ensure the stability of the molecule, all of which is needed to conduct clinical trials or bring a drug candidate to market. For those molecules that we are attempting to repurpose for other indications, our collaboration partners may not have sufficient data, may have poor quality data, or may not be able to help us interpret data, any of which could cause our collaboration to fail.</w:t>
      </w:r>
    </w:p>
    <w:p>
      <w:pPr>
        <w:spacing w:after="0" w:line="209"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If any drug discovery collaborations that we enter into do not result in the successful development and commercialization of drug products that result in option fees, milestone payments, royalties, or other payments to us as expected, we may not receive an adequate return on the resources we have invested in such collaborations, which would have an adverse effect on our business, results of operations and prospects. Further, we may not have access to, or may be restricted from disclosing, certain information regarding development and commercialization of our collaborators’ drug candidates and, consequently, may have limited ability to inform our stockholders about the status of, and likelihood of achieving, option fees, milestone payments or royalties under such collaborations.</w:t>
      </w:r>
    </w:p>
    <w:p>
      <w:pPr>
        <w:spacing w:after="0" w:line="211"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development and commercialization of new products in the biopharmaceutical and related industries is highly competitive. There are other companies focusing on technology-enabled drug discovery to identify and develop new chemical entities (NCEs) that have not previously been investigated in clinical trials and/or known chemical entities (KCEs) that have been previously investigated. Some of these competitive companies are employing scientific approaches that are the same as or similar to our approach, and others are using entirely different approaches. These companies include large pharmaceutical companies, specialty pharmaceutical companies, and biotechnology companies of various sizes worldwide.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Many of the companies that we compete against, or which we may compete against in the future, have significantly greater financial resources and expertise in research and development, manufacturing, preclinical testing, conducting clinical trials, obtaining regulatory approvals, and marketing approval of products than we do. They may also compete with us in recruiting and retaining qualified scientific and management personnel, in establishing clinical trial sites and patient recruitment for clinical trials, as well as in acquiring technologies complementary to, or necessary for, developing our programs.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Within the field of technology-enabled drug discovery, we believe that our approach utilizing a combination of wet-lab biology to generate our proprietary dataset, and the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tools in our closed-loop system, sets us apart and affords us a competitive advantage in initiating and advancing drug development programs. We further believe that the principal competitive factors to our business include (i) the accuracy of our computations and predictions; (ii) the ability to integrate experimental and computational capabilities; (iii) the ability to successfully transition research programs into clinical development; (iv) the ability to raise capital; and (v) the scalability of our platform, pipeline, and business.</w:t>
      </w:r>
    </w:p>
    <w:p>
      <w:pPr>
        <w:spacing w:after="0" w:line="20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Any drug candidates that we successfully develop and commercialize will compete with currently-approved therapies, and new therapies that may become available in the future, from segments of the pharmaceutical, biotechnology, and other related industries. The key competitive factors affecting the success of all of our drug candidates, if approved, are likely to be (i) their efficacy, safety, convenience, and price; (ii) the level of non-generic and generic competition; and (iii) the availability and amount of reimbursement from government healthcare programs, commercial insurance plans, and other third-party payors. Our commercial opportunity could be reduced or eliminated if competing products are more effective, have fewer or less severe side effects, are more convenient, or are less expensive than products that we or our collaborators may develop, or if competitors obtain FDA or other regulatory approval more rapidly than us and are able to establish a strong market position before we or our collaborators are able to enter the market.</w:t>
      </w:r>
    </w:p>
    <w:p>
      <w:pPr>
        <w:spacing w:after="0" w:line="21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If our proprietary tools and technology and other competitive advantages do not remain in place and evolve appropriately as barriers to entry in the future, or if we and our collaboration partners are not otherwise able to effectively compete against existing and potential competitors, our business and results of operations may be materially and adversely affected.</w:t>
      </w:r>
    </w:p>
    <w:p>
      <w:pPr>
        <w:spacing w:after="0" w:line="200" w:lineRule="exact"/>
        <w:rPr>
          <w:sz w:val="20"/>
          <w:szCs w:val="20"/>
          <w:color w:val="auto"/>
        </w:rPr>
      </w:pPr>
    </w:p>
    <w:p>
      <w:pPr>
        <w:ind w:right="660"/>
        <w:spacing w:after="0" w:line="265" w:lineRule="auto"/>
        <w:rPr>
          <w:sz w:val="20"/>
          <w:szCs w:val="20"/>
          <w:color w:val="auto"/>
        </w:rPr>
      </w:pPr>
      <w:r>
        <w:rPr>
          <w:rFonts w:ascii="Arial" w:cs="Arial" w:eastAsia="Arial" w:hAnsi="Arial"/>
          <w:sz w:val="18"/>
          <w:szCs w:val="18"/>
          <w:b w:val="1"/>
          <w:bCs w:val="1"/>
          <w:i w:val="1"/>
          <w:iCs w:val="1"/>
          <w:color w:val="auto"/>
        </w:rPr>
        <w:t>Because we have multiple programs and drug candidates in our development pipeline and are pursuing a variety of target indications and treatment modalities, we may expend our limited resources to pursue a particular drug candidate and fail to capitalize on development opportunities or drug candidates that may be more profitable or for which there is a greater likelihood of success.</w:t>
      </w:r>
    </w:p>
    <w:p>
      <w:pPr>
        <w:spacing w:after="0" w:line="19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currently focus on the development of drug candidates regardless of the treatment modality or the particular target indication. Because we have limited financial and personnel resources, we may forgo or delay pursuit of opportunities with potential target indications or drug candidates that later prove to have greater commercial potential than our current and planned development programs and drug candidates. Our resource allocation decisions may cause us to fail to capitalize on viable commercial products or profitable market opportunities. Our spending on current and future research and development programs and other future drug candidates for specific indications may not yield any future drug candidates that are commercially viable.</w:t>
      </w:r>
    </w:p>
    <w:p>
      <w:pPr>
        <w:spacing w:after="0" w:line="211" w:lineRule="exact"/>
        <w:rPr>
          <w:sz w:val="20"/>
          <w:szCs w:val="20"/>
          <w:color w:val="auto"/>
        </w:rPr>
      </w:pPr>
    </w:p>
    <w:p>
      <w:pPr>
        <w:jc w:val="both"/>
        <w:ind w:right="500"/>
        <w:spacing w:after="0" w:line="272" w:lineRule="auto"/>
        <w:rPr>
          <w:sz w:val="20"/>
          <w:szCs w:val="20"/>
          <w:color w:val="auto"/>
        </w:rPr>
      </w:pPr>
      <w:r>
        <w:rPr>
          <w:rFonts w:ascii="Arial" w:cs="Arial" w:eastAsia="Arial" w:hAnsi="Arial"/>
          <w:sz w:val="18"/>
          <w:szCs w:val="18"/>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have made, and in the future are likely to make, public statements regarding the expected timing of certain milestones and key events, such as the commencement and completion of preclinical and clinical studies in our internal drug discovery programs as well as developments and milestones under our collaborations. Our collaborators, such as Roche Genentech, have also made public statements regarding expectations for the development of programs under collaborations with us and may in the future make additional statements about their goals and expectations for collaborations with us. The actual timing of these events can vary dramatically due to a number of factors, such as (i) delays or failures in our, or our current and future collaborators’, drug discovery and development programs; (ii) the amount of time, effort, and resources committed by us and our current and future collaborators; and (iii) the numerous uncertainties inherent in the development of drugs. As a result, there can be no assurance that our, or our current and future collaborators’, programs will advance or be completed in the time frames we or they announce or expect. If we or any collaborators fail to achieve one or more of these milestones or other key events as planned and announced, our business and reputation could be materially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PLATFORM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We have invested, and expect to continue to invest, in research and development efforts to further enhance our drug discovery platform, which is central to our mission. If the return on these investments is lower or develops more slowly than we expect, our business and operating results may suffer.</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drug discovery platform is central to our mission to decode biology by integrating technological innovations across biology, chemistry, automation, data science, and engineering. The platform includes the Recursion Operating System, which combines an advanced infrastructure layer to generate proprietary biological and chemical datasets, and the Recursion Map, a suite of custom software, algorithms, and machine learning tools. Our platform depends upon the continuous, effective, and reliable operation of our software, hardware, databases, and related tools and functions, as well as the integrity of our data. Our ability to develop drug candidates and increase revenue depends in large part on our ability to enhance and improve our platform. The success of any enhancement to our platform depends on several factors, including (i) innovation in hardware solutions; (ii) increased computational storage and processing capacity; (iii) development of more advanced algorithms; and (iv) generation of additional biological and chemical data, such as that which is necessary to our ability to identify important and emerging use cases and quickly develop new and effective innovations to address those use cases.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invested, and expect to continue to invest, in research and development efforts, acquisitions, and licensing agreements that further enhance our platform. These investments may involve significant time, risks, and uncertainties, including the risks that any new software or hardware enhancement or the integration of software or hardware from an acquired company or third party licensor may not be introduced in a timely or cost-effective manner; may not keep pace with technological developments; or may not achieve the functionality necessary to generate significant revenues.</w:t>
      </w:r>
    </w:p>
    <w:p>
      <w:pPr>
        <w:spacing w:after="0" w:line="2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proprietary software tools, hardware, and data sets are inherently complex. We have from time to time found defects, vulnerabilities, or other errors in our software and hardware that produce the data sets we use to discover new drug candidates, and new errors with our software and hardware may be detected in the future. The risk of errors is particularly significant when new software or hardware is first introduced or when new versions or enhancements of existing software or hardware are implemented. Errors may also result from the interface of our proprietary software and hardware tools with our data or with third-party systems and data.</w:t>
      </w:r>
    </w:p>
    <w:p>
      <w:pPr>
        <w:spacing w:after="0" w:line="20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If we are unable to successfully enhance our drug discovery platform, or if there are any defects or disruptions in our platform that are not timely resolved, our ability to develop new innovations and ultimately gain market acceptance of our products and discoveries could be materially and adversely impacted, and our reputation, business, operating results and prospects could be materially harmed.</w:t>
      </w:r>
    </w:p>
    <w:p>
      <w:pPr>
        <w:spacing w:after="0" w:line="200"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Our information technology systems and infrastructure may fail or experience security breaches and incidents that could adversely impact our business and operations and subject us to liability.</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experienced significant growth in the complexity of our data and the software tools that our hardware infrastructure supports.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 We also outsource elements of our operations to, and obtain products and services from, third parties and engage in collaborations for drug discovery with third parties, each of which has or could have access to our confidential or proprietary information.</w:t>
      </w:r>
    </w:p>
    <w:p>
      <w:pPr>
        <w:spacing w:after="0" w:line="2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deploy and operate an array of technical and procedural controls to reduce the risks to our information technology systems, infrastructure and data and to work to maintain the availability, confidentiality and integrity of our data, and we expect to continue to incur significant costs on such detection and prevention efforts.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 These causes or sources include but are not limited to the following:</w:t>
      </w:r>
    </w:p>
    <w:p>
      <w:pPr>
        <w:spacing w:after="0" w:line="209" w:lineRule="exact"/>
        <w:rPr>
          <w:sz w:val="20"/>
          <w:szCs w:val="20"/>
          <w:color w:val="auto"/>
        </w:rPr>
      </w:pPr>
    </w:p>
    <w:p>
      <w:pPr>
        <w:ind w:left="400" w:hanging="177"/>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service interruptions;</w:t>
      </w:r>
    </w:p>
    <w:p>
      <w:pPr>
        <w:spacing w:after="0" w:line="27" w:lineRule="exact"/>
        <w:rPr>
          <w:rFonts w:ascii="Arial" w:cs="Arial" w:eastAsia="Arial" w:hAnsi="Arial"/>
          <w:sz w:val="18"/>
          <w:szCs w:val="18"/>
          <w:color w:val="auto"/>
        </w:rPr>
      </w:pPr>
    </w:p>
    <w:p>
      <w:pPr>
        <w:ind w:left="400" w:hanging="177"/>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system malfunctions;</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computer viruses and other malicious code;</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global political instability;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00" w:hanging="177"/>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warfare;</w:t>
      </w:r>
    </w:p>
    <w:p>
      <w:pPr>
        <w:spacing w:after="0" w:line="27" w:lineRule="exact"/>
        <w:rPr>
          <w:rFonts w:ascii="Arial" w:cs="Arial" w:eastAsia="Arial" w:hAnsi="Arial"/>
          <w:sz w:val="18"/>
          <w:szCs w:val="18"/>
          <w:color w:val="auto"/>
        </w:rPr>
      </w:pPr>
    </w:p>
    <w:p>
      <w:pPr>
        <w:ind w:left="400" w:hanging="177"/>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telecommunication and electrical failures;</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inadvertent or intentional actions by our employees or third-party providers; and</w:t>
      </w:r>
    </w:p>
    <w:p>
      <w:pPr>
        <w:spacing w:after="0" w:line="9" w:lineRule="exact"/>
        <w:rPr>
          <w:rFonts w:ascii="Arial" w:cs="Arial" w:eastAsia="Arial" w:hAnsi="Arial"/>
          <w:sz w:val="18"/>
          <w:szCs w:val="18"/>
          <w:color w:val="auto"/>
        </w:rPr>
      </w:pPr>
    </w:p>
    <w:p>
      <w:pPr>
        <w:jc w:val="both"/>
        <w:ind w:left="400" w:right="720" w:hanging="177"/>
        <w:spacing w:after="0" w:line="296" w:lineRule="auto"/>
        <w:tabs>
          <w:tab w:leader="none" w:pos="39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cyber-attacks by malicious third parties, including the deployment of ransomware and malware, denial-of-service attacks, social engineering, and other means to affect service reliability and threaten the confidentiality, integrity, and availability of information.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such as the conflict between Russia and Ukraine. The costs to us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experienced, and may continue to experience, cyber-attacks, security breaches and incidents, and other system failures, although to our knowledge we have not experienced any material interruption or incident as of December 31, 2023. The loss, corruption, unavailability of, or damage to our data would interfere with and undermine the insights we draw from our platform and could impair the integrity of our clinical trial data, leading to regulatory delays or the inability to get our drug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trade secrets, individuals’ personal information, or other proprietary or sensitive data. A security breach or incident that leads to unauthorized acquisition, disclosure, or other processing of our intellectual property or other proprietary information could also affect our intellectual property rights and enable competitors to compete with us more effectively. Likewise, as we rely on third parties for the manufacture of our drug candidates and to conduct clinical trials, similar events relating to their systems and operations could also have a material adverse effect on our business and lead to regulatory agency actions.</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Moreover, any security breach or other event that leads to loss of, unauthorized access to, disclosure of, or other processing of personal information, including personal information regarding clinical trial subjects, contractors, directors, or employees, or the perception any of these has occurred,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“Risk Factors— We are subject to U.S. and foreign laws regarding privacy, data protection, and data security that could entail substantial compliance costs, while the failure to comply could subject us to significant liability” set forth below.</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Failures, disruptions, security breaches and incidents, cyber-attacks, and other harmful events impacting data processed or maintained in our business, or information technology systems or infrastructure used in our business, including those resulting in a loss of or damage to our information technology systems or infrastructure, or the loss of or inappropriate acquisition, disclosure, or other processing of confidential, proprietary, or personal information, or the perception any of these has occurred, could expose us to a risk of loss, enforcement measures, regulatory agency investigations, proceedings, and other actions, penalties, fines, indemnification claims, litigation, potential civil or criminal liability, collaborators’ loss of confidence, damage to our reputation, and other consequences, which could materially adversely affect our business and results of operations. While we maintain insurance coverage for certain expenses and liabilities related to failures or breaches of our information technology systems, it may not be adequate to cover all losses associated with such events. In addition, such insurance may not be available to us in the future on satisfactory terms or at all. Furthermore, if the information technology systems of third parties with whom we do business become subject to disruptions or security breaches or incidents, we may have insufficient recourse against them.</w:t>
      </w:r>
    </w:p>
    <w:p>
      <w:pPr>
        <w:spacing w:after="0" w:line="214"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rely on third-party data centers and telecommunications solutions, including cloud infrastructure services such as Google Cloud and Amazon Web Services, to host substantial portions of our technology platforms and to support our business operations. We have no control over these cloud-based service or other third-party providers, although we attempt to reduce risk by minimizing reliance on any single third party or its operations. We have experienced, and expect we may in the future again experience, system interruptions, outages, or delays due to a variety of factors, including infrastructure changes, human or software errors, website hosting disruptions, and capacity constraints. A prolonged service disruption affecting our cloud-based solutions could damage our reputation or otherwise materially harm our business.</w:t>
      </w:r>
    </w:p>
    <w:p>
      <w:pPr>
        <w:spacing w:after="0" w:line="20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Further, if the security measures of our third-party data center or cloud infrastructure providers are breached by cyber-attacks or other means and unauthorized access to our information technology systems or data occurs, it could result in interruptions to our operations and the loss of proprietary or confidential information, which could damage our reputation, cause us to incur substantial costs, divert our resources from other tasks, and subject us to significant legal and financial exposure and liabilities, any one of which could materially adversely affect our business, results of operations, and prospects. Such third-party providers may also be subject to natural disasters, global political instability, warfare, power losses, telecommunications failures, or other disruptive events that could negatively affect our business and require us to incur significant costs to secure alternate cloud-based solutions. In addition, any changes in our third-party providers’ service levels or features that we utilize or a termination of our agreements could also adversely affect our business.</w:t>
      </w:r>
    </w:p>
    <w:p>
      <w:pPr>
        <w:spacing w:after="0" w:line="214"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Our solutions utilize third-party open source software (OSS), which presents risks that could adversely affect our business and subject us to possible litigation.</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solutions include software that is licensed from third parties under open source licenses, and we expect to continue to incorporate such OSS in our solutions in the future. We cannot ensure that we have effectively monitored our use of OSS, validated the quality or source of such software, or are in compliance with the terms of the applicable open source licenses or our policies and procedures. Use of OSS may entail greater risks than use of third-party commercial software because open source licensors generally do not provide support, updates, or warranties or other contractual protections regarding infringement claims or the quality of the code. OSS may also be more susceptible to security vulnerabilities. Third-party OSS providers could experience service outages, data loss, privacy breaches, cyber-attacks, and other events relating to the applications and services they provide, which could diminish the utility of these services and harm our business. We also could be subject to lawsuits by third parties claiming that what we believe to be licensed OSS infringes such parties’ intellectual property rights, which could be costly for us to defend and require us to devote additional research and development resources to change our solutions.</w:t>
      </w:r>
    </w:p>
    <w:p>
      <w:pPr>
        <w:spacing w:after="0" w:line="214"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Issues relating to the use of artificial intelligence and machine learning in our offerings could adversely affect our business and operating results.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incorporate artificial intelligence and machine learning (“AI”) solutions into our platform, in applications that are important to our operations and our drug discovery processes. There are significant risks involved in utilizing AI.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Known risks of AI currently include inaccuracy, bias, toxicity, intellectual property infringement or misappropriation, data privacy and cybersecurity issues, and data provenance disputes. Perceived or actual technical, legal, compliance, privacy, security, ethical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See the section titled “—Regulatory and legislative developments related to the use of AI could adversely affect our use of such technologies in our products, services, and business.” Developing, testing and deploying AI systems may also increase the cost profile of our product offerings due to the nature of the computing costs involved in such systems, which could impact our project margin and adversely affect our business and operating results. In addition, AI may have or produce errors or inadequacies that are not easily detectable.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remains uncertain, and development of the law in this area could impact our ability to enforce our proprietary rights or protect against infringing uses. If we do not have sufficient rights to collect or use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data on which our AI relies or to the outputs produced by AI applications, we may incur liability through the alleged violation of certain laws, third-party privacy rights, online terms of service, or other contracts to which we or our data providers are a party. Our use of AI applications may also, in the future, result in cybersecurity incidents that implicate the personal data of customers or patients. Any such cybersecurity incidents related to our use of AI applications could adversely affect our reputation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OPERATIONS/COMMERCIALIZATION</w:t>
      </w:r>
    </w:p>
    <w:p>
      <w:pPr>
        <w:spacing w:after="0" w:line="254" w:lineRule="exact"/>
        <w:rPr>
          <w:sz w:val="20"/>
          <w:szCs w:val="20"/>
          <w:color w:val="auto"/>
        </w:rPr>
      </w:pPr>
    </w:p>
    <w:p>
      <w:pPr>
        <w:ind w:right="460"/>
        <w:spacing w:after="0" w:line="325" w:lineRule="auto"/>
        <w:rPr>
          <w:sz w:val="20"/>
          <w:szCs w:val="20"/>
          <w:color w:val="auto"/>
        </w:rPr>
      </w:pPr>
      <w:r>
        <w:rPr>
          <w:rFonts w:ascii="Arial" w:cs="Arial" w:eastAsia="Arial" w:hAnsi="Arial"/>
          <w:sz w:val="17"/>
          <w:szCs w:val="17"/>
          <w:b w:val="1"/>
          <w:bCs w:val="1"/>
          <w:i w:val="1"/>
          <w:iCs w:val="1"/>
          <w:color w:val="auto"/>
        </w:rPr>
        <w:t>Even if any drug candidates we develop receive marketing approval, they may fail to achieve the degree of market acceptance by physicians, patients, healthcare payors, and others in the medical community necessary for commercial success.</w:t>
      </w:r>
    </w:p>
    <w:p>
      <w:pPr>
        <w:spacing w:after="0" w:line="144"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The commercial success of our drug candidates that receive marketing approval will depend upon their degree of market acceptance by physicians, patients, third-party payors, and others in the medical community. The degree of market acceptance will depend on a number of factors, including but not limited to the following:</w:t>
      </w:r>
    </w:p>
    <w:p>
      <w:pPr>
        <w:spacing w:after="0" w:line="198" w:lineRule="exact"/>
        <w:rPr>
          <w:sz w:val="20"/>
          <w:szCs w:val="20"/>
          <w:color w:val="auto"/>
        </w:rPr>
      </w:pPr>
    </w:p>
    <w:p>
      <w:pPr>
        <w:ind w:left="380" w:hanging="157"/>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their efficacy and safety as demonstrated in pivotal clinical trials and published in peer-reviewed journals;</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their potential and perceived advantages compared to alternative treatments, including any similar generic treatments;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prevalence and severity of any side effects or adverse events;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ability to offer these products for sale at competitive prices;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ability to offer appropriate patient access programs, such as co-pay assistance;</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their convenience and ease of dosing and administration compared to alternative treatments;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clinical indications for which the drug candidate is approved by the FDA or comparable regulatory authorities;</w:t>
      </w:r>
    </w:p>
    <w:p>
      <w:pPr>
        <w:spacing w:after="0" w:line="9" w:lineRule="exact"/>
        <w:rPr>
          <w:rFonts w:ascii="Arial" w:cs="Arial" w:eastAsia="Arial" w:hAnsi="Arial"/>
          <w:sz w:val="18"/>
          <w:szCs w:val="18"/>
          <w:color w:val="auto"/>
        </w:rPr>
      </w:pPr>
    </w:p>
    <w:p>
      <w:pPr>
        <w:ind w:left="380" w:right="160" w:hanging="157"/>
        <w:spacing w:after="0" w:line="250" w:lineRule="auto"/>
        <w:tabs>
          <w:tab w:leader="none" w:pos="3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comparable foreign regulatory authorities, including any limitations, contraindications, or warnings;</w:t>
      </w: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publicity concerning these products or competing products and treatments;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favorable third-party coverage and sufficient reimbursement.</w:t>
      </w:r>
    </w:p>
    <w:p>
      <w:pPr>
        <w:spacing w:after="0" w:line="23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Sales of medical products also depend on the willingness of physicians to prescribe treatment with our drug products, which is likely to be based on a determination by these physicians that the products are safe, therapeutically effective, and cost effective. In addition, the inclusion or exclusion of products from treatment guidelines established by various physician groups, as well as the viewpoints of influential physicians, can affect the willingness of other physicians to prescribe treatment with our drug products. We cannot predict whether physicians, physicians’ organizations, hospitals, other healthcare providers, government agencies, or private insurers will determine that any product we may develop is safe, therapeutically effective and cost effective as compared with competing treatments. If any drug candidates we develop do not achieve an adequate level of acceptance, we may not generate significant product revenue, and we may not become profitable.</w:t>
      </w:r>
    </w:p>
    <w:p>
      <w:pPr>
        <w:spacing w:after="0" w:line="214"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sell and market any drug candidates we may develop, we may not be successful in commercializing those drug candidates, if and when they are approved.</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do not have a sales or marketing infrastructure and have little experience in the sale, marketing, or distribution of pharmaceutical products. To achieve commercial success for any approved product for which we retain sales and marketing responsibilities, we must either develop a sales and marketing organization, develop sales and marketing software solutions, or outsource these functions to third parties. In the future, we may choose to build a focused sales, marketing, and commercial support infrastructure to market and sell our drug candidates, if and when they are approved. We may also elect to enter into collaborations or strategic partnerships with third parties to engage in commercialization activities with respect to selected drug candidates, indications, or geographic territories, including territories outside the United States, although there is no guarantee we will be able to enter into these arrangements.</w:t>
      </w:r>
    </w:p>
    <w:p>
      <w:pPr>
        <w:spacing w:after="0" w:line="21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specialists is expensive and time-consuming and could delay any product launch. If the commercial launch of a drug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Factors that may inhibit our efforts to commercialize any approved product on our own include but are not limited to the following:</w:t>
      </w:r>
    </w:p>
    <w:p>
      <w:pPr>
        <w:spacing w:after="0" w:line="206" w:lineRule="exact"/>
        <w:rPr>
          <w:sz w:val="20"/>
          <w:szCs w:val="20"/>
          <w:color w:val="auto"/>
        </w:rPr>
      </w:pPr>
    </w:p>
    <w:p>
      <w:pPr>
        <w:ind w:left="380" w:right="120" w:hanging="157"/>
        <w:spacing w:after="0" w:line="260"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inability to recruit and retain adequate numbers of effective sales, marketing, reimbursement, customer service, medical affairs, and other support personnel;</w:t>
      </w:r>
    </w:p>
    <w:p>
      <w:pPr>
        <w:spacing w:after="0" w:line="1" w:lineRule="exact"/>
        <w:rPr>
          <w:rFonts w:ascii="Arial" w:cs="Arial" w:eastAsia="Arial" w:hAnsi="Arial"/>
          <w:sz w:val="18"/>
          <w:szCs w:val="18"/>
          <w:color w:val="auto"/>
        </w:rPr>
      </w:pPr>
    </w:p>
    <w:p>
      <w:pPr>
        <w:ind w:left="380" w:right="780" w:hanging="157"/>
        <w:spacing w:after="0" w:line="250"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inability of sales personnel or software tools to obtain access to physicians or persuade adequate numbers of physicians to prescribe any future approved products;</w:t>
      </w:r>
    </w:p>
    <w:p>
      <w:pPr>
        <w:ind w:left="380" w:right="200" w:hanging="157"/>
        <w:spacing w:after="0" w:line="250"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ind w:left="380" w:hanging="156"/>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inability to price products at a sufficient price point to enable an adequate and attractive level of profitability;</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9" w:lineRule="exact"/>
        <w:rPr>
          <w:rFonts w:ascii="Arial" w:cs="Arial" w:eastAsia="Arial" w:hAnsi="Arial"/>
          <w:sz w:val="18"/>
          <w:szCs w:val="18"/>
          <w:color w:val="auto"/>
        </w:rPr>
      </w:pPr>
    </w:p>
    <w:p>
      <w:pPr>
        <w:ind w:left="380" w:right="660" w:hanging="156"/>
        <w:spacing w:after="0" w:line="250"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380" w:hanging="156"/>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they may also experience many of the above challenges. In addition, our product revenue or the profitability of product revenue may be lower than if we were to market and sell any products we may develop internally. We may not be successful in entering into such arrangements, or we may be unable to do so on terms that are favorable to us or them. We also may have little control over such third parties, and any of them may fail to devote the necessary resources and attention to sell and market our products effectively, or they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any future approved drug candidates.</w:t>
      </w:r>
    </w:p>
    <w:p>
      <w:pPr>
        <w:spacing w:after="0" w:line="214"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We are subject to regulatory and operational risks associated with the physical and digital infrastructure at both our internal facilities and those of our external service providers.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facilities in Salt Lake City, Utah have not been reviewed or pre-approved by any regulatory agency, such as the FDA. An inspection by the FDA could disrupt our ability to generate data and develop drug candidates. Our laboratory facilities are designed to incorporate a significant level of automation of equipment, with integration of several digital systems to improve efficiency of research operations. We have attempted to achieve a high level of digitization for a research operation relative to industry standards. While this is meant to improve operational efficiency, this may pose additional risk of equipment malfunction and even overall system failure or shutdown due to internal or external factors including, but not limited to, design issues, system compatibility, or potential cybersecurity breaches. This may lead to delay in potential drug candidate identification or a shutdown of our facility. Any disruption in our data generation capabilities could cause delays in advancing new drug candidates into our pipeline, advancing existing programs, or enhancing the capabilities of our platform, including expanding our data, the occurrence of which could have a material adverse effect on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In the future, we may manufacture drug substances or products at our facilities for preclinical and clinical use, and we may face risks arising from our limited prior manufacturing capability and experience.</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currently have the infrastructure or capability internally to manufacture drug substances or products for preclinical, clinical, or commercial use. If, in the future, we decide to produce drug substances or products for preclinical and clinical use, the costs of developing suitable facilities and infrastructure and implementing appropriate manufacturing processes may be greater than expected. We may also have difficulty implementing the full operational state of the facility, causing delays to preclinical or clinical supply or the need to rely on third-party service providers, resulting in unplanned expenses.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920"/>
        <w:spacing w:after="0" w:line="294" w:lineRule="auto"/>
        <w:rPr>
          <w:sz w:val="20"/>
          <w:szCs w:val="20"/>
          <w:color w:val="auto"/>
        </w:rPr>
      </w:pPr>
      <w:r>
        <w:rPr>
          <w:rFonts w:ascii="Arial" w:cs="Arial" w:eastAsia="Arial" w:hAnsi="Arial"/>
          <w:sz w:val="18"/>
          <w:szCs w:val="18"/>
          <w:b w:val="1"/>
          <w:bCs w:val="1"/>
          <w:i w:val="1"/>
          <w:iCs w:val="1"/>
          <w:color w:val="auto"/>
        </w:rPr>
        <w:t>Recursion, or the third parties upon whom we depend, may be adversely affected by natural disasters, and our business continuity plans and insurance coverage may not be adequate.</w:t>
      </w:r>
    </w:p>
    <w:p>
      <w:pPr>
        <w:spacing w:after="0" w:line="166"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current operations are located in Salt Lake City, Utah; Milpitas, California; and Montreal, Canada. A natural disaster or other serious unplanned event, such as flood, fire, explosion, earthquake, extreme weather condition, pandemic (including COVID-19), power shortage, telecommunications failure, global political instability, warfare, or man-made incident, could result in us being unable to fully utilize our facilities, delays in the development of our drug candidates, interruption of our business operations, or unexpected increased costs, which may have a material and adverse effect on our business. Our collaboration partners, as well as suppliers to us or our collaboration partners, and our third-party service providers and vendors, are similarly subject to some or all of these events. If a natural disaster, power outage, or other event occurs that (i) prevents us from using all or a significant portion of our headquarters or our datacenters; (ii) damages critical infrastructure or our equipment, such as our research facilities or the manufacturing facilities of our third-party contract manufacturers; or (iii) otherwise significantly disrupts operations, it may be difficult, or in certain cases impossible, for us to continue our business for a substantial period of time.</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Furthermore, the disaster recovery and business continuity plans we have in place may prove inadequate in the event of a serious disaster or similar event. We may incur substantial expenses, business interruptions, and harm to our research and development programs as a result of the limited nature of our disaster recovery and business continuity plans. As part of our risk management policy, we maintain insurance coverage at levels that we believe are appropriate for our business to the extent it is available on commercially reasonable terms. However, in the event of an accident or incident at these facilities, the amounts of insurance may not be sufficient to cover all of our damages and losses.</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addition, our facilities in Salt Lake City, Utah are located in a busy downtown area. Although we believe we have taken the necessary steps to ensure our operations are safe to the surrounding area, there could be a risk to the public if we were to conduct hazardous material research, including use of flammable chemicals and materials, at our facilities. If the surrounding community perceives our facility as unsafe, it could have a material and adverse effect on our reputation, operations, and prospects.</w:t>
      </w:r>
    </w:p>
    <w:p>
      <w:pPr>
        <w:spacing w:after="0" w:line="205" w:lineRule="exact"/>
        <w:rPr>
          <w:sz w:val="20"/>
          <w:szCs w:val="20"/>
          <w:color w:val="auto"/>
        </w:rPr>
      </w:pPr>
    </w:p>
    <w:p>
      <w:pPr>
        <w:ind w:right="1240"/>
        <w:spacing w:after="0" w:line="294" w:lineRule="auto"/>
        <w:rPr>
          <w:sz w:val="20"/>
          <w:szCs w:val="20"/>
          <w:color w:val="auto"/>
        </w:rPr>
      </w:pPr>
      <w:r>
        <w:rPr>
          <w:rFonts w:ascii="Arial" w:cs="Arial" w:eastAsia="Arial" w:hAnsi="Arial"/>
          <w:sz w:val="18"/>
          <w:szCs w:val="18"/>
          <w:b w:val="1"/>
          <w:bCs w:val="1"/>
          <w:i w:val="1"/>
          <w:iCs w:val="1"/>
          <w:color w:val="auto"/>
        </w:rPr>
        <w:t>If we fail to comply with environmental, health and safety, or other laws and regulations, we could become subject to fines, penalties, or personal injury or property damages.</w:t>
      </w:r>
    </w:p>
    <w:p>
      <w:pPr>
        <w:spacing w:after="0" w:line="16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are subject to numerous environmental, health and safety, and other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significant damages for harm to persons or property, as well as civil or criminal fines and penalties. Although we maintain workers’ compensation insurance to cover costs and expenses arising from injuries to our employees resulting from the use of hazardous materials, this insurance may not provide adequate coverage against all such potential liabilities.</w:t>
      </w:r>
    </w:p>
    <w:p>
      <w:pPr>
        <w:spacing w:after="0" w:line="214"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do not carry insurance for all categories of risk that our business may encounter and insurance coverage is becoming increasingly expensive.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drug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drug candidates could be suspended, which could adversely affect our results of operations and business, including by preventing or limiting the development and commercialization of any drug candidates that we or our collaborators may identify. Additionally, operating as a public company has made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it more expensive for us to obtain directors and officers liability insurance. If we do not maintain adequate levels of directors and officers liability insurance, it may be more difficult for us to attract and retain qualified individuals to serve on our board of directors and in our executive team.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substantial federal net operating loss (NOL) carryforwards. To the extent that we continue to generate taxable losses as expected, unused losses will carry forward to offset future taxable income, if any, until such unused losses expire, except the federal NOLs generated during and after fiscal year 2018 are carried forward indefinitely. Under Section 382 of the Internal Revenue Code of 1986, as amended, if a corporation undergoes an “ownership change,” its ability to use pre-change NOL carryforwards and certain other pre-change tax attributes (such as research tax credits) to offset its post-change income could be subject to an annual limitation. An “ownership change” is generally defined as a greater than 50% change by value in the ownership of the corporation’s equity by one or more 5% shareholders over a three-year period. Such annual limitation could result in the expiration of a portion of our NOL carryforwards before full utilization thereof. We may have experienced ownership changes within the meaning of Section 382 in the past and we may experience some ownership changes in the future as a result of subsequent shifts in our stock ownership, such as a result of our follow-on offerings or subsequent shifts in our stock ownership (some of which shifts are outside our control). We have not yet conducted a study to assess whether an ownership change has occurred. Future legislative or regulatory changes could also negatively impact our ability to utilize our NOL carryforwards or other tax attributes. Provisions of state tax law may also suspend or otherwise limit our ability to use NOLs and accumulated state tax attributes. As a result, if we attain profitability, we may be unable to use all or a material portion of our NOL carryforwards and other tax attributes for federal and state tax purposes, which could result in increased tax liability and adversely affect our future cash flows.</w:t>
      </w:r>
    </w:p>
    <w:p>
      <w:pPr>
        <w:spacing w:after="0" w:line="214"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Tax Cuts and Jobs Act of 2017 (TCJA) eliminated the option to deduct research and development expenditures currently and requires taxpayers to capitalize and amortize them over five or fifteen years pursuant to Code Section 174, beginning in 2022. Further, the Inflation Reduction Act of 2022 (IRA), among other changes, imposes a one-percent excise tax on stock repurchases made on or after January 1, 2023. Any further changes in tax laws or regulations that are applied adversely to us could have a material adverse effect on our business, cash flow, financial condition or results of operations.</w:t>
      </w:r>
    </w:p>
    <w:p>
      <w:pPr>
        <w:spacing w:after="0" w:line="212"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stock-based compensation and valuation of our equity investments in early-stage biotechnology companies. Our results of operations may be adversely affected if our assumptions change or if actual circumstances differ from those in our assumptions.</w:t>
      </w:r>
    </w:p>
    <w:p>
      <w:pPr>
        <w:spacing w:after="0" w:line="20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or changes in their interpretation, we might be required to change our accounting policies, alter our operational policies, and implement new or enhanced systems so that they reflect new or amended financial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reporting standards, or we may be required to restate our published financial statements, which may have an adverse effect on our financial position and reputation.</w:t>
      </w:r>
    </w:p>
    <w:p>
      <w:pPr>
        <w:spacing w:after="0" w:line="182"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Product liability lawsuits could cause us to incur substantial liabilities and could limit commercialization of any drug candidates that we may develop.</w:t>
      </w:r>
    </w:p>
    <w:p>
      <w:pPr>
        <w:spacing w:after="0" w:line="16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face an inherent risk of product liability exposure related to the testing of drug candidates in human clinical trials, and we will face an even greater risk if we commercially sell any medicines that we may develop. If we cannot successfully defend ourselves against claims that our drug candidates or medicines caused injuries, we could incur substantial damages or settlement liability. Regardless of merit or eventual outcome, liability claims may also result in adverse effects including but not limited to the following:</w:t>
      </w:r>
    </w:p>
    <w:p>
      <w:pPr>
        <w:spacing w:after="0" w:line="203" w:lineRule="exact"/>
        <w:rPr>
          <w:sz w:val="20"/>
          <w:szCs w:val="20"/>
          <w:color w:val="auto"/>
        </w:rPr>
      </w:pPr>
    </w:p>
    <w:p>
      <w:pPr>
        <w:ind w:left="380" w:hanging="156"/>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decreased demand for any drug candidates or therapeutics that we may develop;</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significant costs to defend the litigation;</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inability to commercialize our drug candidates.</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drug candidates. The market for insurance coverage can be challenging, and the costs of insurance coverage will increase as our clinical programs increase in size. We may not be able to maintain insurance coverage at a reasonable cost and with adequate limits to satisfy any and all liability that may arise.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4" w:lineRule="exact"/>
        <w:rPr>
          <w:sz w:val="20"/>
          <w:szCs w:val="20"/>
          <w:color w:val="auto"/>
        </w:rPr>
      </w:pPr>
    </w:p>
    <w:p>
      <w:pPr>
        <w:ind w:right="1280"/>
        <w:spacing w:after="0" w:line="294" w:lineRule="auto"/>
        <w:rPr>
          <w:sz w:val="20"/>
          <w:szCs w:val="20"/>
          <w:color w:val="auto"/>
        </w:rPr>
      </w:pPr>
      <w:r>
        <w:rPr>
          <w:rFonts w:ascii="Arial" w:cs="Arial" w:eastAsia="Arial" w:hAnsi="Arial"/>
          <w:sz w:val="18"/>
          <w:szCs w:val="18"/>
          <w:b w:val="1"/>
          <w:bCs w:val="1"/>
          <w:i w:val="1"/>
          <w:iCs w:val="1"/>
          <w:color w:val="auto"/>
        </w:rPr>
        <w:t>Third parties that perform some of our research and preclinical testing or conduct our clinical trials may not perform satisfactorily or their agreements may be terminated.</w:t>
      </w:r>
    </w:p>
    <w:p>
      <w:pPr>
        <w:spacing w:after="0" w:line="16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currently rely, and expect to continue to rely, on third parties to conduct some aspects of research and preclinical testing and clinical trials. The third parties include CROs, clinical data management organizations, medical institutions, and principal investigators. Any of these third parties may fail to fulfill their contractual obligations, including by not meeting deadlines for the completion of research, testing, or trials, or we or they may terminate their engagements with us. If any of our relationships with these third parties terminate, we may not be able to enter into arrangements with alternative third parties on commercially reasonable terms, or at all. If we need to enter into alternative arrangements, such negotiations could delay product development activities.</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reliance on third parties for research and development activities reduces our control over these activities, but does not relieve us of our responsibilities. For example, we remain responsible for ensuring that each of our respective clinical trials is conducted in accordance with the general investigational plan and protocols for the trial, as well as applicable legal, regulatory, and scientific standards. We also are required to register ongoing clinical trials and post the results of completed clinical trials on a government-sponsored database within certain timeframes. In addition, the FDA and comparable foreign regulatory authorities require compliance with good clinical practices (GCP) guidelines for conducting, recording, and reporting the results of clinical trials to assure that data and reported results are credible, reproducible, and accurate, and that the rights, integrity, and confidentiality of trial participants are protected. Regulatory authorities enforce GCP compliance through periodic inspections of trial sponsors, principal investigators, and trial sites.</w:t>
      </w:r>
    </w:p>
    <w:p>
      <w:pPr>
        <w:spacing w:after="0" w:line="21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If we or any of the third parties fail to comply with applicable GCP regulations, some or all of the clinical data generated in our clinical trials may be deemed unreliable, and the FDA or comparable foreign regulatory authorities may require us to perform additional nonclinical or clinical trials or to enroll additional patients before approving our marketing applications. In addition, if we or the third parties fail to comply with our stated protocols or applicable laws and regulations during the conduct of clinical trials, we or the third parties could be subject to warning letters or enforcement actions by the FDA and comparable foreign regulatory authorities, which could result in civil penalties or criminal prosecution, as well as adverse publicity that harms our business.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also will not be able to obtain, or may be delayed in obtaining, marketing approvals for any drug candidates we may develop if these third parties do not successfully carry out their contractual duties, meet expected deadlines, or conduct clinical trials in accordance with our stated protocols or regulatory requirements. As a result, we may be delayed or unable to successfully commercialize our drug candidates.</w:t>
      </w:r>
    </w:p>
    <w:p>
      <w:pPr>
        <w:spacing w:after="0" w:line="200"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b w:val="1"/>
          <w:bCs w:val="1"/>
          <w:i w:val="1"/>
          <w:iCs w:val="1"/>
          <w:color w:val="auto"/>
        </w:rPr>
        <w:t>Third parties that manufacture our drug candidates for preclinical development, clinical testing, and future commercialization may not provide sufficient quantities of our drug candidates or products at an acceptable cost, which could delay, impair, or prevent our development or commercialization efforts.</w:t>
      </w:r>
    </w:p>
    <w:p>
      <w:pPr>
        <w:spacing w:after="0" w:line="18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do not currently own or operate any manufacturing facilities and have no manufacturing personnel. We rely, and expect to continue to rely, on third parties for drug supplies for our clinical trials, the manufacture of many of our drug candidates for preclinical development and clinical testing, as well as the commercial manufacture of our products if any of our drug candidates receive marketing approval. We may be unable to establish necessary agreements with third-party manufacturers or to do so on acceptable terms. This reliance on third parties increases the risk that we will not have sufficient quantities of our drug candidates or products, or will not have sufficient quantities at an acceptable cost or quality, which could delay, impair, or prevent our development or commercialization efforts.</w:t>
      </w:r>
    </w:p>
    <w:p>
      <w:pPr>
        <w:spacing w:after="0" w:line="200" w:lineRule="exact"/>
        <w:rPr>
          <w:sz w:val="20"/>
          <w:szCs w:val="20"/>
          <w:color w:val="auto"/>
        </w:rPr>
      </w:pP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the facilities used by our contract manufacturers to manufacture our drug candidates must be inspected by the FDA pursuant to pre-approval inspections that will be conducted after we submit our marketing applications to the FDA. We do not expect to control the manufacturing process of, and will be completely dependent on, our contract manufacturers for compliance with current good manufacturing practice guidelines (cGMP) in connection with the manufacture of our drug candidates in the near to intermediate term, or possibly the long term. If our contract manufacturers cannot maintain adequate quality control and qualified personnel to successfully manufacture material that conforms to our specifications and the strict regulatory requirements of the FDA or others, including cGMP guidelines, they will not be able to pass regulatory inspections and/or maintain regulatory compliance for their manufacturing facilities.</w:t>
      </w: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the FDA or a comparable foreign regulatory authority finds deficiencies with, does not approve, or withdraws approval of these facilities for the manufacture of our drug candidates, we may need to find alternative manufacturing facilities, which would significantly impact our timelines and ability to develop, obtain regulatory approval for, or market our drug candidates, if approved. There are a limited number of manufacturers that operate under cGMP regulations and that might be capable of manufacturing for us. Our drug candidates and any other products that we may develop may compete with the drug candidates and approved products of other companies for access to manufacturing facilities or capacity, which may further restrict our ability to secure alternative manufacturing sites.</w:t>
      </w:r>
    </w:p>
    <w:p>
      <w:pPr>
        <w:spacing w:after="0" w:line="20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products that may be approved, operating restrictions, and criminal prosecutions, any of which could significantly and adversely affect our business, supplies of our drug candidates, and prospects.</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 but not limited to the following:</w:t>
      </w:r>
    </w:p>
    <w:p>
      <w:pPr>
        <w:spacing w:after="0" w:line="180" w:lineRule="exact"/>
        <w:rPr>
          <w:sz w:val="20"/>
          <w:szCs w:val="20"/>
          <w:color w:val="auto"/>
        </w:rPr>
      </w:pPr>
    </w:p>
    <w:p>
      <w:pPr>
        <w:ind w:left="480" w:hanging="256"/>
        <w:spacing w:after="0"/>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t>
      </w:r>
    </w:p>
    <w:p>
      <w:pPr>
        <w:spacing w:after="0" w:line="1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Any performance failure on the part of our existing or future third-party manufacturers could delay clinical development or marketing approval. If it is necessary to replace any such third-party manufacturer, we may incur added costs and delays in identifying and qualifying any a replacement. In addition, any performance failure on the part of our distributors could delay clinical development or marketing approval of any drug candidates we may develop or seek to commercialize, producing additional losses and depriving us of product revenue.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Our current and anticipated future dependence upon others for the manufacture and distribution of our drug candidates or products may adversely affect our future profit margins and our ability to commercialize any products that receive marketing approval on a timely and competitive basis, if at all.</w:t>
      </w:r>
    </w:p>
    <w:p>
      <w:pPr>
        <w:spacing w:after="0" w:line="200" w:lineRule="exact"/>
        <w:rPr>
          <w:sz w:val="20"/>
          <w:szCs w:val="20"/>
          <w:color w:val="auto"/>
        </w:rPr>
      </w:pPr>
    </w:p>
    <w:p>
      <w:pPr>
        <w:ind w:right="740"/>
        <w:spacing w:after="0" w:line="325" w:lineRule="auto"/>
        <w:rPr>
          <w:sz w:val="20"/>
          <w:szCs w:val="20"/>
          <w:color w:val="auto"/>
        </w:rPr>
      </w:pPr>
      <w:r>
        <w:rPr>
          <w:rFonts w:ascii="Arial" w:cs="Arial" w:eastAsia="Arial" w:hAnsi="Arial"/>
          <w:sz w:val="17"/>
          <w:szCs w:val="17"/>
          <w:b w:val="1"/>
          <w:bCs w:val="1"/>
          <w:i w:val="1"/>
          <w:iCs w:val="1"/>
          <w:color w:val="auto"/>
        </w:rPr>
        <w:t>If we are unable to adequately source clinical and commercial supplies, equipment, and active pharmaceutical ingredients (API) from third party vendors as our drug development pipeline matures, our business could be significantly harmed.</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procure raw materials, components, parts, consumables, reagents, and equipment used in the development and operation of our platform and the development of our drug candidates from third party vendors. We also rely on third party vendors to perform quality testing. Particular risks to our platform include reliance on third-party equipment and instrument suppliers and consumable and reagent suppliers. As we increase development of drug products and commence clinical testing and commercialization, we will require expanded capacity across our supply chain. We face risks regarding our sourcing of products and quality-testing services, including but not limited to the following:</w:t>
      </w:r>
    </w:p>
    <w:p>
      <w:pPr>
        <w:spacing w:after="0" w:line="209" w:lineRule="exact"/>
        <w:rPr>
          <w:sz w:val="20"/>
          <w:szCs w:val="20"/>
          <w:color w:val="auto"/>
        </w:rPr>
      </w:pPr>
    </w:p>
    <w:p>
      <w:pPr>
        <w:ind w:left="420" w:right="320" w:hanging="250"/>
        <w:spacing w:after="0" w:line="260" w:lineRule="auto"/>
        <w:tabs>
          <w:tab w:leader="none" w:pos="4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inability of suppliers and service providers to grow their capacity to meet demand, whether from us or other drug manufacturers, particularly if the field of technology-enabled drug discovery continues to expand;</w:t>
      </w:r>
    </w:p>
    <w:p>
      <w:pPr>
        <w:spacing w:after="0" w:line="1" w:lineRule="exact"/>
        <w:rPr>
          <w:rFonts w:ascii="Arial" w:cs="Arial" w:eastAsia="Arial" w:hAnsi="Arial"/>
          <w:sz w:val="18"/>
          <w:szCs w:val="18"/>
          <w:color w:val="auto"/>
        </w:rPr>
      </w:pPr>
    </w:p>
    <w:p>
      <w:pPr>
        <w:ind w:left="400" w:hanging="230"/>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termination or non-renewal of supply and service agreements with third parties in a manner or at a time that is costly or damaging to us;</w:t>
      </w:r>
    </w:p>
    <w:p>
      <w:pPr>
        <w:spacing w:after="0" w:line="9" w:lineRule="exact"/>
        <w:rPr>
          <w:rFonts w:ascii="Arial" w:cs="Arial" w:eastAsia="Arial" w:hAnsi="Arial"/>
          <w:sz w:val="18"/>
          <w:szCs w:val="18"/>
          <w:color w:val="auto"/>
        </w:rPr>
      </w:pPr>
    </w:p>
    <w:p>
      <w:pPr>
        <w:ind w:left="420" w:right="340" w:hanging="250"/>
        <w:spacing w:after="0" w:line="250" w:lineRule="auto"/>
        <w:tabs>
          <w:tab w:leader="none" w:pos="4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disruptions to the operations of these suppliers and service providers caused by conditions unrelated to our business or operations, including the bankruptcy of the supplier or service provider or force majeure events, such as public health crises, global political instability, natural disasters, supply chain issues, or warfare; and</w:t>
      </w:r>
    </w:p>
    <w:p>
      <w:pPr>
        <w:spacing w:after="0" w:line="1" w:lineRule="exact"/>
        <w:rPr>
          <w:rFonts w:ascii="Arial" w:cs="Arial" w:eastAsia="Arial" w:hAnsi="Arial"/>
          <w:sz w:val="18"/>
          <w:szCs w:val="18"/>
          <w:color w:val="auto"/>
        </w:rPr>
      </w:pPr>
    </w:p>
    <w:p>
      <w:pPr>
        <w:ind w:left="420" w:right="1220" w:hanging="250"/>
        <w:spacing w:after="0" w:line="266" w:lineRule="auto"/>
        <w:tabs>
          <w:tab w:leader="none" w:pos="4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inspections of third-party facilities by regulatory authorities that could have a negative outcome and result in delays in, or termination of, their ability to meet our requirements.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Moreover, certain of our specialized equipment, as well as the API used in our drug candidates, are obtained from single-source suppliers. Our ability to successfully develop our drug candidates, and to ultimately supply our commercial products in quantities sufficient to meet the market demand, depends in part on our ability to obtain equipment and the API for these products in accordance with regulatory requirements and in sufficient quantities for clinical testing and commercialization. We do not currently have arrangements in place for a redundant or second-source supply of any such equipment or ingredients in the event any of our current suppliers fails or is unable to meet our requirements. While our single-source suppliers have generally met our demand for their products on a timely basis in the past, we are not certain that they will be able to meet our future demand, whether due to any of the above factors, the nature of our agreements with those suppliers, our limited experience with those suppliers, our relative importance as a customer, or any other reason. For all of our drug candidates, we intend to identify and qualify additional vendors and manufacturers, as available, to provide such equipment and API prior to our submission of an NDA to the FDA and/or an MAA to the EMA, which may require additional regulatory inspection or approval and result in further delay.</w:t>
      </w:r>
    </w:p>
    <w:p>
      <w:pPr>
        <w:spacing w:after="0" w:line="20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Any interruption or delay in the supply of components, materials, specialized equipment, API, and quality-testing sources at acceptable prices and in a timely manner could impede, delay, limit, or prevent our development efforts, which could harm our business, results of operations, and prospects.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4"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Our success significantly depends on our ability to obtain and maintain patents of adequate scope covering our proprietary technology and drug candidate products. Obtaining and maintaining patent assets is inherently challenging, and our pending and future patent applications may not issue with the scope we need, if at all.</w:t>
      </w:r>
    </w:p>
    <w:p>
      <w:pPr>
        <w:spacing w:after="0" w:line="18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commercial success depends in significant part on our ability and the ability of our licensors and collaborators to obtain and maintain patent protection and other intellectual property rights in the United States and other countries relating to our drug product candidates and our core proprietary technologies important to the development and implementation of our business.</w:t>
      </w:r>
    </w:p>
    <w:p>
      <w:pPr>
        <w:spacing w:after="0" w:line="1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Patent prosecution is a complex, expensive, and lengthy process, with no guarantee that a patent will issue in a timely fashion or at all, or with sufficiently broad claims to protect our drug product candidates and proprietary technologies. Further, the laws and regulations for obtaining and maintaining patents are subject to change by legislative or judicial action in the relevant jurisdictions. The patent positions of pharmaceutical, biotechnology, and</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other life sciences companies in particular can be highly uncertain and involve complex legal and factual questions for which important legal principles remain unresolved. No consistent policy regarding the breadth of claims allowed in biotechnology patents has emerged to date in the U.S., and tests used for determining the patentability of patent claims in all technologies are in flux. The pharmaceutical, biotechnology, and other life sciences patent laws and regulations outside the U.S. can be even more uncertain. The U.S. Patent and Trademark Office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patent offices and courts in the United States and abroad. Third parties may invent, publish, or file patents of their own in ways which overlap or conflict with our patent rights. Moreover, even if unchallenged, our owned patent portfolio and any patent portfolio we license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drug candidates, but that has a different composition that falls outside the scope of our patent protection. In addition, patents have a limited lifespan. In the United States, the natural expiration of a patent is generally 20 years after its first effective, non-provisional filing date, and patents protecting drug candidates might expire before or shortly after the candidates are commercialized given the amount of time required for development, testing, and regulatory review. The various governmental patent agencies also require compliance with extensive rules and fee obligations. Failure to do so can, under certain circumstances, result in the abandonment of a patent application or the termination of patent rights. Non-compliance events that could result in abandonment or lapse of a patent or patent application include a failure to respond to official actions within prescribed time limits, non-payment of fees, and failure to properly legalize and submit formal documents.</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patent applications pending before the USPTO and other patent offices, and we plan to file new applications in the future. Patent offices may require us to significantly narrow our claims based upon prior art discovered by the USPTO or through third-party submissions. Moreover, we do not always have the right to control the preparation, filing, prosecution, and maintenance of licensed patents and applications under arrangements with collaborators or licensors. We may become involved in procedural challenges, including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which could result in the narrowing or elimination of our patent rights or those of our licensors. This could limit our ability to stop others from freely using or commercializing similar or identical technology and products, or limit the duration of the patent protection covering our technology and drug candidates. Such challenges may also result in our inability to manufacture or commercialize our drug candidates without infringing third-party patent rights. Further, inadvertent or intentional public disclosures of our inventions prior to the filing of a patent application have precluded us, and in the future may preclude us, from obtaining patent protection in certain jurisdictions. We also could fail to identify patentable aspects of our technology and research and development output in time to obtain patent protection.</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also currently own a number of U.S. provisional patent applications. These provisional applications are not eligible to become issued patents until, among other things, we file a non-provisional patent application within 12 months of filing one or more of our related provisional patent applications. If we do not timely file any non-provisional patent applications, we may lose our priority dates with respect to our provisional patent applications and any patent protection on the inventions disclosed in such applications.</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current patent portfolio contains a limited number of patents and patent applications, some of which are in-licensed from third parties, related to our drug product candidates and methods of their use. We do not currently own or license any issued U.S. composition of matter patents for REC-994 or REC-3964. While we license composition of matter patents for REC-4881 and REC-2282, we expect these patents to expire prior to commercial launch. We cannot be certain that any non-provisional patent applications we or our licensors may file will result in issued patent claims covering the composition of matter of REC-994, REC-2282, REC-4881, and REC-3964.</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cannot provide any assurances that any of our or our licensors’ pending or future patent applications will issue, or that any pending or future patent applications that mature into issued patents will include claims with a scope sufficient to protect our drug candidates from competition. If we fail to obtain and maintain adequate intellectual property protection covering any technology, invention, or improvement that is important to our business, or if the scope of the patent protection obtained is not sufficiently broad, we may not be able to prevent third parties from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launching generic versions of our products, from using our proprietary technologies, or from marketing products that are very similar or identical to ours. If the breadth or strength of protection provided by our patents and patent applications are threatened, it could also dissuade companies from collaborating with us to license, develop, or commercialize current or future drug candidates. This could have a material, adverse effect on our ability to successfully commercialize our technology and products, and on our business, results of operations, and prospects.</w:t>
      </w:r>
    </w:p>
    <w:p>
      <w:pPr>
        <w:spacing w:after="0" w:line="208" w:lineRule="exact"/>
        <w:rPr>
          <w:sz w:val="20"/>
          <w:szCs w:val="20"/>
          <w:color w:val="auto"/>
        </w:rPr>
      </w:pPr>
    </w:p>
    <w:p>
      <w:pPr>
        <w:jc w:val="both"/>
        <w:ind w:right="380"/>
        <w:spacing w:after="0" w:line="265" w:lineRule="auto"/>
        <w:rPr>
          <w:sz w:val="20"/>
          <w:szCs w:val="20"/>
          <w:color w:val="auto"/>
        </w:rPr>
      </w:pPr>
      <w:r>
        <w:rPr>
          <w:rFonts w:ascii="Arial" w:cs="Arial" w:eastAsia="Arial" w:hAnsi="Arial"/>
          <w:sz w:val="18"/>
          <w:szCs w:val="18"/>
          <w:b w:val="1"/>
          <w:bCs w:val="1"/>
          <w:i w:val="1"/>
          <w:iCs w:val="1"/>
          <w:color w:val="auto"/>
        </w:rPr>
        <w:t>Our current proprietary position for certain drug product candidates depends upon our owned or in-licensed patent filings covering components of such drug product candidates, manufacturing-related methods, formulations, and/or methods of use, which may not adequately prevent a competitor or other third party from using the same drug candidate for the same or a different use.</w:t>
      </w:r>
    </w:p>
    <w:p>
      <w:pPr>
        <w:spacing w:after="0" w:line="19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Composition of matter patent protection is generally considered to be desirable for drug products because it provides protection without regard to any particular method of use or manufacturing, or formulation. For some of the molecules that we in-license from our collaboration partners, we cannot rely on composition of matter patent protection as the term on those patents has already expired or is close to expiring.</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Method of use patents protect the use of a product for the specified method and formulation patents cover formulations to deliver therapeutics. While we file applications covering method of use for our programs at appropriate times in the development process, we cannot be certain that claims in any future patents issuing from these applications will cover all commercially-relevant applications of molecules in competing uses.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Additionally, some commercially-relevant jurisdictions do not allow for patents covering a new method of use of an otherwise-known molecule. Consequently, we may not be able to prevent third parties from practicing our inventions in the United States or abroad, which may have a material adverse effect on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Filing, prosecuting, maintaining, and defending patents related to our drug product candidates or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 rights or other intellectual property rights may not be effective or sufficient to prevent them from competing.</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such as certain developing countries, do not favor the enforcement of patents, trade secrets and other intellectual property protection, particularly those relating to biotechnology products, which could make it difficult for us to stop the infringement of our patent rights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U.S. and other jurisdictions.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efforts to enforce our intellectual property and proprietary rights around the world may be inadequate to obtain a significant commercial advantage from the intellectual property that we develop or license.</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2012, the European Patent Package, or EU Patent Package, regulations were passed with the goal of providing a single pan-European Unitary Patent and a new European Unified Patent Court, or UPC, for litigation involving European patents. Implementation of the EU Patent Package began in June 2023, when the UPC opened for business. Under the UPC, all European patents, including those issued prior to ratification of the European Patent Package, will by default automatically fall under the jurisdiction of the UPC. The UPC provides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we have the right to opt our patents out of the UPC over the first seven years of the court’s existence, but doing so may preclude us from realizing the benefits of the new unified court.</w:t>
      </w:r>
    </w:p>
    <w:p>
      <w:pPr>
        <w:spacing w:after="0" w:line="214"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drug product candidates we may develop, our business may be materially harmed.</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Depending upon the timing, duration, and specifics of any FDA marketing approval of any drug candidates we may develop, one or more of our U.S. patents may be eligible for limited patent term extension under the Drug Price Competition and Patent Term Restoration Action of 1984, referred to as the Hatch-Waxman Amendments. The Hatch-Waxman Amendments permit a patent extension term of up to five years as compensation for patent term lost during the FDA regulatory review process. A patent term extension cannot extend the remaining term of a patent beyond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2" w:lineRule="exact"/>
        <w:rPr>
          <w:sz w:val="20"/>
          <w:szCs w:val="20"/>
          <w:color w:val="auto"/>
        </w:rPr>
      </w:pPr>
    </w:p>
    <w:p>
      <w:pPr>
        <w:ind w:right="1160"/>
        <w:spacing w:after="0" w:line="294"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intellectual property and proprietary rights. A third party may hold intellectual property that is important or necessary to the development of our products. It may be necessary for us to use the patented or proprietary technology of third parties to commercialize our products, in which case we would be required to obtain a license from these third. For example, when we explore repurposing molecules owned by our collaboration partners or other third parties, we in-license the rights to use those molecules for our use. In addition, our drug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 or other intellectual property rights we may co-own with third parties, we may require licenses to such co-owners’ interest to such patent or other intellectual property rights.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commercially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 w:lineRule="exact"/>
        <w:rPr>
          <w:sz w:val="20"/>
          <w:szCs w:val="20"/>
          <w:color w:val="auto"/>
        </w:rPr>
      </w:pPr>
    </w:p>
    <w:p>
      <w:pPr>
        <w:ind w:right="1080"/>
        <w:spacing w:after="0" w:line="266" w:lineRule="auto"/>
        <w:rPr>
          <w:sz w:val="20"/>
          <w:szCs w:val="20"/>
          <w:color w:val="auto"/>
        </w:rPr>
      </w:pPr>
      <w:r>
        <w:rPr>
          <w:rFonts w:ascii="Arial" w:cs="Arial" w:eastAsia="Arial" w:hAnsi="Arial"/>
          <w:sz w:val="18"/>
          <w:szCs w:val="18"/>
          <w:color w:val="auto"/>
        </w:rPr>
        <w:t>If we are not able to obtain a license, or to obtain one on commercially reasonable terms and with sufficient breadth to cover the intended use of third-party intellectual property, our business could be materially harmed.</w:t>
      </w:r>
    </w:p>
    <w:p>
      <w:pPr>
        <w:spacing w:after="0" w:line="198"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related to the products or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typically not published until 18 months after filing or until issuance, or in some cases not at all, we cannot be certain that we were the first to either (i) file any patent application related to our therapeutic and diagnostic programs and other proprietary technologies we may develop or (ii) invent any of the inventions claimed in our owned or in-licensed patent applications.</w:t>
      </w: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patents issuing from those patent applications, all of which could have a material adverse effect on our business, financial condition, results of operations and prospects.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For example, U.S. Supreme Court rulings, such as </w:t>
      </w:r>
      <w:r>
        <w:rPr>
          <w:rFonts w:ascii="Arial" w:cs="Arial" w:eastAsia="Arial" w:hAnsi="Arial"/>
          <w:sz w:val="18"/>
          <w:szCs w:val="18"/>
          <w:u w:val="single" w:color="auto"/>
          <w:color w:val="auto"/>
        </w:rPr>
        <w:t>Amgen Inc. v. Sanofi</w:t>
      </w:r>
      <w:r>
        <w:rPr>
          <w:rFonts w:ascii="Arial" w:cs="Arial" w:eastAsia="Arial" w:hAnsi="Arial"/>
          <w:sz w:val="18"/>
          <w:szCs w:val="18"/>
          <w:color w:val="auto"/>
        </w:rPr>
        <w:t>, 598 U.S. 594, 143 S. Ct.</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1243 (2023), may limit the breadth of certain genus patent claims covering composition of matter of pharmaceutical products if enough compounds with shared claimed features are not provided. As such, we cannot guarantee that we will be able to obtain patents covering our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drug product candidates. These cases and others like them have created uncertainty with respect to the validity and enforceability of patents, once obtained. Depending on future actions by the U.S. Congress, the federal courts and the USPTO, the laws and regulations governing patents could change in unpredictable ways. In addition, the complexity and uncertainty of European patent laws have also increased in recent years. Any of the foregoing could have a material adverse effect on our owned and in-licensed patent portfolio and our ability to protect and enforce our intellectual property in the future.</w:t>
      </w:r>
    </w:p>
    <w:p>
      <w:pPr>
        <w:spacing w:after="0" w:line="208"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Issued patents covering our drug product candidates and proprietary technology that we have developed or may develop in the future could be found invalid or unenforceable if challenged in court or before administrative bodies in the United States or abroad.</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patent rights may be subject to priority, validity, inventorship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our licensors are unsuccessful in any of these proceedings, such patents and patent applications may be narrowed, invalidated or held unenforceable, we may be required to obtain licenses from third parties, which may not be available on commercially reasonable terms or at all, or we may be required to cease the development, manufacture or commercialization of our product candidates. Any of the foregoing could have a material adverse effect on our business, financial condition, results of operations and prospects.</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If we or one of our licensors initiated legal proceedings against a third party to enforce a patent covering our drug product candidates or methods of their use, or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derivation proceedings, and equivalent proceedings in foreign jurisdictions (e.g., opposition proceedings). Such proceedings could result in the revocation of, cancellation of or amendment to our patent rights in such a way that they no longer cover our drug product candidates or methods of their use,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drug product candidates or methods of their use, or other proprietary technologies, that we may develop. Such a loss of patent protection would have a material adverse impact on our business, financial condition, results of operations and prospects.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owned or in-licensed patent rights and other intellectual property.</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therapeutic and diagnostic programs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therapeutic and diagnostic programs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and particularly those arising from patents, is uncertain because these rights have limitations and may not adequately protect our business or permit us to maintain our competitive advantage. Examples where our intellectual property rights may not further our competitive advantage include but are not limited to the following:</w:t>
      </w:r>
    </w:p>
    <w:p>
      <w:pPr>
        <w:spacing w:after="0" w:line="198" w:lineRule="exact"/>
        <w:rPr>
          <w:sz w:val="20"/>
          <w:szCs w:val="20"/>
          <w:color w:val="auto"/>
        </w:rPr>
      </w:pPr>
    </w:p>
    <w:p>
      <w:pPr>
        <w:ind w:left="400" w:right="880" w:hanging="177"/>
        <w:spacing w:after="0" w:line="260" w:lineRule="auto"/>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others may be able to duplicate or utilize similar technology in a manner that infringes our patents but is undetectable or done in a jurisdiction where we have not secured, or cannot secure or enforce, patent rights;</w:t>
      </w:r>
    </w:p>
    <w:p>
      <w:pPr>
        <w:spacing w:after="0" w:line="1" w:lineRule="exact"/>
        <w:rPr>
          <w:rFonts w:ascii="Arial" w:cs="Arial" w:eastAsia="Arial" w:hAnsi="Arial"/>
          <w:sz w:val="18"/>
          <w:szCs w:val="18"/>
          <w:color w:val="auto"/>
        </w:rPr>
      </w:pPr>
    </w:p>
    <w:p>
      <w:pPr>
        <w:ind w:left="400" w:right="1040" w:hanging="177"/>
        <w:spacing w:after="0" w:line="250" w:lineRule="auto"/>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or our licensing partners or collaborators, might not have been the first to make the inventions covered by our owned or licensed current or future patent applications;</w:t>
      </w:r>
    </w:p>
    <w:p>
      <w:pPr>
        <w:ind w:left="400" w:right="1240" w:hanging="177"/>
        <w:spacing w:after="0" w:line="250" w:lineRule="auto"/>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or our licensing partners or collaborators, might not have been the first to file patent applications covering our or their inventions;</w:t>
      </w:r>
    </w:p>
    <w:p>
      <w:pPr>
        <w:ind w:left="380" w:hanging="157"/>
        <w:spacing w:after="0" w:line="250" w:lineRule="auto"/>
        <w:tabs>
          <w:tab w:leader="none" w:pos="3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ind w:left="400" w:hanging="149"/>
        <w:spacing w:after="0"/>
        <w:tabs>
          <w:tab w:leader="none" w:pos="4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it is possible that our owned or licensed current or future patent applications will not lead to issued patents;</w:t>
      </w:r>
    </w:p>
    <w:p>
      <w:pPr>
        <w:spacing w:after="0" w:line="9" w:lineRule="exact"/>
        <w:rPr>
          <w:rFonts w:ascii="Arial" w:cs="Arial" w:eastAsia="Arial" w:hAnsi="Arial"/>
          <w:sz w:val="18"/>
          <w:szCs w:val="18"/>
          <w:color w:val="auto"/>
        </w:rPr>
      </w:pPr>
    </w:p>
    <w:p>
      <w:pPr>
        <w:ind w:left="420" w:right="480" w:hanging="169"/>
        <w:spacing w:after="0" w:line="265" w:lineRule="auto"/>
        <w:tabs>
          <w:tab w:leader="none" w:pos="415"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patent issuing from our owned or licensed current or future patent applications may be held invalid or unenforceable, including as a result of legal challenges by our competitors or other third parties, or may not provide us with any competitive advantages;</w:t>
      </w:r>
    </w:p>
    <w:p>
      <w:pPr>
        <w:ind w:left="400" w:right="520" w:hanging="177"/>
        <w:spacing w:after="0" w:line="250" w:lineRule="auto"/>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Arial" w:cs="Arial" w:eastAsia="Arial" w:hAnsi="Arial"/>
          <w:sz w:val="18"/>
          <w:szCs w:val="18"/>
          <w:color w:val="auto"/>
        </w:rPr>
      </w:pPr>
    </w:p>
    <w:p>
      <w:pPr>
        <w:ind w:left="400" w:hanging="177"/>
        <w:spacing w:after="0"/>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patents or pending or future patent applications of others, if issued, may harm our business; and</w:t>
      </w:r>
    </w:p>
    <w:p>
      <w:pPr>
        <w:spacing w:after="0" w:line="9" w:lineRule="exact"/>
        <w:rPr>
          <w:rFonts w:ascii="Arial" w:cs="Arial" w:eastAsia="Arial" w:hAnsi="Arial"/>
          <w:sz w:val="18"/>
          <w:szCs w:val="18"/>
          <w:color w:val="auto"/>
        </w:rPr>
      </w:pPr>
    </w:p>
    <w:p>
      <w:pPr>
        <w:ind w:left="400" w:right="600" w:hanging="177"/>
        <w:spacing w:after="0" w:line="266" w:lineRule="auto"/>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have a material, adverse effect on our business, results of operations, and prospects.</w:t>
      </w:r>
    </w:p>
    <w:p>
      <w:pPr>
        <w:spacing w:after="0" w:line="254"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may be harmed.</w:t>
      </w:r>
    </w:p>
    <w:p>
      <w:pPr>
        <w:spacing w:after="0" w:line="1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to the protection afforded by patents, we rely on trade secret protection and contractual arrangements to protect proprietary know-how, information, and technology that is not covered by our patents. With respect to curating our data and our library of small molecules generally, we consider trade secrets and know-how to be our primary intellectual property. Unpatented proprietary rights, including trade secrets and know-how, can be difficult to protect and may lose their value if their secrecy is lost or if they are independently developed by a third party.</w:t>
      </w:r>
    </w:p>
    <w:p>
      <w:pPr>
        <w:spacing w:after="0" w:line="20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seek to protect our proprietary technology and processes, in part, by entering into non-disclosure and confidentiality agreements with parties that have access to them, including our collaborators, scientific advisors, employees, and consultants. We cannot guarantee that we have entered into such agreements with each party that may have or have had access to our trade secrets or proprietary technology and processes. Our agreements with our employees and consultants also require them to acknowledge ownership by us of inventions they may conceive as a result of their work for us and to perfect such ownership by assignment. However, we may not be able to prevent the unauthorized disclosure or use of our trade secrets or other confidential information through these agreements or other preventative measures. In addition, third parties, including our competitors, could independently develop and lawfully use the same or substantially equivalent trade secrets and know-how.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Any loss of trade secret protection or other unpatented proprietary rights could harm our business, results of operations, financial condition, and prospects.</w:t>
      </w:r>
    </w:p>
    <w:p>
      <w:pPr>
        <w:spacing w:after="0" w:line="21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11" w:lineRule="exact"/>
        <w:rPr>
          <w:sz w:val="20"/>
          <w:szCs w:val="20"/>
          <w:color w:val="auto"/>
        </w:rPr>
      </w:pPr>
    </w:p>
    <w:p>
      <w:pPr>
        <w:ind w:right="920"/>
        <w:spacing w:after="0" w:line="294"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drug product candidates.</w:t>
      </w:r>
    </w:p>
    <w:p>
      <w:pPr>
        <w:spacing w:after="0" w:line="166" w:lineRule="exact"/>
        <w:rPr>
          <w:sz w:val="20"/>
          <w:szCs w:val="20"/>
          <w:color w:val="auto"/>
        </w:rPr>
      </w:pPr>
    </w:p>
    <w:p>
      <w:pPr>
        <w:ind w:right="740"/>
        <w:spacing w:after="0" w:line="253"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and future products and product candidates in any jurisdiction.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drug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Our failure to identify and correctly interpret relevant patents may negatively impact our ability to develop and market our drug product candidates. Any of the foregoing could have a material adverse effect on our business, financial condition, results of operations and prospects.</w:t>
      </w:r>
    </w:p>
    <w:p>
      <w:pPr>
        <w:spacing w:after="0" w:line="219" w:lineRule="exact"/>
        <w:rPr>
          <w:sz w:val="20"/>
          <w:szCs w:val="20"/>
          <w:color w:val="auto"/>
        </w:rPr>
      </w:pPr>
    </w:p>
    <w:p>
      <w:pPr>
        <w:ind w:right="1060"/>
        <w:spacing w:after="0" w:line="294"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trade secrets of third parties or are in breach of their non-competition or non-solicitation agreements with third parties.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take efforts intended to ensure that our employees and consultants do not use the intellectual property, proprietary information, know-how, or trade secrets of others in their work for us, or breach any applicable non-competition or non-solicitation agreement. However, we may in the future be subject to claims that we or these individuals have, inadvertently or otherwise, used or disclosed the alleged trade secrets or other proprietary information of a third party, including a former employer or competitor, or that we caused an employee or contractor to breach the terms of their non-competition or non-solicitation agreement with a third party. In addition, while it is our policy to require our employees and contractors who may be involved in the conception or development of intellectual property to execute agreements assigning such intellectual property to us, we may be unsuccessful in obtaining such agreements or an assignment of rights to us.</w:t>
      </w:r>
    </w:p>
    <w:p>
      <w:pPr>
        <w:spacing w:after="0" w:line="21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Litigation may be necessary to defend against or enforce these claims, which may be costly, a distraction to management, and of uncertain outcome. If we are found liable for disclosure or misuse of a third party’s proprietary information, or if we are unable to secure rights to intellectual property developed by an employee or contractor a court could prohibit us from using technologies or features that may be essential to our drug candidates that incorporate or are derived from such proprietary information, in addition to awarding damages. Moreover, any such litigation could also adversely affect our ability to hire or retain employees or contractors. If we are unable to establish our rights to valuable intellectual property or retain key personnel, this failure may prevent us from successfully commercializing our drug candidates and have an adverse effect on our business, financial condition, and results of operation.</w:t>
      </w:r>
    </w:p>
    <w:p>
      <w:pPr>
        <w:spacing w:after="0" w:line="212"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Litigation to defend against third party claims of intellectual property infringement, misappropriation or other violations against us or our collaborators, or to enforce our intellectual property rights or the intellectual property rights of our collaborators, presents numerous risks.</w:t>
      </w:r>
    </w:p>
    <w:p>
      <w:pPr>
        <w:spacing w:after="0" w:line="18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biotechnology and pharmaceutical industries are characterized by extensive and frequent litigation regarding patents and other intellectual property rights. Intellectual property litigation or other legal proceedings, with or without merit, is generally expensive and time consuming, potentially distracting to technical and management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personnel, and subject to uncertain outcomes.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drug product candidates, and to use our proprietary technologies, without infringing, misappropriating, or otherwise violating the intellectual property or proprietary rights of third parties. Given the vast and continually increasing number of patents in our field of technology, we cannot be certain that we do not infringe existing patents or that we will not infringe patents granted in the future. We may in the future become party to, or threatened with, litigation or adversarial proceedings initiated by our competitors or other third parties alleging that our products or technologies are covered by their patents.</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Many companies have obtained patents or filed patent applications in areas important to our business, including artificial intelligence and deep learning, technology-aided drug discovery, CRISPR, high-throughput screening, and combinations of any or all of these fields. For example, we sublicense CRISPR-Cas9 gene editing technology from a licensed vendor, which provides critical tools upon which portions of our drug discovery process relies. CRISPR-Cas9 gene editing is a field that is highly active for patent filings and there are ongoing disputes between third parties, which we are not party to, regarding the ownership of and licensing rights related to the technology. The extensive patent filings related to CRISPR and Cas make it difficult for us to assess the full extent of relevant patents and pending applications that may cover this technology, and there may be third-party patents, or pending patent applications with claims that may issue in the future, covering our use of CRISPR-Cas9.</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we or our collaborators are found to infringe a third party’s patent or other intellectual property rights, such determination could result in significant damages and costs including treble damages and attorneys’ fees for willful infringement or royalties. In the event of a successful infringement claim against us or our collaborators, we may have to redesign the infringing products or technologies, which may be impossible or require substantial time and monetary expenditure. In addition, we could be required to obtain a license from such third party to continue developing and marketing our drug product candidates or other proprietary technology, which may not be available on commercially reasonable terms or at all, or to cease developing and commercializing the infringing technology or drug product candidates altogether. If we are prevented from commercializing our drug product candidates or forced to cease some of our business operations, this restriction could materially harm our reputation and have a significant adverse impact on our business, results of operations, and prospects.</w:t>
      </w:r>
    </w:p>
    <w:p>
      <w:pPr>
        <w:spacing w:after="0" w:line="199"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We may initiate litigation, or file counterclaims, to protect or enforce our patents and other intellectual property rights if we believe competitors or other third parties have infringed, misappropriated, or otherwise violated our intellectual property rights or the intellectual property rights of our collaborators in certain circumstances. Our ability to enforce our intellectual property rights or the intellectual property rights of our collaborators is subject to litigation risks, including that the opposing party may seek counterclaims against us, as well as uncertainty as to the protection and enforceability of those rights in some countries. If we seek to enforce our patents or the patents of our collaborators, we may be subject to findings that these patents should be interpreted narrowly and do not cover the technology at issue, or that these patents are invalid or unenforceable. If we are unable to enforce and protect our intellectual property rights or the intellectual property rights of our collaborators, or if they are circumvented, invalidated, or rendered obsolete by the rapid pace of technological change, it could have an adverse impact on our competitive position, business, financial position, and prospects.</w:t>
      </w:r>
    </w:p>
    <w:p>
      <w:pPr>
        <w:spacing w:after="0" w:line="212"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might not be as strong. The legal systems of some countries do not favor the enforcement of patents and other intellectual property rights, and other jurisdictions may have limited enforcement rights for patent holders. This could make it difficult for us to stop the infringement of our patents, if obtained, or the misappropriation of our other intellectual property rights in other countries. Consequently, we and our licensors or collaborators may have limited remedies in those foreign countries if patents are infringed, or we or our licensors may be compelled to grant a license to a third party, which could materially diminish the value of those patents and could limit our potential revenue opportunities. In addition, competitors may use our technologies to develop their own products that compete with ours in jurisdictions where we have not obtained patent protection or where we have patent protection but limited enforcement rights. Accordingly, our efforts to protect our intellectual property rights in such countries may be inadequate to obtain a significant commercial advantage from the intellectual property that we own or license.</w:t>
      </w: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5" w:right="4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w:t>
      </w:r>
    </w:p>
    <w:p>
      <w:pPr>
        <w:spacing w:after="0" w:line="205" w:lineRule="exact"/>
        <w:rPr>
          <w:sz w:val="20"/>
          <w:szCs w:val="20"/>
          <w:color w:val="auto"/>
        </w:rPr>
      </w:pPr>
    </w:p>
    <w:p>
      <w:pPr>
        <w:ind w:right="800"/>
        <w:spacing w:after="0" w:line="265"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collaborate with or license intellectual property rights from third parties, if the licenses are terminated, if a dispute regarding these licenses arises, or we otherwise experience disruptions to our business relationships with our collaborators or licensors, we could lose rights that are important to our business.</w:t>
      </w:r>
    </w:p>
    <w:p>
      <w:pPr>
        <w:spacing w:after="0" w:line="19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license certain intellectual property that is important to our business and, in the future, we may enter into additional agreements that provide us with licenses to valuable intellectual property or technology. Our current license agreements impose, and we expect our future license agreements will impose, various development, diligence, commercialization, and other obligations on us in order to maintain the licenses. In spite of our efforts, a licensor might conclude that we have materially breached our obligations under a license agreement and seek to terminate the agreement, thereby removing or limiting our ability to develop and commercialize products and technology covered by the agreement.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development and commercialization of certain of our drug candidates. Any of the foregoing could have a material adverse effect on our competitive position, business, financial conditions, results of operations,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 but not limited to the following:</w:t>
      </w:r>
    </w:p>
    <w:p>
      <w:pPr>
        <w:spacing w:after="0" w:line="252" w:lineRule="exact"/>
        <w:rPr>
          <w:sz w:val="20"/>
          <w:szCs w:val="20"/>
          <w:color w:val="auto"/>
        </w:rPr>
      </w:pPr>
    </w:p>
    <w:p>
      <w:pPr>
        <w:ind w:left="380" w:hanging="157"/>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7" w:lineRule="exact"/>
        <w:rPr>
          <w:rFonts w:ascii="Arial" w:cs="Arial" w:eastAsia="Arial" w:hAnsi="Arial"/>
          <w:sz w:val="18"/>
          <w:szCs w:val="18"/>
          <w:color w:val="auto"/>
        </w:rPr>
      </w:pPr>
    </w:p>
    <w:p>
      <w:pPr>
        <w:ind w:left="380" w:right="220" w:hanging="157"/>
        <w:spacing w:after="0" w:line="250" w:lineRule="auto"/>
        <w:tabs>
          <w:tab w:leader="none" w:pos="3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ind w:left="380" w:hanging="157"/>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380" w:right="680" w:hanging="157"/>
        <w:spacing w:after="0" w:line="250" w:lineRule="auto"/>
        <w:tabs>
          <w:tab w:leader="none" w:pos="3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w:t>
      </w:r>
    </w:p>
    <w:p>
      <w:pPr>
        <w:ind w:left="380" w:hanging="157"/>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right to transfer or assign the license agreement; and</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3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agreements under which we license intellectual property or technology from third parties are, and future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it could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drug candidates, which could have a material adverse effect on our business, financial conditions, results of operations, and prospects.</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These and similar issues may arise with respect to our collaboration agreements, such as the Bayer Agreement and the Roche Genentech Agreement. The Bayer Agreement and the Roche Genentech Agreement are two of our key collaborations, and there is no assurance that these collaborations will continue past their current terms, on favorable terms or at all, or that at any time while the collaborations are in effect the parties will operate under the agreements without disputes.</w:t>
      </w:r>
    </w:p>
    <w:p>
      <w:pPr>
        <w:spacing w:after="0" w:line="205"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b w:val="1"/>
          <w:bCs w:val="1"/>
          <w:i w:val="1"/>
          <w:iCs w:val="1"/>
          <w:color w:val="auto"/>
        </w:rPr>
        <w:t>Some of our intellectual property has been, and in the future may be, discovered through government-funded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Our intellectual property rights may be subject to a reservation of rights by one or more third parties. For example, certain intellectual property rights that we have licensed, or may in the future license, have been generated through the use of U.S. government funding. As a result, the U.S. government may have certain rights to intellectual property embodied in our current or future processes and related products and services.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the U.S. government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have failed to meet requirements of federal regulations (also collectively referred to as “march-in rights”).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 government also has the right to take title to these inventions if we or our licensors fail to disclose the invention to the government or fail to file an application to register the intellectual property within specified time limits. These rights may permit the U.S. government to disclose our confidential information to third parties. In addition, our rights in such inventions may be subject to requirements to manufacture products embodying such inventions in the United States. Intellectual property generated under a government-funded program is also subject to certain reporting requirements, compliance with which may require us to expend substantial resources.</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Any exercise by the U.S. government of such rights could have a material adverse effect on our competitive position, business, results of operations, financial condition, and prospects.</w:t>
      </w:r>
    </w:p>
    <w:p>
      <w:pPr>
        <w:spacing w:after="0" w:line="18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our intellectual property may be ineffective and could result in substantial costs and diversion of resources and could adversely affect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outcomes and benefits of our Acquisitions.</w:t>
      </w:r>
    </w:p>
    <w:p>
      <w:pPr>
        <w:spacing w:after="0" w:line="25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benefits we expect to achieve as a result of our acquisitions of Cyclica and Valence in May 2023 and any future acquisitions will depend, in part, on our ability to realize anticipated growth opportunities and cost synergies. Our success in realizing these growth opportunities and cost synergies, and the timing of this realization, depends on the successful integration of Cyclica’s and Valence’s, and any future acquisition targets’, business and operations with our business and operations. Even if we are able to integrate our business with Cyclica’s and Valence’s businesses successfully, this integration may not result in the realization of the outcomes and benefits, growth opportunities and cost synergies we currently expect within the anticipated time frame or at all. Moreover, we have incurred, and anticipate that we will incur additional substantial expenses in connection with the integration of Cyclica’s and Valence’s businesses with our business. While we anticipate that certain expenses will be incurred, such expenses are difficult to estimate accurately, and may exceed current estimates.</w:t>
      </w:r>
    </w:p>
    <w:p>
      <w:pPr>
        <w:spacing w:after="0" w:line="1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Accordingly, the outcomes and benefits from our acquisitions of Cyclica and Valence may be offset by costs incurred or delays in integrating the companies, which could cause the outcomes and benefits we anticipate to be inaccurate or not realized.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could result in significant foreign currency gains and losses and affect our business results.</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Because the results of both Cyclica and Valence are reported in Canadian dollars, which we then translate to U.S. dollars for inclusion in our consolidated financial statements, we are exposed to more significant currency translation risk as a result of the acquisitions. As a result, changes between the foreign exchange rates, in particular the Canadian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4"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auto"/>
        </w:rPr>
        <w:t>Even if we receive FDA or other regulatory approval for any of our drug candidates, we will be subject to ongoing regulatory obligations and other conditions that may result in significant additional expense, as well as the potential recall or market withdrawal of an approved product if unanticipated safety issues are discovered.</w:t>
      </w:r>
    </w:p>
    <w:p>
      <w:pPr>
        <w:spacing w:after="0" w:line="18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Even if the FDA or a comparable foreign regulatory authority approves any of our drug candidates, the manufacturing processes, labeling, packaging, distribution, adverse event reporting, storage, advertising, promotion, and recordkeeping for the product will be subject to extensive and ongoing regulatory requirements. These requirements also include submission of safety and other post-marketing information and reports, establishment registration and listing, as well as continued compliance with cGMPs for manufacturing processes and GCPs for any clinical trials that we conduct post-approval. Any regulatory approvals that we receive for our drug candidates may also be subject to limitations on the approved indicated uses for which the product may be marketed or to the conditions of approval, or they may contain requirements for potentially costly post-marketing studies and surveillance to monitor the safety and efficacy of the drug product.</w:t>
      </w:r>
    </w:p>
    <w:p>
      <w:pPr>
        <w:spacing w:after="0" w:line="1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Any failure to comply with regulatory requirements, or any discovery of previously unknown problems with a drug product — including adverse events of unanticipated severity or frequency — or with our third-party manufacturers or manufacturing processes, may result in, among other things:</w:t>
      </w:r>
    </w:p>
    <w:p>
      <w:pPr>
        <w:spacing w:after="0" w:line="198" w:lineRule="exact"/>
        <w:rPr>
          <w:sz w:val="20"/>
          <w:szCs w:val="20"/>
          <w:color w:val="auto"/>
        </w:rPr>
      </w:pPr>
    </w:p>
    <w:p>
      <w:pPr>
        <w:ind w:left="380" w:right="80" w:hanging="157"/>
        <w:spacing w:after="0" w:line="260" w:lineRule="auto"/>
        <w:tabs>
          <w:tab w:leader="none" w:pos="37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product, withdrawal of the product from the market, or voluntary or mandatory product recalls;</w:t>
      </w:r>
    </w:p>
    <w:p>
      <w:pPr>
        <w:spacing w:after="0" w:line="1" w:lineRule="exact"/>
        <w:rPr>
          <w:rFonts w:ascii="Arial" w:cs="Arial" w:eastAsia="Arial" w:hAnsi="Arial"/>
          <w:sz w:val="18"/>
          <w:szCs w:val="18"/>
          <w:color w:val="auto"/>
        </w:rPr>
      </w:pPr>
    </w:p>
    <w:p>
      <w:pPr>
        <w:ind w:left="380" w:hanging="157"/>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drug products; and</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34" w:lineRule="exact"/>
        <w:rPr>
          <w:sz w:val="20"/>
          <w:szCs w:val="20"/>
          <w:color w:val="auto"/>
        </w:rPr>
      </w:pPr>
    </w:p>
    <w:p>
      <w:pPr>
        <w:ind w:right="2540"/>
        <w:spacing w:after="0" w:line="287" w:lineRule="auto"/>
        <w:rPr>
          <w:sz w:val="20"/>
          <w:szCs w:val="20"/>
          <w:color w:val="auto"/>
        </w:rPr>
      </w:pPr>
      <w:r>
        <w:rPr>
          <w:rFonts w:ascii="Arial" w:cs="Arial" w:eastAsia="Arial" w:hAnsi="Arial"/>
          <w:sz w:val="18"/>
          <w:szCs w:val="18"/>
          <w:color w:val="auto"/>
        </w:rPr>
        <w:t>The occurrence of any of the foregoing actions could materially and adversely affect our reputation, business, results of operation, and prospects.</w:t>
      </w:r>
    </w:p>
    <w:p>
      <w:pPr>
        <w:spacing w:after="0" w:line="182" w:lineRule="exact"/>
        <w:rPr>
          <w:sz w:val="20"/>
          <w:szCs w:val="20"/>
          <w:color w:val="auto"/>
        </w:rPr>
      </w:pPr>
    </w:p>
    <w:p>
      <w:pPr>
        <w:ind w:right="1100"/>
        <w:spacing w:after="0" w:line="294" w:lineRule="auto"/>
        <w:rPr>
          <w:sz w:val="20"/>
          <w:szCs w:val="20"/>
          <w:color w:val="auto"/>
        </w:rPr>
      </w:pPr>
      <w:r>
        <w:rPr>
          <w:rFonts w:ascii="Arial" w:cs="Arial" w:eastAsia="Arial" w:hAnsi="Arial"/>
          <w:sz w:val="18"/>
          <w:szCs w:val="18"/>
          <w:b w:val="1"/>
          <w:bCs w:val="1"/>
          <w:i w:val="1"/>
          <w:iCs w:val="1"/>
          <w:color w:val="auto"/>
        </w:rPr>
        <w:t>Though we have been granted orphan drug designation for certain of our drug candidates, we may be unsuccessful or unable to maintain the benefits associated with such a designation, including the potential for market exclusivity.</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our business strategy, we have sought orphan drug designation for certain of our drug candidates and may do so for other drug candidates in the future. Regulatory authorities in some jurisdictions, including the United States and Europe, may designate drugs for relatively small patient populations as orphan drugs. The FDA may designate a drug as an orphan drug if it is intended to treat a rare disease or condition. In the United States, orphan drug designation entitles a party to financial incentives such as opportunities for grant funding towards clinical trial costs, tax advantages and user-fee waivers.</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Similarly in Europe, the European Commission, upon the recommendation of the EMA’s Committee for Orphan Medicinal Products, grants orphan drug designation for drugs intended for the diagnosis, prevention, or treatment of a life-threatening, seriously debilitating or serious and chronic condition when, without incentives, it is unlikely that sales of the drug in Europe would be sufficient to justify the necessary investment in developing the drug. In Europe, orphan drug designation entitles a party to financial incentives such as reduction of fees or fee waivers. We have received orphan drug designation from the FDA and European Commission for REC-4881 for the potential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treatment of FAP and REC-994 for the potential treatment of CCM, but we may be unsuccessful with respect to other drug candidates in the future.</w:t>
      </w:r>
    </w:p>
    <w:p>
      <w:pPr>
        <w:spacing w:after="0" w:line="18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part of the molecule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our drug candidates, we may never receive such designations. Even if we do receive such designations, there is no guarantee that we will enjoy the benefits of those designations.</w:t>
      </w:r>
    </w:p>
    <w:p>
      <w:pPr>
        <w:spacing w:after="0" w:line="212" w:lineRule="exact"/>
        <w:rPr>
          <w:sz w:val="20"/>
          <w:szCs w:val="20"/>
          <w:color w:val="auto"/>
        </w:rPr>
      </w:pPr>
    </w:p>
    <w:p>
      <w:pPr>
        <w:ind w:right="980"/>
        <w:spacing w:after="0" w:line="294"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6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may submit marketing applications in countries other than the United States. Regulatory authorities in jurisdictions outside of the United States have requirements for approval of drug candidates with which we must comply prior to marketing in those jurisdictions. For example, our trials to date have consisted of small patient populations and some international regulatory filings may require larger patient populations or additional nonclinical studies or clinical trials.</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our drug candidates will be harmed.</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Obtaining and maintaining regulatory approval of our drug candidates in one jurisdiction does not guarantee that we will be able to obtain or maintain regulatory approval in any other jurisdiction, although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and greater than, those in the United States. These may include additional nonclinical studies and clinical trials since clinical trials conducted in one jurisdiction may not be accepted by regulatory authorities in other jurisdictions. In short, the foreign regulatory approval process involves all of the risks associated with FDA approval. In many jurisdictions outside the United States, a drug candidate must be approved for reimbursement before it can be approved for sale in that jurisdiction. In some cases, the price that we may intend to charge for our drug products will also be subject to regulatory approval.</w:t>
      </w:r>
    </w:p>
    <w:p>
      <w:pPr>
        <w:spacing w:after="0" w:line="214"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As we expand our operations outside the United States, we will be exposed to various risks related to the global regulatory environment.</w:t>
      </w:r>
    </w:p>
    <w:p>
      <w:pPr>
        <w:spacing w:after="0" w:line="16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expanded our operations into Canada and use service providers in many regions outside the U.S. and expect our foreign activities to increase in the future. If we continue expanding our operations outside of the United States, we must dedicate additional resources to comply with U.S. laws governing activities in other countries, as well as numerous laws and regulations in each jurisdiction in which we plan to operate, such as the U.S. Foreign</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Corrupt Practices Act (FCPA) and U.S. and foreign anti-money laundering, export control, sanctions, and other trade laws and regulations (collectively, Trade Laws).</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Violations of Trade Laws can result in substantial consequences. We have direct or indirect interactions with officials and employees of governmental agencies or government-affiliated hospitals, universities or other organizations.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0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Changing, inconsistent, or conflicting laws, rules and regulations governing international business practices, and ambiguities in their interpretation and application, create uncertainty and challenges. The failure to comply with any such laws or regulations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0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Though we have been granted priority review designation for certain drug candidates, such designation may not lead to a faster regulatory review or regulatory approval process, and we might not receive such designation for additional drug candidates in the future.</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FDA determines that a drug candidate offers a treatment for a serious condition and, if approved, the drug product would provide a significant improvement in safety or effectiveness, the FDA may designate the drug candidate for priority review. The FDA has broad discretion with respect to whether or not to grant priority review status to a drug candidate, so even if we believe a particular drug candidate is eligible for such designation or status, the FDA may decide not to grant it. While we have been granted priority review designation for REC-4881 for the potential treatment of FAP, a priority review designation does not necessarily result in an expedited regulatory review or regulatory approval process or necessarily confer any advantage with respect to regulatory approval compared to conventional FDA procedures. Receiving priority review from the FDA does not guarantee regulatory approval within the six-month review cycle or at all. We may request priority review for additional drug candidates from time to time.</w:t>
      </w:r>
    </w:p>
    <w:p>
      <w:pPr>
        <w:spacing w:after="0" w:line="214"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Breakthrough therapy designation and fast track designation by the FDA, even if granted for any of our drug candidates, may not lead to a faster development, regulatory review, or regulatory approval process, and each designation does not increase the likelihood that any of our drug candidates will receive marketing approval in the United States.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therapies considered for approval under conventional FDA procedures and does not assure ultimate approval by the FDA. In addition, even if one or more of our drug candidates qualify as breakthrough therapies, the FDA may later decide that such drug candidates no longer meet the conditions for qualification or decide that the time period for FDA review or approval will not be shortened.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seek fast track designation for some of our drug candidates from time to time. If a drug candidate is intended for the treatment of a serious or life-threatening condition and the drug candidate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ensure that the FDA would decide to grant it. Even if we do receive fast track designation, we may not experience a faster development process, regulatory review or regulatory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14"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The FDA, EMA, and other regulatory authorities may implement additional regulations or restrictions on the development and commercialization of our drug candidates.</w:t>
      </w:r>
    </w:p>
    <w:p>
      <w:pPr>
        <w:spacing w:after="0" w:line="16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FDA, other agencies at both the federal and state level, and U.S. Congressional committees have expressed interest in further regulating the small molecule pharmaceutical industry, as have the EMA and regulatory authorities in other countries. Such action may delay or prevent commercialization of some or all of our drug candidates. Adverse developments in clinical trials conducted by others may cause the FDA or other oversight bodies to change the requirements for regulatory approval of any of our drug candidates. These regulatory review agencies and committees, and any new requirements or guidelines they promulgate, may lengthen the regulatory review process, require us to perform additional studies or trials, increase our development costs, lead to changes in regulatory positions and interpretations, delay or prevent regulatory approval and commercialization of our drug candidates, or lead to significant post-approval limitations or restrictions. As we advance our drug candidates, we will be required to consult with these regulatory authorities and comply with applicable regulatory requirements and guidelines. If we fail to do so, we may be required to delay or discontinue development of such drug candidates. These additional processes may result in a review and approval process that is longer than we otherwise would have expected. Delays as a result of a more stringent or lengthier regulatory approval process, or further restrictions on the development of our drug candidates, could be costly and could negatively impact our ability to complete clinical trials and commercialize our current and future drug candidates in a timely manner, if at all.</w:t>
      </w:r>
    </w:p>
    <w:p>
      <w:pPr>
        <w:spacing w:after="0" w:line="216"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Healthcare legislative reform measures in the U.S. and abroad, such as changes in healthcare spending and policy, may have a material adverse effect on our business, results of operations, and prospects.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a highly regulated industry, and new laws and regulations, or new interpretations of laws and regulations by regulatory authorities or the courts, related to healthcare availability and the method of delivery of, or payment for, healthcare products and services could negatively impact our business. The U.S. and many foreign jurisdictions have enacted or proposed legislative and regulatory changes affecting the healthcare system that could impact our clinical trials; prevent or delay marketing approval of our current or future drug candidates; restrict or regulate potential post-approval activities; and/or affect our ability to profitably sell a drug product for which we obtain marketing approval. For any of our drug candidates that receive marketing approval, such laws and regulations could require, for example, (i) changes to our manufacturing arrangements; (ii) additions or modifications to drug product labeling; (iii) the recall or discontinuation of our drug products; and/or (iv) additional record-keeping and data transfer requirements.</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There have been, and likely will continue to be, legislative and regulatory proposals at the U.S. federal and state levels and abroad directed at increasing the availability of healthcare and containing or lowering healthcare costs. For example, the Affordable Care Act (ACA) substantially changed the way healthcare is financed by both governmental and private insurers in the U.S., and significantly impacted the pharmaceutical industry. The ACA, among other things, (i) subjected biological products to potential competition by lower-cost biosimilars; (ii) addressed a new methodology by which rebates owed by manufacturers under the Medicaid Drug Rebate Program are calculated for drugs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fees and taxes on manufacturers of certain branded prescription drugs; and (v) created a new Medicare Part D coverage gap discount program, in which manufacturers must agree to offer specified point-of-sale discounts off negotiated prices of applicable brand drugs to eligible beneficiaries during their coverage gap period as a condition for the manufacturer’s outpatient drugs to be covered under Medicare Part D. Since the ACA was enacted, there continue to be changes to certain aspects of the law by Congress, Executive Order and court decisions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also have been U.S. Congressional inquiries and proposed federal and state legislation designed to, among other things, (i) bring more transparency to drug pricing, including that of specialty drugs; (ii) reduce the cost of prescription drugs under Medicare, which may result in a similar reduction in payments from private payors; (iii) review the relationship between pricing and manufacturer patient programs; and (iv) reform government program reimbursement methodologies for drugs. For example, the recently enacted federal Inflation Reduction Act (IRA) contains provisions that could have an adverse effect on our ability to generate revenue, attain profitability, or commercialize our drug candidates if approved, as the statute includes provisions intended to reduce the cost of prescription drugs under Medicare. In addition to the direct impact of the IRA on federal drug reimbursement, the statute may also lead to similar reductions in payments from private payors. The continuing efforts of the government, insurance companies, managed care organizations, and other payors of healthcare services to contain or reduce costs of healthcare and/or impose price controls may adversely affect, among other things:</w:t>
      </w:r>
    </w:p>
    <w:p>
      <w:pPr>
        <w:spacing w:after="0" w:line="208" w:lineRule="exact"/>
        <w:rPr>
          <w:sz w:val="20"/>
          <w:szCs w:val="20"/>
          <w:color w:val="auto"/>
        </w:rPr>
      </w:pP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demand for our current or future drug candidates if we obtain regulatory approval;</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drug products;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drug product;</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3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such legislative or other reform measures and changes in healthcare spending and policy could result in increased costs to us, reduced demand for our current or future drug candidates, and additional pricing pressures, which could have a material adverse effect on our business, results of operations, and prospects.</w:t>
      </w:r>
    </w:p>
    <w:p>
      <w:pPr>
        <w:spacing w:after="0" w:line="200"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b w:val="1"/>
          <w:bCs w:val="1"/>
          <w:i w:val="1"/>
          <w:iCs w:val="1"/>
          <w:color w:val="auto"/>
        </w:rPr>
        <w:t>Our relationships with healthcare providers, other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9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Although we do not currently have any drug products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but are not limited to, the Anti-Kickback Statute, the False Claims Act, the Health Insurance Portability and Accountability Act (HIPAA), and the Health Information Technology for Economic and Clinical Health Act of 2009 (HITECH Act).</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Efforts to ensure that our future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statutes, regulations or case law involving applicable fraud and abuse, privacy or data protection,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11" w:lineRule="exact"/>
        <w:rPr>
          <w:sz w:val="20"/>
          <w:szCs w:val="20"/>
          <w:color w:val="auto"/>
        </w:rPr>
      </w:pPr>
    </w:p>
    <w:p>
      <w:pPr>
        <w:ind w:right="920"/>
        <w:spacing w:after="0" w:line="294" w:lineRule="auto"/>
        <w:rPr>
          <w:sz w:val="20"/>
          <w:szCs w:val="20"/>
          <w:color w:val="auto"/>
        </w:rPr>
      </w:pPr>
      <w:r>
        <w:rPr>
          <w:rFonts w:ascii="Arial" w:cs="Arial" w:eastAsia="Arial" w:hAnsi="Arial"/>
          <w:sz w:val="18"/>
          <w:szCs w:val="18"/>
          <w:b w:val="1"/>
          <w:bCs w:val="1"/>
          <w:i w:val="1"/>
          <w:iCs w:val="1"/>
          <w:color w:val="auto"/>
        </w:rPr>
        <w:t>We are subject to U.S. and foreign laws regarding privacy, data protection, and data security that could entail substantial compliance costs, while the failure to comply could subject us to significant liability.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Privacy, data protection, and data security have become significant issues in the U.S., Europe, and other jurisdictions where we conduct or may in the future conduct our operations. The regulatory framework for the collection, use, safeguarding, sharing, and transfer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spacing w:after="0" w:line="20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new legislation in California, the California Consumer Privacy Act, as amended by the California Privacy Rights Act. While there is currently an exception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event we enroll subjects in clinical trials in the European Union (EU) or other jurisdictions, or otherwise acquire or process personal data of individuals in those jurisdictions, we may be subject to additional restrictions and obligations relating to the collection, use, storage, transfer, and other processing of this data. Clinical trial activities in the European Economic Area (EEA), for example, are governed by the EU General Data Protection Regulation (GDPR).</w:t>
      </w:r>
    </w:p>
    <w:p>
      <w:pPr>
        <w:spacing w:after="0" w:line="20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may need to take additional steps, such as new contractual negotiations or modifications to our policies or practices relating to cross-border transfers of personal data, to comply with these restrictions and obligations.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increasing number, complexity, and potential inconsistency of current and future laws and regulations relating to privacy, data protection, and data security in the U.S. and other countries make our compliance obligations more difficult and costly. This is particularly true with respect to healthcare data or other personal information acquired as a result of our research activities and clinical trials. If we fail to comply with applicable laws and regulations or experience a breach of security that results in unauthorized disclosure of personal information – or if a third party with whom we share personal information or who processes such information for us fails to comply with applicable requirements or experiences a security breach or incident–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w:t>
      </w:r>
    </w:p>
    <w:p>
      <w:pPr>
        <w:spacing w:after="0" w:line="210"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Regulatory and legislative developments related to the use of AI could adversely affect our use of such technologies in our products, services, and business.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AI throughout our business, including in our drug discovery processes and technology. As the regulatory framework for AI (including generative AI) evolves, our business, financial condition and results of operations may be adversely affected. The regulatory framework for AI and similar technologies is changing rapidly. It is possible that new laws and regulations will be adopted in the United States and in non-U.S. jurisdictions, or that existing laws and regulations may be interpreted in ways that would affect the operation of our drug discovery platform and data analytics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example, in Europe, on December 8, 2023, the Council of the EU European Parliament and European Commission reached provisional agreement on a revised draft of the AI Act which is currently expected to be enacted in early 2024. The current draft of the AI Act, if enacted, would establish a risk-based governance framework for regulating high-risk AI systems operating in or being used by the EU market. The AI Act could impact our products, business, and use of AI, even if we do not have a direct presence in the EU. This framework would categorize AI systems based on the risks associated with such AI systems’ intended purposes as creating “unacceptable”, “high” or “limited” risks. While the AI Act has not been enacted or enforced, there is a risk that our current or future AI-powered software or applications may be categorized as “high” risk or “limited” risk, obligating us to comply with the applicable requirements of the AI Act, which may impose additional costs on us, increase our risk of liability, or adversely affect our business. For example, “high” risk AI systems are required, amongst other things, to implement and maintain certain risk and quality management systems, conduct certain conformity and risk assessments, use appropriate data governance and management practices, including in development and training, and meet certain standards related to testing, technical robustness, transparency, human oversight, and cybersecurity. Even if our AI systems are not categorized as “high” risk we may be subject to additional transparency and other obligations for “low” risk AI system providers. The AI Act sets forth certain penalties, including fines of the greater of EUR 35 million or 7% of worldwide annual turnover (as defined in the AI Act) for the prior year for violations related to offering prohibited AI-systems or data governance, fines of the greater of EUR 15 million or 3% of worldwide annual turnover for the prior year for violations related to the requirements for “high” risk AI systems, and fines of the greater of EUR 7.5 million or 1.5% of worldwide annual turnover for the prior year for violations related to supplying incorrect, incomplete or misleading information to the EU and member state authorities. If enacted in this form or a similar form, this regulatory framework is expected to have a material impact on the way AI is regulated in the EU, and together with developing guidance and/or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17" w:lineRule="exact"/>
        <w:rPr>
          <w:sz w:val="20"/>
          <w:szCs w:val="20"/>
          <w:color w:val="auto"/>
        </w:rPr>
      </w:pPr>
    </w:p>
    <w:p>
      <w:pPr>
        <w:ind w:right="1080"/>
        <w:spacing w:after="0" w:line="272" w:lineRule="auto"/>
        <w:rPr>
          <w:sz w:val="20"/>
          <w:szCs w:val="20"/>
          <w:color w:val="auto"/>
        </w:rPr>
      </w:pPr>
      <w:r>
        <w:rPr>
          <w:rFonts w:ascii="Arial" w:cs="Arial" w:eastAsia="Arial" w:hAnsi="Arial"/>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independent contractors, CROs, consultants, and vendors. Misconduct by these parties could include intentional, reckless, or negligent conduct that causes us to fail to comply with, among other things, FDA regulations or similar regulations of comparable foreign regulatory authorities, drug manufacturing standards, and healthcare fraud and abuse laws. Such misconduct could also involve the improper use of information obtained in the course of clinical trials, as well as violations of HIPAA and other privacy laws in the U.S and foreign jurisdictions, including the GDPR. We are also exposed to risks in connection with potential insider trading violations by employees or others affiliated with us. It is not always possible to identify and deter employee or other individual misconduct. The precautions we take to detect and prevent this activity may not be effective in controlling unknown or unmanaged risks or losses, or in protecting us from governmental investigations or other actions or lawsuits stemming from noncompliance with applicable laws, standards, regulations, or codes of conduct. If any such actions are instituted against us, whether with or without merit, and we are not successful in defending ourselves or asserting our rights, they may result in damages, fines, and other sanctions that could materially and adversely affect our business, results of operations, and reputation.</w:t>
      </w:r>
    </w:p>
    <w:p>
      <w:pPr>
        <w:spacing w:after="0" w:line="20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independent contractors, CROs, consultants, and vendors. Misconduct by these parties could include intentional, reckless, and/or negligent conduct that causes us to fail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foreign jurisdictions, including the GDPR. We are also exposed to risks in connection with any insider trading violations by employees or others affiliated with us, including inadvertent violations such as a sale of pledged shares by a lender when the pledgor is in possession of material nonpublic information.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Additionally, we are subject to the risk that a person could allege such fraud or other misconduct, even if none occurred and our employees may, from time to time, bring lawsuits against us for employment issues, including injury, discrimination, wage and hour disputes, sexual harassment, hostile work environment, or other employment issues.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results of operations, financial condition, reputation, and prospects.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Climate change-related risks and uncertainties and legal or regulatory responses to climate change could negatively impact our results of operations, financial condition and/or reputation.</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increasing climate-related risks and uncertainties, many of which are outside of our control. Climate change may result in more frequent severe weather events, potential changes in precipitation patterns, and extreme variability in weather patterns, which can disrupt our operations as well as those of our vendors, suppliers, and collaborators.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transition to lower greenhouse gas emissions technology, the effects of carbon pricing, and changes in public sentiment, regulations, taxes, public mandates, or requirements and increases in climate-related lawsuits, insurance premiums, and implementation of more robust disaster recovery and business continuity plans could increase costs to maintain or resume our operations or achieve any sustainability commitments we make, which would negatively impact our results of operations.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reviewing our impact on climate change and determining if it is economically feasible for us to be carbon neutral by 2030. We are also working on other environmental, social and governance goals. Execution and achievement of any future commitments or goals are subject to risks and uncertainties. Given the focus on sustainable investing and corporate and social responsibility, if we fail to make a climate change commitment by 2030 and adopt policies and practices to enhance environmental, social and governance initiatives, our reputation and our customer and other stakeholder relationships could be negatively impacted and it may be more difficult for us to compete effectively or gain access to financing on acceptable terms when needed, which would have an adverse effect on our results of operations, financial condition, reputation and prospects.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54"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experienced scientists, and to attract, retain, and motivate qualified personnel.</w:t>
      </w:r>
    </w:p>
    <w:p>
      <w:pPr>
        <w:spacing w:after="0" w:line="16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highly dependent on the research and development, clinical, and business development expertise of our executive, management, scientific, technological, and clinical teams. Although we have entered into employment agreements with our executive officers, any of them may terminate their employment with us at any time or may not be able to perform the services we need in the future.</w:t>
      </w:r>
    </w:p>
    <w:p>
      <w:pPr>
        <w:spacing w:after="0" w:line="19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is also critical to our success. For example, we rely on our employees to help operate and repair our equipment, and on consultants and advisors, including scientific and clinical advisors, to assist us in formulating our research and development and commercialization strategies. Because of the specialized scientific nature of our business, we are highly dependent upon attracting and retaining qualified scientific, technical, and managerial personnel. While we strive to reduce the impact of the potential loss of existing employees by having an established organizational talent review process that identifies successors and potential talent needs, there is still significant competition for qualified personnel in the pharmaceutical and biotechnology fields. Therefore, we may not be able to attract and retain the qualified personnel necessary for the continued development of our business. The loss of the services of existing personnel, as well as the failure to recruit and train additional key scientific,</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technical, and managerial personnel in a timely manner, could harm our business, results of operations, financial condition, and prospects.</w:t>
      </w:r>
    </w:p>
    <w:p>
      <w:pPr>
        <w:spacing w:after="0" w:line="180"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loss of the services of our executive officers or other key employees or consultants could impede our ability to successfully implement our business strategy.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 products, and because of the competition among numerous pharmaceutical and biotechnology companies for similar personnel. In addition, our consultants and advisors may have commitments or non-competition obligations under consulting or advisory contracts with other entities that may limit their availability to us. We may also experience difficulties recruiting scientific and clinical personnel from universities and research institutions. If one or more of our clinical trials are unsuccessful, it may become more challenging to recruit and retain qualified scientific personnel.</w:t>
      </w:r>
    </w:p>
    <w:p>
      <w:pPr>
        <w:spacing w:after="0" w:line="21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addition, increases in salaries and wages, extensions of personal and other leave policies, other governmental regulations affecting labor costs, and a diminishing pool of potential qualified personnel when the unemployment rate falls could significantly increase our labor costs and make it more difficult to retain, attract, and motivate qualified personnel, which could materially adversely affect our business, financial performance, and cash reserves. As a result of inflationary pressures and other initiatives, our net losses may increase and we may need to raise capital sooner than otherwise anticipated. Because we employ a large workforce, any salary or wage increase and/or expansion of benefits mandates will have a particularly significant impact on our labor costs. Our vendors, contractors and business partners are similarly impacted by wage and benefit cost inflation, and many have or will increase their price for goods, construction and services in order to offset their increasing labor costs.</w:t>
      </w:r>
    </w:p>
    <w:p>
      <w:pPr>
        <w:spacing w:after="0" w:line="21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Some of the employees we may want to hire in the future may not reside in Salt Lake City, Utah or other areas where we have operations and may not want to relocate. In addition, many of the other pharmaceutical and biotechnology companies that we compete against for qualified personnel have greater financial and other resources, different risk profiles, and a longer history in the industry than we do. They also may provide more diverse opportunities and better chances for career advancement.</w:t>
      </w:r>
    </w:p>
    <w:p>
      <w:pPr>
        <w:spacing w:after="0" w:line="20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If we are unable to hire, retain, and motivate highly qualified senior executives and personnel, the rate and success with which we can discover and develop drug candidates, our ability to pursue our growth strategy, and our business may be adversely impacted.</w:t>
      </w:r>
    </w:p>
    <w:p>
      <w:pPr>
        <w:spacing w:after="0" w:line="182"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to experience growth in the number of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ensure that, following any such acquisition, we will achieve the expected synergies to justify the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both"/>
        <w:ind w:right="340"/>
        <w:spacing w:after="0" w:line="265" w:lineRule="auto"/>
        <w:rPr>
          <w:sz w:val="20"/>
          <w:szCs w:val="20"/>
          <w:color w:val="auto"/>
        </w:rPr>
      </w:pPr>
      <w:r>
        <w:rPr>
          <w:rFonts w:ascii="Arial" w:cs="Arial" w:eastAsia="Arial" w:hAnsi="Arial"/>
          <w:sz w:val="18"/>
          <w:szCs w:val="18"/>
          <w:b w:val="1"/>
          <w:bCs w:val="1"/>
          <w:i w:val="1"/>
          <w:iCs w:val="1"/>
          <w:color w:val="auto"/>
        </w:rPr>
        <w:t>The dual-class structure of our common stock affects the concentration of voting power, which limits our Class A common stockholders’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transactions.</w:t>
      </w:r>
    </w:p>
    <w:p>
      <w:pPr>
        <w:spacing w:after="0" w:line="19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Class A common stock, the class of our common stock listed on The Nasdaq Stock Market, has one vote per share, and our Class B common stock has 10 votes per share. As of December 31, 2023, Dr. Gibson, our CEO and a member of our board of directors, and his affiliates held 343,704 shares of our Class A common stock and all of the issued and outstanding shares of our Class B common stock, representing approximately 25% of the voting power of our outstanding capital stock, which voting power may increase over time as Dr. Gibson exercises or vests in equity awards. If all such equity awards held by Dr. Gibson had been exercised or vested and exchanged for shares of Class B common stock as of December 31, 2023, Dr. Gibson and his affiliates would hold approximately 26% of the voting power of our outstanding capital stock.</w:t>
      </w:r>
    </w:p>
    <w:p>
      <w:pPr>
        <w:spacing w:after="0" w:line="21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result, Dr. Gibson may be able to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Dr. Gibson may have interests that differ from our Class A common stockholders and may vote in a way with which our Class A stockholders disagree and which may be adverse to our Class A stockholders’ interests. The concentrated control of Dr. Gibson may have the effect of delaying, preventing, or deterring a change in control of our company, could deprive our stockholders of an opportunity to receive a premium for their capital stock as part of a sale in our company, and, thus, may affect the market price of our Class A common stock.</w:t>
      </w:r>
    </w:p>
    <w:p>
      <w:pPr>
        <w:spacing w:after="0" w:line="21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 certain transfers for estate planning. Transfers or exchanges of shares of Class B common stock may result in the issuance of additional shares of Class A common stock and such issuances will be dilutive to holders of our Class A common stock. In addition, each share of Class B common stock will convert automatically into one share of Class A common stock upon the earliest of (i) April 16, 2028; (ii) the date specified by written consent or agreement of the holders of 66 2⁄3% of our then outstanding shares of Class B common stock; (iii) nine months after Dr. Gibson ceases to hold any positions as an officer or director with us; or (iv) nine months after the death or disability of Dr. Gibson. We refer to the date on which such final conversion of all outstanding shares of Class B common stock pursuant to the terms of amended and restated certificate of incorporation occurs as the Final Conversion Date.</w:t>
      </w:r>
    </w:p>
    <w:p>
      <w:pPr>
        <w:spacing w:after="0" w:line="210"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2023, our executive officers, directors, holders of 5% or more of our capital stock, and their respective affiliates, including Dr. Gibson and his affiliates, beneficially owned shares representing more than 50% of our voting power. These stockholders, acting together, may be able to impact matters requiring stockholder approval, including the elections of directors; amendments of our organizational documents; and approval of any merger, sale of all or substantially all of our assets, or other major corporate transaction. This concentrated control may also have the effect of deterring, delaying, or preventing unsolicited acquisition proposals or offers for our capital stock that other stockholders may feel are in their best interest. The interests of this group of stockholders may not always coincide with each other’s interests or the interests of other stockholders, and this group may act in a manner that advances its best interests and not necessarily those of other stockholders generally, including seeking a premium value for their common stock, which might therefore affect the market price for our common stock.</w:t>
      </w:r>
    </w:p>
    <w:p>
      <w:pPr>
        <w:spacing w:after="0" w:line="210"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The price of our Class A common stock may be volatile and fluctuate substantially, which could result in substantial losses for holders of our common stock.</w:t>
      </w:r>
    </w:p>
    <w:p>
      <w:pPr>
        <w:spacing w:after="0" w:line="166"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The trading price of our Class A common stock has been volatile since our initial public offering and it is likely that the price will fluctuate substantially in the future. The stock price may be influenced by many factors, a number of which are beyond our control, which factors include but are not limited to the following:</w:t>
      </w:r>
    </w:p>
    <w:p>
      <w:pPr>
        <w:spacing w:after="0" w:line="198" w:lineRule="exact"/>
        <w:rPr>
          <w:sz w:val="20"/>
          <w:szCs w:val="20"/>
          <w:color w:val="auto"/>
        </w:rPr>
      </w:pPr>
    </w:p>
    <w:p>
      <w:pPr>
        <w:ind w:left="380" w:hanging="156"/>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 products;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inflation, general supply chain matters, global political instability, or warfare;</w:t>
      </w:r>
    </w:p>
    <w:p>
      <w:pPr>
        <w:spacing w:after="0" w:line="9" w:lineRule="exact"/>
        <w:rPr>
          <w:rFonts w:ascii="Arial" w:cs="Arial" w:eastAsia="Arial" w:hAnsi="Arial"/>
          <w:sz w:val="18"/>
          <w:szCs w:val="18"/>
          <w:color w:val="auto"/>
        </w:rPr>
      </w:pPr>
    </w:p>
    <w:p>
      <w:pPr>
        <w:ind w:left="380" w:right="240" w:hanging="156"/>
        <w:spacing w:after="0" w:line="250" w:lineRule="auto"/>
        <w:tabs>
          <w:tab w:leader="none" w:pos="3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performance of the overall stock market and shares of biotechnology companies in particular, as well as general economic conditions; and</w:t>
      </w:r>
    </w:p>
    <w:p>
      <w:pPr>
        <w:ind w:left="380" w:hanging="156"/>
        <w:spacing w:after="0"/>
        <w:tabs>
          <w:tab w:leader="none" w:pos="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3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a result of this volatility, holders of our Class A common stock may not be able to sell their stock at or above the price they originally paid for it, which could result in the loss of a part or all of their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Class A common stock in the public market could cause our stock price to fall.</w:t>
      </w:r>
    </w:p>
    <w:p>
      <w:pPr>
        <w:spacing w:after="0" w:line="25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one or more holders of a large number of shares intend to sell their shares, could cause the market price of our Class A common stock to decline.</w:t>
      </w:r>
    </w:p>
    <w:p>
      <w:pPr>
        <w:spacing w:after="0" w:line="19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Also, shares of Class A common stock that are either subject to outstanding options and warrants or that are reserved for future issuance under our equity compensation plans are eligible for sale in the public market to the extent permitted by the provisions of various vesting schedules and Rule 144 and Rule 701 under the Securities Act. Some holders of shares of our Class A common stock issued and issuable upon conversion of Class B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w:t>
      </w:r>
    </w:p>
    <w:p>
      <w:pPr>
        <w:spacing w:after="0" w:line="20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future we may also issue our securities in connection with any financings, investments, or acquisitions, and the number of shares issued could constitute a material portion of our then-outstanding common stock. For example, in connection with the May 2023 acquisition of Valence, we entered into a registration rights agreement with certain shareholders of Valence that required us to prepare and file a registration statement, which permits the resale by shareholders of approximately 8.1 million shares of our Class A common stock. Such resale prospectus supplement was filed on May 30, 2023. In connection with the May 2023 acquisition of Cyclica, we entered into a registration rights agreement with certain shareholders of Cyclica that required us to prepare and file a resale prospectus supplement to the automatic shelf registration statement filed May 10, 2022, which permits the resale by the shareholders of approximately 6 million shares of our Class A common stock. Such resale prospectus supplement was filed on June 9, 2023. In connection with our July 2023 private placement, we entered into a registration rights agreement with the private placement investor that required us to prepare and file a resale prospectus supplement to the automatic shelf registration statement filed May 10, 2022, which permits the resale by the private placement investor of approximately 7.7 million shares of our Class A common stock. Such resale prospectus supplement was filed on August 8, 2023. In December 2023, the we filed a prospectus supplement to the automatic shelf registration statement filed May 10, 2022, to register for resale approximately 3.2 million shares of our Class A common stock that were issued to Tempus in payment for the initial license fee under the terms of the Tempus Agreement.</w:t>
      </w:r>
    </w:p>
    <w:p>
      <w:pPr>
        <w:spacing w:after="0" w:line="2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sale of a significant number of shares of our Class A common stock under any of the above circumstances, or otherwise, in the public market at any time, or the perception that they may be sold, could have a material adverse effect on the market price of our Class A common stock. In that event, holders of our Class A common stock may not be able to sell their stock at or above the price they originally paid for it, which could result in the loss of part or all of their investment.</w:t>
      </w:r>
    </w:p>
    <w:p>
      <w:pPr>
        <w:spacing w:after="0" w:line="205"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designate the Court of Chancery of the State of Delaware as the sole and exclusive forum for certain types of actions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proceedings that may be initiated by our stockholders, which could limit our stockholders’ ability to obtain a favorable judicial forum for disputes with us or our directors, officers, employees or agents.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amended and restated bylaws provide that the Court of Chancery of the State of Delaware and the federal district courts of the United States of America is the exclusive forums for substantially all disputes between us and our stockholders, which could limit our stockholders’ ability to obtain a favorable judicial forum for disputes with us or our directors, officers or employees.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06" w:lineRule="exact"/>
        <w:rPr>
          <w:sz w:val="20"/>
          <w:szCs w:val="20"/>
          <w:color w:val="auto"/>
        </w:rPr>
      </w:pPr>
    </w:p>
    <w:p>
      <w:pPr>
        <w:ind w:left="380" w:hanging="156"/>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9" w:lineRule="exact"/>
        <w:rPr>
          <w:rFonts w:ascii="Arial" w:cs="Arial" w:eastAsia="Arial" w:hAnsi="Arial"/>
          <w:sz w:val="18"/>
          <w:szCs w:val="18"/>
          <w:color w:val="auto"/>
        </w:rPr>
      </w:pPr>
    </w:p>
    <w:p>
      <w:pPr>
        <w:ind w:left="380" w:right="220" w:hanging="156"/>
        <w:spacing w:after="0" w:line="250" w:lineRule="auto"/>
        <w:tabs>
          <w:tab w:leader="none" w:pos="3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380" w:hanging="156"/>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and may result in increased costs to stockholders of bringing a claim, each of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14"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prices of our Class A common stock.</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prices of our Class A common stock by acting to discourage, delay or prevent a change in control of our company or changes in our management that the stockholders of our company may deem advantageous. These provisions, among other things:</w:t>
      </w:r>
    </w:p>
    <w:p>
      <w:pPr>
        <w:spacing w:after="0" w:line="198" w:lineRule="exact"/>
        <w:rPr>
          <w:sz w:val="20"/>
          <w:szCs w:val="20"/>
          <w:color w:val="auto"/>
        </w:rPr>
      </w:pPr>
    </w:p>
    <w:p>
      <w:pPr>
        <w:ind w:left="380" w:hanging="157"/>
        <w:spacing w:after="0"/>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9" w:lineRule="exact"/>
        <w:rPr>
          <w:rFonts w:ascii="Arial" w:cs="Arial" w:eastAsia="Arial" w:hAnsi="Arial"/>
          <w:sz w:val="18"/>
          <w:szCs w:val="18"/>
          <w:color w:val="auto"/>
        </w:rPr>
      </w:pPr>
    </w:p>
    <w:p>
      <w:pPr>
        <w:ind w:left="380" w:right="20" w:hanging="157"/>
        <w:spacing w:after="0" w:line="250" w:lineRule="auto"/>
        <w:tabs>
          <w:tab w:leader="none" w:pos="3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ind w:left="380" w:hanging="157"/>
        <w:spacing w:after="0"/>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9" w:lineRule="exact"/>
        <w:rPr>
          <w:rFonts w:ascii="Arial" w:cs="Arial" w:eastAsia="Arial" w:hAnsi="Arial"/>
          <w:sz w:val="18"/>
          <w:szCs w:val="18"/>
          <w:color w:val="auto"/>
        </w:rPr>
      </w:pPr>
    </w:p>
    <w:p>
      <w:pPr>
        <w:ind w:left="400" w:right="460" w:hanging="177"/>
        <w:spacing w:after="0" w:line="266" w:lineRule="auto"/>
        <w:tabs>
          <w:tab w:leader="none" w:pos="3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require a super-majority vote of stockholders to amend some provisions described above.</w:t>
      </w:r>
    </w:p>
    <w:p>
      <w:pPr>
        <w:spacing w:after="0" w:line="252"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DGCL that has the effect of delaying or preventing a change in control could limit the opportunity for our stockholders to receive a premium for their shares of Class A common stock and could also affect the price that some investors are willing to pay for our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any guidance that we provide.</w:t>
      </w:r>
    </w:p>
    <w:p>
      <w:pPr>
        <w:spacing w:after="0" w:line="2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From time to time, we may provide guidance in our quarterly earnings releases, or otherwise, regarding our future performance that represents our management’s estimates as of the date of release. This guidance, which would include forward-looking statements, would be based on projections prepared by our management. Neither our registered public accountants nor any other independent expert or outside party would compile or examine the projections. Accordingly, no such person would express any opinion or any other form of assurance with respect to the projections.</w:t>
      </w:r>
    </w:p>
    <w:p>
      <w:pPr>
        <w:spacing w:after="0" w:line="20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principal reason that we would release guidance is to provide a basis for our management to discuss our business outlook with analysts and investors. We do not accept any responsibility for any projections or reports published by any such third parties. Guidance is necessarily speculative in nature, and it can be expected that some or all of the assumptions underlying any guidance furnished by us will not materialize or will vary significantly from actual results. Accordingly, our guidance would be only an estimate of what management believes is realizable as of the date of release. Actual results may vary from our guidance and the variations may be material.</w:t>
      </w:r>
    </w:p>
    <w:p>
      <w:pPr>
        <w:spacing w:after="0" w:line="214" w:lineRule="exact"/>
        <w:rPr>
          <w:sz w:val="20"/>
          <w:szCs w:val="20"/>
          <w:color w:val="auto"/>
        </w:rPr>
      </w:pPr>
    </w:p>
    <w:p>
      <w:pPr>
        <w:jc w:val="both"/>
        <w:ind w:right="240"/>
        <w:spacing w:after="0" w:line="272"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a proper and effective system of disclosure controls and internal controls over financial reporting. Any failure to maintain the adequacy of this system and these internal controls may adversely affect investor confidence in our company and, as a result, the value of our Class A common stock.</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subject to the reporting requirements of the Exchange Act,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relevant regulatory bodies. Our chief financial officer has only been the chief financial officer of a publicly traded company since our initial public offering and our chief executive officer has only been the chief executive officer of a publicly traded company since our initial public offering. Neither has been involved in the long-term operations of a public company.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This assessment must include disclosure of any material weaknesses identified by our management in our internal control over financial reporting. During our evaluation of our internal controls, if we identify one or more material weaknesses in our internal control over financial reporting, we will be unable to assert that our internal control over financial reporting is effective. For example, in connection with the audit of our consolidated financial statements as of and for the year ended December 31, 2023, our management and auditors identified a material weakness related to the Company’s processes to estimate costs used to calculate revenue related to its revenue license agreement. See “—We have identified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stock price.” We cannot assure you that we will be able to remediate such material weakness or that there will not be material weaknesses or significant deficiencies in our internal control over financial reporting in the future.</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severely inhibit our ability to accurately report our financial condition, or results of operations. If at any time we are unable to conclude that our disclosure controls and internal control over financial reporting are effective, or if our independent registered public accounting firm determines we have a material weakness or significant deficiency in our internal control over financial reporting, or if we are unable to remediate any existing weaknesses or deficiencies in a timely manner or at all, we could lose investor confidence in the accuracy and completeness of our financial reports, the market price of shares of our Class A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10" w:lineRule="exact"/>
        <w:rPr>
          <w:sz w:val="20"/>
          <w:szCs w:val="20"/>
          <w:color w:val="auto"/>
        </w:rPr>
      </w:pPr>
    </w:p>
    <w:p>
      <w:pPr>
        <w:jc w:val="both"/>
        <w:ind w:right="200"/>
        <w:spacing w:after="0" w:line="265"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are unable to remediate this material weakness, or if we identify additional material weakness in the future or otherwise fail to maintain effective internal controls, we may be unable to produce timely and accurate financial statements, which could adversely impact our investors’ confidence and our stock price.</w:t>
      </w:r>
    </w:p>
    <w:p>
      <w:pPr>
        <w:spacing w:after="0" w:line="17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connection with the audit of our consolidated financial statements as of and for the year ended December 31, 2023, management identified a material weakness related to the Company’s management review process over the estimated costs and time to completion and controls to validate completeness and accuracy of information used to calculate revenue and unearned revenue related to our license agreement.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2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Although we are taking steps to improve our internal control over financial reporting and remediate these material weaknesses, we cannot assure you that the measures we have taken to date will be sufficient to avoid potential future material weaknesses.</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we identify new material weaknesses in our internal control over financial reporting, if we are unable to comply with the requirements of Section 404 of the Sarbanes-Oxley Act, if we are unable to conclude that our internal control over financial reporting is effective, or if our independent registered public accounting firm is unable to express an opinion that our internal control over financial reporting is effective in future periods, investors may lose confidence in the accuracy and completeness of our financial reports and the market price of our common stock could be negatively affected. As a result of such failures, we could also become subject to investigations by Nasdaq, the SEC or other regulatory authorities, and become subject to litigation from investors and stockholders, which</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could harm our reputation and financial condition or divert financial and management resources from our regular business activities.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w:t>
      </w:r>
    </w:p>
    <w:p>
      <w:pPr>
        <w:spacing w:after="0" w:line="25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global political instability, supply chain issues, and inflation have caused significant volatility and uncertainty in U.S. and international markets. Uncertainty in the U.S. regarding the federal government’s debt ceiling and related budgetary matters may also cause volatility and uncertainty in the global markets. A severe or prolonged economic downturn could result in a variety of risks to our business, including weakened demand for our drug candidates and impaired ability to raise additional capital when needed on acceptable terms, if at all. A weak or declining economy could also strain our suppliers or result in supply disruption. Any of the foregoing could harm our business and we cannot anticipate all of the ways in which the current economic climate and financial market conditions could adversely impact our business, results of operations, financial condition, and prospects.</w:t>
      </w:r>
    </w:p>
    <w:p>
      <w:pPr>
        <w:spacing w:after="0" w:line="214"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We are subject to the risks of litigation that may arise in the ordinary course of our business, which could be costly and time-consuming to pursue or defend.</w:t>
      </w:r>
    </w:p>
    <w:p>
      <w:pPr>
        <w:spacing w:after="0" w:line="16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periodically are, and in the future may be, involved in legal proceedings or claims that arise in the ordinary course of business, such as those regarding commercial or contractual disputes, intellectual property rights, employment matters, product liability, or data privacy.</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public company, we and our directors and officers are also subject to potential securities class action litigation, particularly if the market price of our Class A common stock is volatile. The stock market in general, and Nasdaq-listed and biotechnology companies in particular, experience significant price and volume fluctuations from time to time that often are unrelated or disproportionate to the operating performance of these companies. In the past, companies that have experienced volatility in the market price of their stock have been subject to securities class action lawsuits, and we may be the target of such litigation in the future.</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Litigation, whether with or without merit, may be expensive to pursue or defend; divert management’s attention; result in adverse judgments for damages, injunctive relief, penalties, and fines; and harm our business and reputation. </w:t>
      </w:r>
      <w:r>
        <w:rPr>
          <w:rFonts w:ascii="Arial" w:cs="Arial" w:eastAsia="Arial" w:hAnsi="Arial"/>
          <w:sz w:val="18"/>
          <w:szCs w:val="18"/>
          <w:color w:val="auto"/>
          <w:highlight w:val="white"/>
        </w:rPr>
        <w:t>Some</w:t>
      </w:r>
      <w:r>
        <w:rPr>
          <w:rFonts w:ascii="Arial" w:cs="Arial" w:eastAsia="Arial" w:hAnsi="Arial"/>
          <w:sz w:val="18"/>
          <w:szCs w:val="18"/>
          <w:color w:val="auto"/>
        </w:rPr>
        <w:t xml:space="preserve"> third parties may be able to sustain the costs of litigation more effectively than we can because they have substantially greater resources. Insurance may not cover all claims or may cover only a portion of our expenses and losses, and may not continue to be available on terms acceptable to us.</w:t>
      </w:r>
    </w:p>
    <w:p>
      <w:pPr>
        <w:spacing w:after="0" w:line="205"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6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financial analysts publish about us or our business. If only a small number of analysts maintain coverage of us, the trading price of our stock would likely decrease. If an analyst covering our stock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3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believe cybersecurity is a critical component of our enterprise risk management function. Our strategy regarding Information Security (“InfoSec”) includes a comprehensive, proactive, and sustainable risk-based approach, assessing the risk posed to the Company at the strategic, operational, financial, and reputational levels. We take appropriate preventive, detective, and response measures to mitigate these risks on a continuing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Process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Recursion’s approach to InfoSec is informed by the National institute of Standards and Technology (“NIST”) Cybersecurity Framework</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(“CSF”), which is a broad standards framework that provides direction and guidance to assess the Company’s InfoSec risk and implement InfoSec capabilities, and also provides measures of progress in areas that are relevant for the organization’s business objectives.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Identification and Assessment</w:t>
      </w:r>
    </w:p>
    <w:p>
      <w:pPr>
        <w:spacing w:after="0" w:line="23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a dedicated InfoSec team that regularly reviews threat intelligence from various sources, including third-party InfoSec consultants, assesses the applicability of known threats and threat actor behavior and tactics to the Company, and assesses whether these threats pose risks to the Company. The InfoSec team then evaluates potentially appropriate administrative, technical, and physical controls to mitigate and reduce these risks within the appropriate business context and applies such controls where appropriate. We also have implemented a process to identify and mitigate risks from cybersecurity threats related to our use of third-party service providers.</w:t>
      </w:r>
    </w:p>
    <w:p>
      <w:pPr>
        <w:spacing w:after="0" w:line="2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These mitigation measures are detailed in the Company’s InfoSec Roadmap. Progress against this Roadmap and potential incidents are reviewed with management and the Company’s Audit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Assurance</w:t>
      </w:r>
    </w:p>
    <w:p>
      <w:pPr>
        <w:spacing w:after="0" w:line="23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InfoSec team tests relevant controls and maintains industry standard attestations, including reports prepared by an independent AICPA-accredited auditor.</w:t>
      </w:r>
    </w:p>
    <w:p>
      <w:pPr>
        <w:spacing w:after="0" w:line="18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also run regular cybersecurity exercises, such as penetration tests, to test the effectiveness of our controls. We use the results of these exercises to identify, evaluate, and prioritize potential areas of improvement through the InfoSec Roadmap.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 Mitigation</w:t>
      </w:r>
    </w:p>
    <w:p>
      <w:pPr>
        <w:spacing w:after="0" w:line="22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also test the Company’s InfoSec’s Incident Response control effectiveness through tabletop exercises facilitated by a third party. These exercises test the Company’s ability to detect and respond to cybersecurity incidents in a timely manner with a goal to reduce the impact of the cybersecurity incidents. Our InfoSec policies, processes and procedures are tested for completion and accuracy through these exercises. We use the results of these exercises to identify, evaluate, and prioritize potential areas of improvement identified through the InfoSec Roadmap.</w:t>
      </w:r>
    </w:p>
    <w:p>
      <w:pPr>
        <w:spacing w:after="0" w:line="20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like any technology company in the current environment, have experienced cybersecurity incidents in the past, but we have not experienced a cybersecurity incident which has been determined to be material. For additional information regarding whether any risks from cybersecurity threats are reasonably likely to materially affect our company, including our business strategy, results of operations, or financial condition, please refer to Item 1A, “Risk Factors,” in this annual report on Form 10-K, including the risk factors entitled “Risks Related to Our Platform and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cybersecurity processes are overseen by the Audit Committee of the Board of Directors. The Audit Committee, through its charter, has</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express oversight of the Company’s cybersecurity processes, controls, and procedures and is responsible for monitoring and reviewing the Company’s mitigation efforts. The Audit Committee receives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quarterly briefings from senior leadership, including our Chief Information Security Officer, regarding information security risk, strategy, and effectiveness and progress of the InfoSec program. The Audit Committee also reviews with management significant information security incidents for the period and associated remediation plans, and new or emerging information security risks. The Board of Directors is also provided an update quarterly on the Company’s cybersecurity risk, processes, and mitigation efforts.</w:t>
      </w:r>
    </w:p>
    <w:p>
      <w:pPr>
        <w:spacing w:after="0" w:line="21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execution of the Company’s cybersecurity processes is overseen by a committee that includes our Chief Information Security Officer, Chief Financial Officer, Chief Operating Officer, General Counsel and Chief Technology Officer. This committee is responsible for the overall cybersecurity strategy and approving the cybersecurity processes, policies, and procedures, including the InfoSec Roadmap. The committee receives regular reports on the InfoSec strategy, risks, and mitigation efforts. It is also informed of any potential reportable information security incidents and is responsible for assessing the impact and approving remediation plans, as well as escalating to the Audit Committee or Board of Directors. Overall implementation of the cybersecurity strategy is executed across the enterprise by Recursion’s InfoSec team, which is supervised by the Chief Information Security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Recursion’s corporate headquarters are located at 41 S Rio Grande Street, Salt Lake City, Utah 84101 where we lease 99,172 square feet of office, dry and wet laboratory space. The laboratories include both traditional and automated laboratories for drug research. The current term of our lease expires in May 2028. We have entered into a lease for an additional 103,634 square feet of office, research and laboratory space adjacent to our corporate headquarters under a lease that expires in May 2032.</w:t>
      </w:r>
    </w:p>
    <w:p>
      <w:pPr>
        <w:spacing w:after="0" w:line="23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Recursion’s Canadian operations are headquartered at 336 Queen Street West, Toronto CA M5V 2A2, where we lease 28,110 square feet of office space. The current term expires in November 2032. In addition to our Canada headquarters in Toronto, we also have two leases in Montreal that house our semi-autonomous artificial intelligence engine, Valence Labs. Valence Labs leases an 8,367 square foot office and</w:t>
      </w:r>
    </w:p>
    <w:p>
      <w:pPr>
        <w:spacing w:after="0" w:line="2"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dry laboratory space located at 6666 Rue Saint-Urbain, Montreal CA H2S3H1 that expires in March 2029. Valence also has a research lounge located in the world renowned artificial intelligence and machine learning hub MILA. This office space hosts academic researchers.</w:t>
      </w:r>
    </w:p>
    <w:p>
      <w:pPr>
        <w:spacing w:after="0" w:line="18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3. Legal Proceedings.</w:t>
      </w:r>
    </w:p>
    <w:p>
      <w:pPr>
        <w:spacing w:after="0" w:line="25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II, Item 8, Note 7, “Commitments and Contingencies,” which is incorporated herein by reference.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principal market for Recursion’s Class A common stock is the Nasdaq Global Select Market (Symbol: RXRX). Our common stock began trading on April 16, 2021. Prior to that date, there was no public market for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Recursion’s Class B and Exchangeable common stock are not listed on any stock exchange nor traded on any public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graph compares the cumulative total returns of Recursion, the Nasdaq Composite Index and the Nasdaq Biotechnology Index from our April 16, 2021 closing stock price (the date on which our common stock first began trading on the Nasdaq Global Select Market) through December 31, 2023. This graph assumes $ 100 was invested and the reinvestment of dividends, if any. The comparisons shown in the graph below are based upon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140970</wp:posOffset>
            </wp:positionV>
            <wp:extent cx="5863590" cy="31972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6359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performance graph is furnished and shall not be deemed "filed" with the SEC or subject to Section 18 of the Securities Exchange Act of 1934, as amended, nor shall it be deemed incorporated by reference in any of Recursion’s filings under the Securities Act of 1933, as amended.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74 stockholders of record of Recursion Class A common stock as of January 31, 2024. The actual number of stockholders of our Class A common stock is greater than this number of record holders and includes stockholders who are beneficial owners but whose shares are held in street name by brokers and other nominees.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including restrictions in our current and future debt instruments, our future earnings, capital requirements, financial condition, prospects, and applicable Delaware law, which provides that dividends are only payable out of surplus or current net profits.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2"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Information about our equity compensation plans in Item 12 of Part III of this Annual Report on Form 10-K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 sales of unregistered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 Sales of Unregistered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May 2023, the Company entered into an agreement to acquire Cyclica. The aggregate upfront consideration for the acquisition of Cyclica consisted of 5.8 million shares of Recursion Class A common stock, cash payments, 1.0 million shares issuable upon exercise of stock options held by Cyclica equity award holders and deferred liabilities. Approximately 182 thousand of the aforementioned Class A common stock consideration had not yet been issued as of December 31, 2023. A prospectus supplement to a registration statement (File No. 333-264845) was subsequently filed pursuant to Rule 424(b) on June 9, 2023, to register the resale of certain of such shares and the issuance of shares issuable upon exercise of certain such stock options. In addition, a registration statement on Form S-8 (File No. 333-272282) was filed on May 30, 2023 to register the issuance of shares issuable upon exercise of certain of such stock options.</w:t>
      </w:r>
    </w:p>
    <w:p>
      <w:pPr>
        <w:spacing w:after="0" w:line="21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Also in May 2023, the Company entered into an agreement to acquire Valence. The aggregate upfront consideration for the acquisition of Valence consisted of 2.2 million shares of Recursion Class A common stock, 4.4 million shares of a subsidiary of Recursion, exchangeable for shares of Recursion’s Class A common stock, 792 thousand shares issuable upon the exercise of stock options held by Valence equity award holders and deferred liabilities. A registration statement on Form S-3ASR (File No. 333-272281) was subsequently filed on May 30, 2023, to register the resale of certain of such shares and to register the issuance of shares issuable upon exercise of certain of such stock options and of shares issuable upon exchange of exchangeable shares. In addition, a registration statement on Form S-8 (File No. 333-272027) was filed on May 18, 2023 to register the issuance of shares issuable upon exercise of certain of such stock options.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NVIDIA Private Placement</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July 11, 2023, the Company issued an aggregate of 7.7 million shares (the “NVIDIA Shares”) of the Company’s Class A common stock at a purchase price of $6.49 per share in a private placement to NVIDIA Corporation for net proceeds of approximately $49.9 million (the “NVIDIA Private Placement”). The sale was made pursuant to the exemption from registration contained in Section 4(a)(2) of the Securities Act. In connection with the NVIDIA Private Placement, the Company and NVIDIA Corporation entered into a registration rights agreement, dated July 11, 2023, providing for the registration for resale of the NVIDIA Shares. A prospectus supplement to a registration statement (File No. 333-264845) was subsequently filed pursuant to Rule 424(b) on August 8, 2023, to register the resale of the NVIDIA Shares by NVIDIA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Private Placement</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2023, the Company entered into a Master Agreement (the “Tempus Agreement”) with Tempus Labs, Inc. (“Tempus”) pursuant to which Tempus will provide certain services and deliverables to the Company and/or license certain data to the Company. Pursuant to the Tempus Agreement, on November 30, 2023, the Company issued to Tempus an aggregate of 3.2 million shares of the Company’s Class A Common Stock, (the “Tempus Shares”), in lieu of a cash payment of $22.0 million for the initial license fee owed to Tempus in exchange for the rights granted to the Company under the Tempus Agreement (the “Tempus Private Placement”). The sale was made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pursuant to the exemption from registration contained in Section 4(a)(2) of the Securities Act. Pursuant to the terms of the Tempus Agreement, the Company subsequently filed a prospectus supplement to a registration statement (File No. 333-264845) pursuant to Rule 424(b) on December 15, 2023, to register the resale of the Tempus Shares by Tempus.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year ended December 31, 2023, we issued 242,000 shares of our Class A common stock to our employees, advisors and consultants upon the exercise of stock options under our Key Personnel Incentive Stock Plans for aggregate consideration of approximately $43,000, in reliance on the exemption provided by Rule 701(b)(2) promulgated under the Securities Act, or pursuant to Section 4(a)(2) under the Securities Act, relative to transactions by an issuer not involving any public offering, to the extent an exemption from such registration was required.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Issuer Purchases of Equity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024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920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7. Management’s Discussion and Analysis of Financial Condition and Results of Operations.</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1E1E1E"/>
        </w:rPr>
        <w:t xml:space="preserve">The following is a discussion and analysis of the financial condition of </w:t>
      </w:r>
      <w:r>
        <w:rPr>
          <w:rFonts w:ascii="Arial" w:cs="Arial" w:eastAsia="Arial" w:hAnsi="Arial"/>
          <w:sz w:val="18"/>
          <w:szCs w:val="18"/>
          <w:i w:val="1"/>
          <w:iCs w:val="1"/>
          <w:color w:val="000000"/>
        </w:rPr>
        <w:t>Recursion Pharmaceuticals, Inc. (Recursion, the Company, we, us or</w:t>
      </w:r>
      <w:r>
        <w:rPr>
          <w:rFonts w:ascii="Arial" w:cs="Arial" w:eastAsia="Arial" w:hAnsi="Arial"/>
          <w:sz w:val="18"/>
          <w:szCs w:val="18"/>
          <w:i w:val="1"/>
          <w:iCs w:val="1"/>
          <w:color w:val="1E1E1E"/>
        </w:rPr>
        <w:t xml:space="preserve"> </w:t>
      </w:r>
      <w:r>
        <w:rPr>
          <w:rFonts w:ascii="Arial" w:cs="Arial" w:eastAsia="Arial" w:hAnsi="Arial"/>
          <w:sz w:val="18"/>
          <w:szCs w:val="18"/>
          <w:i w:val="1"/>
          <w:iCs w:val="1"/>
          <w:color w:val="000000"/>
        </w:rPr>
        <w:t xml:space="preserve">our) </w:t>
      </w:r>
      <w:r>
        <w:rPr>
          <w:rFonts w:ascii="Arial" w:cs="Arial" w:eastAsia="Arial" w:hAnsi="Arial"/>
          <w:sz w:val="18"/>
          <w:szCs w:val="18"/>
          <w:i w:val="1"/>
          <w:iCs w:val="1"/>
          <w:color w:val="1E1E1E"/>
        </w:rPr>
        <w:t>and the results of our operations. This commentary should be read in conjunction with the Consolidated Financial Statements and</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1E1E1E"/>
        </w:rPr>
        <w:t>accompanying notes appearing in Item 8, “Financial Statements.”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Annual Report on Form 10-K. You should review the disclosure under the heading "Risk Factors" in our Annual Report on Form 10-K for a discussion of important factors that could cause our actual results to differ materially from those anticipated in these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Overview</w:t>
      </w:r>
    </w:p>
    <w:p>
      <w:pPr>
        <w:spacing w:after="0" w:line="23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Recursion is a leading clinical stage TechBio company decoding biology to industrialize drug discovery. Central to our mission is the Recursion Operating System (OS), a platform built across diverse technologies that enables us to map and navigate trillions of biological, chemical and patient-centric relationships across over 50 petabytes of proprietary data. We frame this integration of the physical and digital components as iterative loops, where scaled ‘wet-lab’ biology, chemistry and patient-centric experimental data are organized by ‘dry-lab’ computational tools in order to identify, validate and translate therapeutic insights. We believe Recursion’s unbiased, data-driven approach to understanding biology will bring more, new and better medicines at higher scale and lower cost to patients.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key value-drivers at Recursion:</w:t>
      </w:r>
    </w:p>
    <w:p>
      <w:pPr>
        <w:spacing w:after="0" w:line="225" w:lineRule="exact"/>
        <w:rPr>
          <w:sz w:val="20"/>
          <w:szCs w:val="20"/>
          <w:color w:val="auto"/>
        </w:rPr>
      </w:pPr>
    </w:p>
    <w:p>
      <w:pPr>
        <w:ind w:left="660" w:right="40" w:hanging="328"/>
        <w:spacing w:after="0" w:line="241"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 expansive </w:t>
      </w:r>
      <w:r>
        <w:rPr>
          <w:rFonts w:ascii="Arial" w:cs="Arial" w:eastAsia="Arial" w:hAnsi="Arial"/>
          <w:sz w:val="18"/>
          <w:szCs w:val="18"/>
          <w:b w:val="1"/>
          <w:bCs w:val="1"/>
          <w:color w:val="auto"/>
        </w:rPr>
        <w:t>pipeline</w:t>
      </w:r>
      <w:r>
        <w:rPr>
          <w:rFonts w:ascii="Arial" w:cs="Arial" w:eastAsia="Arial" w:hAnsi="Arial"/>
          <w:sz w:val="18"/>
          <w:szCs w:val="18"/>
          <w:color w:val="auto"/>
        </w:rPr>
        <w:t xml:space="preserve"> of internally developed clinical and preclinical programs focused on precision oncology and genetically driven rare diseases with significant unmet need and market opportunities that could potentially exceed $1 billion in annual sales in some cases</w:t>
      </w:r>
    </w:p>
    <w:p>
      <w:pPr>
        <w:spacing w:after="0" w:line="1" w:lineRule="exact"/>
        <w:rPr>
          <w:rFonts w:ascii="Arial" w:cs="Arial" w:eastAsia="Arial" w:hAnsi="Arial"/>
          <w:sz w:val="18"/>
          <w:szCs w:val="18"/>
          <w:color w:val="auto"/>
        </w:rPr>
      </w:pPr>
    </w:p>
    <w:p>
      <w:pPr>
        <w:ind w:left="660" w:right="60" w:hanging="328"/>
        <w:spacing w:after="0" w:line="234"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Transformational </w:t>
      </w:r>
      <w:r>
        <w:rPr>
          <w:rFonts w:ascii="Arial" w:cs="Arial" w:eastAsia="Arial" w:hAnsi="Arial"/>
          <w:sz w:val="18"/>
          <w:szCs w:val="18"/>
          <w:b w:val="1"/>
          <w:bCs w:val="1"/>
          <w:color w:val="auto"/>
        </w:rPr>
        <w:t>partnerships</w:t>
      </w:r>
      <w:r>
        <w:rPr>
          <w:rFonts w:ascii="Arial" w:cs="Arial" w:eastAsia="Arial" w:hAnsi="Arial"/>
          <w:sz w:val="18"/>
          <w:szCs w:val="18"/>
          <w:color w:val="auto"/>
        </w:rPr>
        <w:t xml:space="preserve"> with leading biopharma and technology companies to map and navigate intractable areas of biology, identify novel targets, and develop potential new medicines by using advanced computational and data resources</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 industry-leading </w:t>
      </w:r>
      <w:r>
        <w:rPr>
          <w:rFonts w:ascii="Arial" w:cs="Arial" w:eastAsia="Arial" w:hAnsi="Arial"/>
          <w:sz w:val="18"/>
          <w:szCs w:val="18"/>
          <w:b w:val="1"/>
          <w:bCs w:val="1"/>
          <w:color w:val="auto"/>
        </w:rPr>
        <w:t>dataset</w:t>
      </w:r>
      <w:r>
        <w:rPr>
          <w:rFonts w:ascii="Arial" w:cs="Arial" w:eastAsia="Arial" w:hAnsi="Arial"/>
          <w:sz w:val="18"/>
          <w:szCs w:val="18"/>
          <w:color w:val="auto"/>
        </w:rPr>
        <w:t xml:space="preserve"> intentionally designed to capitalize on computational tools and accelerate value created through our pipeline, partnerships and technology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146685</wp:posOffset>
            </wp:positionV>
            <wp:extent cx="5863590" cy="2700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359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We drive value by scaling and leveraging the Recursion OS to generate, aggregate and integrate over 50 petabytes of data spanning large language model derived disease relevance and target-compound relationships, predicted protein-ligand binding interactions for ~36 billion compounds, over 200 million total staining and multi-timepoint live-cell (brightfield) phenomics experiments, over 700 thousand whole transcriptomics experiments, tens of thousands of ADME experiments using our automated DMPK module, InVivomics and multimodal precision oncology patient data. This dataset has been curated using over 50 human cell types, our cell manufacturing facility which has</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produced over 1 trillion hiPSC-derived neuronal cells since 2022, our in-house chemical library of over 1.7 million compounds, an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library of over 1 trillion small molecules and other capabilities. We have built proprietary software applications and AI/ML models within the Recursion OS which predict and navigate over 5 trillion biological and chemical relationships. With our approach and our team of over 500 Recursionauts that is balanced between life scientists and computational and technical experts, we endeavor to turn drug discovery into a search problem, where we map and navigate biology in an unbiased manner in order to translate insights into more, new and better medicines at higher scale and lower cost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144780</wp:posOffset>
            </wp:positionV>
            <wp:extent cx="5863590" cy="22542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6359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22" w:lineRule="exact"/>
        <w:rPr>
          <w:sz w:val="20"/>
          <w:szCs w:val="20"/>
          <w:color w:val="auto"/>
        </w:rPr>
      </w:pPr>
    </w:p>
    <w:p>
      <w:pPr>
        <w:ind w:left="660" w:right="20" w:hanging="328"/>
        <w:spacing w:after="0" w:line="234" w:lineRule="auto"/>
        <w:tabs>
          <w:tab w:leader="none" w:pos="648" w:val="left"/>
        </w:tabs>
        <w:numPr>
          <w:ilvl w:val="0"/>
          <w:numId w:val="95"/>
        </w:numPr>
        <w:rPr>
          <w:rFonts w:ascii="Arial" w:cs="Arial" w:eastAsia="Arial" w:hAnsi="Arial"/>
          <w:sz w:val="20"/>
          <w:szCs w:val="20"/>
          <w:color w:val="auto"/>
        </w:rPr>
      </w:pPr>
      <w:r>
        <w:rPr>
          <w:rFonts w:ascii="Arial" w:cs="Arial" w:eastAsia="Arial" w:hAnsi="Arial"/>
          <w:sz w:val="18"/>
          <w:szCs w:val="18"/>
          <w:b w:val="1"/>
          <w:bCs w:val="1"/>
          <w:color w:val="auto"/>
        </w:rPr>
        <w:t xml:space="preserve">Causal AI Modeling and Additional Datasets: </w:t>
      </w:r>
      <w:r>
        <w:rPr>
          <w:rFonts w:ascii="Arial" w:cs="Arial" w:eastAsia="Arial" w:hAnsi="Arial"/>
          <w:sz w:val="18"/>
          <w:szCs w:val="18"/>
          <w:color w:val="auto"/>
        </w:rPr>
        <w:t>We have been training causal AI models leveraging over 20 petabytes of multimodal</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oncology patient data from Tempus to support the discovery of potential biomarker-enriched therapeutics at scale. By combining the forward genetics approach of Tempus with the reverse genetics approach at Recursion, we believe we have an opportunity to improve the speed, precision, and scale of therapeutic development in oncology. This work has already resulted in a directed-oncology program against a novel gene/disease relationship in a large oncology indication. Recursion intends to operate both as a data generator and multimodal data aggregator. In the future, we intend to augment our dataset and hone the Recursion OS with germline genetic data, organoid technologies, and automated nano-synthesis technologies.</w:t>
      </w:r>
    </w:p>
    <w:p>
      <w:pPr>
        <w:spacing w:after="0" w:line="3" w:lineRule="exact"/>
        <w:rPr>
          <w:rFonts w:ascii="Arial" w:cs="Arial" w:eastAsia="Arial" w:hAnsi="Arial"/>
          <w:sz w:val="20"/>
          <w:szCs w:val="20"/>
          <w:color w:val="auto"/>
        </w:rPr>
      </w:pPr>
    </w:p>
    <w:p>
      <w:pPr>
        <w:ind w:left="660" w:right="20" w:hanging="328"/>
        <w:spacing w:after="0" w:line="253" w:lineRule="auto"/>
        <w:tabs>
          <w:tab w:leader="none" w:pos="648" w:val="left"/>
        </w:tabs>
        <w:numPr>
          <w:ilvl w:val="0"/>
          <w:numId w:val="95"/>
        </w:numPr>
        <w:rPr>
          <w:rFonts w:ascii="Arial" w:cs="Arial" w:eastAsia="Arial" w:hAnsi="Arial"/>
          <w:sz w:val="20"/>
          <w:szCs w:val="20"/>
          <w:b w:val="1"/>
          <w:bCs w:val="1"/>
          <w:i w:val="1"/>
          <w:iCs w:val="1"/>
          <w:color w:val="auto"/>
        </w:rPr>
      </w:pPr>
      <w:r>
        <w:rPr>
          <w:rFonts w:ascii="Arial" w:cs="Arial" w:eastAsia="Arial" w:hAnsi="Arial"/>
          <w:sz w:val="18"/>
          <w:szCs w:val="18"/>
          <w:b w:val="1"/>
          <w:bCs w:val="1"/>
          <w:color w:val="auto"/>
        </w:rPr>
        <w:t xml:space="preserve">LOWE (Large Language Model-Orchestrated Workflow Engine): </w:t>
      </w:r>
      <w:r>
        <w:rPr>
          <w:rFonts w:ascii="Arial" w:cs="Arial" w:eastAsia="Arial" w:hAnsi="Arial"/>
          <w:sz w:val="18"/>
          <w:szCs w:val="18"/>
          <w:color w:val="auto"/>
        </w:rPr>
        <w:t>LOWE is an LLM agent that represents the next evolution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Recursion OS. LOWE supports drug discovery programs by orchestrating complex wet and dry-lab workflows via natural language prompts. These workflows are the steps and tools available in the Recursion OS, from finding significant relationships across biology, chemistry, and patient-centric data to generating novel compounds and scheduling them for synthesis and experimentation. Through its natural language interface and interactive graphics, LOWE can put state-of-the-art AI tools into the hands of every drug discovery scientist.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22" w:lineRule="exact"/>
        <w:rPr>
          <w:sz w:val="20"/>
          <w:szCs w:val="20"/>
          <w:color w:val="auto"/>
        </w:rPr>
      </w:pPr>
    </w:p>
    <w:p>
      <w:pPr>
        <w:ind w:left="660" w:right="20" w:hanging="328"/>
        <w:spacing w:after="0" w:line="249" w:lineRule="auto"/>
        <w:tabs>
          <w:tab w:leader="none" w:pos="648" w:val="left"/>
        </w:tabs>
        <w:numPr>
          <w:ilvl w:val="0"/>
          <w:numId w:val="96"/>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Cerebral Cavernous Malformation (CCM) (REC-994): </w:t>
      </w:r>
      <w:r>
        <w:rPr>
          <w:rFonts w:ascii="Arial" w:cs="Arial" w:eastAsia="Arial" w:hAnsi="Arial"/>
          <w:sz w:val="18"/>
          <w:szCs w:val="18"/>
          <w:color w:val="auto"/>
        </w:rPr>
        <w:t>Our Phase 2 SYCAMORE clinical trial is a randomized, double-blind,</w:t>
      </w:r>
      <w:r>
        <w:rPr>
          <w:rFonts w:ascii="Arial" w:cs="Arial" w:eastAsia="Arial" w:hAnsi="Arial"/>
          <w:sz w:val="18"/>
          <w:szCs w:val="18"/>
          <w:b w:val="1"/>
          <w:bCs w:val="1"/>
          <w:color w:val="auto"/>
        </w:rPr>
        <w:t xml:space="preserve"> </w:t>
      </w:r>
      <w:r>
        <w:rPr>
          <w:rFonts w:ascii="Arial" w:cs="Arial" w:eastAsia="Arial" w:hAnsi="Arial"/>
          <w:sz w:val="18"/>
          <w:szCs w:val="18"/>
          <w:color w:val="auto"/>
        </w:rPr>
        <w:t>placebo-controlled, safety, tolerability and exploratory efficacy study of REC-994 in participants with CCM. This trial was fully enrolled in June 2023 with 62 participants and the vast majority of participants who completed 12 months of treatment continue to elect to enter the long-term extension study. We expect to share Phase 2 data in Q3 2024.</w:t>
      </w:r>
    </w:p>
    <w:p>
      <w:pPr>
        <w:spacing w:after="0" w:line="2" w:lineRule="exact"/>
        <w:rPr>
          <w:rFonts w:ascii="Arial" w:cs="Arial" w:eastAsia="Arial" w:hAnsi="Arial"/>
          <w:sz w:val="20"/>
          <w:szCs w:val="20"/>
          <w:b w:val="1"/>
          <w:bCs w:val="1"/>
          <w:color w:val="auto"/>
        </w:rPr>
      </w:pPr>
    </w:p>
    <w:p>
      <w:pPr>
        <w:ind w:left="660" w:right="220" w:hanging="328"/>
        <w:spacing w:after="0" w:line="257" w:lineRule="auto"/>
        <w:tabs>
          <w:tab w:leader="none" w:pos="648" w:val="left"/>
        </w:tabs>
        <w:numPr>
          <w:ilvl w:val="0"/>
          <w:numId w:val="96"/>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Neurofibromatosis Type 2 (NF2) (REC-2282): </w:t>
      </w:r>
      <w:r>
        <w:rPr>
          <w:rFonts w:ascii="Arial" w:cs="Arial" w:eastAsia="Arial" w:hAnsi="Arial"/>
          <w:sz w:val="18"/>
          <w:szCs w:val="18"/>
          <w:color w:val="auto"/>
        </w:rPr>
        <w:t>Our adaptive Phase 2/3 POPLAR clinical trial is a randomized, two part study of</w:t>
      </w:r>
      <w:r>
        <w:rPr>
          <w:rFonts w:ascii="Arial" w:cs="Arial" w:eastAsia="Arial" w:hAnsi="Arial"/>
          <w:sz w:val="18"/>
          <w:szCs w:val="18"/>
          <w:b w:val="1"/>
          <w:bCs w:val="1"/>
          <w:color w:val="auto"/>
        </w:rPr>
        <w:t xml:space="preserve"> </w:t>
      </w:r>
      <w:r>
        <w:rPr>
          <w:rFonts w:ascii="Arial" w:cs="Arial" w:eastAsia="Arial" w:hAnsi="Arial"/>
          <w:sz w:val="18"/>
          <w:szCs w:val="18"/>
          <w:color w:val="auto"/>
        </w:rPr>
        <w:t>REC-2282 in participants with progressive NF2-mutated meningiomas. Part 1 of the study is ongoing and is exploring two doses of REC-2282 in approximately 23 adults and 9</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adolescents, with enrollment in adults expected to complete in H1 2024. We expect to share Phase 2 safety and preliminary efficacy data in Q4 2024.</w:t>
      </w:r>
    </w:p>
    <w:p>
      <w:pPr>
        <w:spacing w:after="0" w:line="17" w:lineRule="exact"/>
        <w:rPr>
          <w:sz w:val="20"/>
          <w:szCs w:val="20"/>
          <w:color w:val="auto"/>
        </w:rPr>
      </w:pPr>
    </w:p>
    <w:p>
      <w:pPr>
        <w:jc w:val="both"/>
        <w:ind w:left="660" w:right="60" w:hanging="328"/>
        <w:spacing w:after="0" w:line="255" w:lineRule="auto"/>
        <w:tabs>
          <w:tab w:leader="none" w:pos="648" w:val="left"/>
        </w:tabs>
        <w:numPr>
          <w:ilvl w:val="0"/>
          <w:numId w:val="97"/>
        </w:numPr>
        <w:rPr>
          <w:rFonts w:ascii="Arial" w:cs="Arial" w:eastAsia="Arial" w:hAnsi="Arial"/>
          <w:sz w:val="20"/>
          <w:szCs w:val="20"/>
          <w:color w:val="auto"/>
        </w:rPr>
      </w:pPr>
      <w:r>
        <w:rPr>
          <w:rFonts w:ascii="Arial" w:cs="Arial" w:eastAsia="Arial" w:hAnsi="Arial"/>
          <w:sz w:val="18"/>
          <w:szCs w:val="18"/>
          <w:b w:val="1"/>
          <w:bCs w:val="1"/>
          <w:color w:val="auto"/>
        </w:rPr>
        <w:t xml:space="preserve">Familial Adenomatous Polyposis (FAP) (REC-4881): </w:t>
      </w:r>
      <w:r>
        <w:rPr>
          <w:rFonts w:ascii="Arial" w:cs="Arial" w:eastAsia="Arial" w:hAnsi="Arial"/>
          <w:sz w:val="18"/>
          <w:szCs w:val="18"/>
          <w:color w:val="auto"/>
        </w:rPr>
        <w:t>Our Phase 1b/2 TUPELO clinical trial is an open label, multicenter, two part</w:t>
      </w:r>
      <w:r>
        <w:rPr>
          <w:rFonts w:ascii="Arial" w:cs="Arial" w:eastAsia="Arial" w:hAnsi="Arial"/>
          <w:sz w:val="18"/>
          <w:szCs w:val="18"/>
          <w:b w:val="1"/>
          <w:bCs w:val="1"/>
          <w:color w:val="auto"/>
        </w:rPr>
        <w:t xml:space="preserve"> </w:t>
      </w:r>
      <w:r>
        <w:rPr>
          <w:rFonts w:ascii="Arial" w:cs="Arial" w:eastAsia="Arial" w:hAnsi="Arial"/>
          <w:sz w:val="18"/>
          <w:szCs w:val="18"/>
          <w:color w:val="auto"/>
        </w:rPr>
        <w:t>study of REC-4881 in participants with FAP. Part 1 is complete with FPI for Part 2 anticipated in H1 2024. We expect to share Phase 2 safety and preliminary efficacy data in H1 2025.</w:t>
      </w:r>
    </w:p>
    <w:p>
      <w:pPr>
        <w:ind w:left="660" w:right="240" w:hanging="328"/>
        <w:spacing w:after="0" w:line="246" w:lineRule="auto"/>
        <w:tabs>
          <w:tab w:leader="none" w:pos="648" w:val="left"/>
        </w:tabs>
        <w:numPr>
          <w:ilvl w:val="0"/>
          <w:numId w:val="97"/>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 xml:space="preserve">AXIN1 </w:t>
      </w:r>
      <w:r>
        <w:rPr>
          <w:rFonts w:ascii="Arial" w:cs="Arial" w:eastAsia="Arial" w:hAnsi="Arial"/>
          <w:sz w:val="18"/>
          <w:szCs w:val="18"/>
          <w:b w:val="1"/>
          <w:bCs w:val="1"/>
          <w:color w:val="auto"/>
        </w:rPr>
        <w:t>or</w:t>
      </w:r>
      <w:r>
        <w:rPr>
          <w:rFonts w:ascii="Arial" w:cs="Arial" w:eastAsia="Arial" w:hAnsi="Arial"/>
          <w:sz w:val="18"/>
          <w:szCs w:val="18"/>
          <w:b w:val="1"/>
          <w:bCs w:val="1"/>
          <w:i w:val="1"/>
          <w:iCs w:val="1"/>
          <w:color w:val="auto"/>
        </w:rPr>
        <w:t xml:space="preserve"> APC </w:t>
      </w:r>
      <w:r>
        <w:rPr>
          <w:rFonts w:ascii="Arial" w:cs="Arial" w:eastAsia="Arial" w:hAnsi="Arial"/>
          <w:sz w:val="18"/>
          <w:szCs w:val="18"/>
          <w:b w:val="1"/>
          <w:bCs w:val="1"/>
          <w:color w:val="auto"/>
        </w:rPr>
        <w:t>Mutant Cancers (REC-4881):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Phase 2 LILAC clinical trial is an open label, multicenter study of REC-4881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participants with unresectable, locally advanced or metastatic cancer with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mutations. This study was initiated at the end of 2023, with FPI anticipated in Q1 2024. We expect to share Phase 2 safety and preliminary efficacy data in H1 2025.</w:t>
      </w:r>
    </w:p>
    <w:p>
      <w:pPr>
        <w:spacing w:after="0" w:line="1" w:lineRule="exact"/>
        <w:rPr>
          <w:rFonts w:ascii="Arial" w:cs="Arial" w:eastAsia="Arial" w:hAnsi="Arial"/>
          <w:sz w:val="20"/>
          <w:szCs w:val="20"/>
          <w:b w:val="1"/>
          <w:bCs w:val="1"/>
          <w:i w:val="1"/>
          <w:iCs w:val="1"/>
          <w:color w:val="auto"/>
        </w:rPr>
      </w:pPr>
    </w:p>
    <w:p>
      <w:pPr>
        <w:ind w:left="660" w:hanging="328"/>
        <w:spacing w:after="0" w:line="250" w:lineRule="auto"/>
        <w:tabs>
          <w:tab w:leader="none" w:pos="648" w:val="left"/>
        </w:tabs>
        <w:numPr>
          <w:ilvl w:val="0"/>
          <w:numId w:val="97"/>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 xml:space="preserve">Clostridioides difficile </w:t>
      </w:r>
      <w:r>
        <w:rPr>
          <w:rFonts w:ascii="Arial" w:cs="Arial" w:eastAsia="Arial" w:hAnsi="Arial"/>
          <w:sz w:val="18"/>
          <w:szCs w:val="18"/>
          <w:b w:val="1"/>
          <w:bCs w:val="1"/>
          <w:color w:val="auto"/>
        </w:rPr>
        <w:t>Infection (REC-3964):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conducted a Phase 1 healthy volunteer study to evaluate the safety, tolerability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PK of REC-3964 at increasing oral doses in comparison with placebo. REC-3964 was safe and well tolerated and there were no serious adverse events, deaths or TEAEs that led to discontinuation. REC-3964 is a first-in-class </w:t>
      </w:r>
      <w:r>
        <w:rPr>
          <w:rFonts w:ascii="Arial" w:cs="Arial" w:eastAsia="Arial" w:hAnsi="Arial"/>
          <w:sz w:val="18"/>
          <w:szCs w:val="18"/>
          <w:i w:val="1"/>
          <w:iCs w:val="1"/>
          <w:color w:val="auto"/>
        </w:rPr>
        <w:t>C.difficile</w:t>
      </w:r>
      <w:r>
        <w:rPr>
          <w:rFonts w:ascii="Arial" w:cs="Arial" w:eastAsia="Arial" w:hAnsi="Arial"/>
          <w:sz w:val="18"/>
          <w:szCs w:val="18"/>
          <w:color w:val="auto"/>
        </w:rPr>
        <w:t xml:space="preserve"> toxin inhibitor and the first new chemical entity developed by Recursion, with promising preclinical efficacy data seen in relevant models (superiority versus bezlotoxumab). We expect to initiate a Phase 2 study in 2024.</w:t>
      </w:r>
    </w:p>
    <w:p>
      <w:pPr>
        <w:ind w:left="660" w:hanging="328"/>
        <w:spacing w:after="0" w:line="25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RBM39 HR-Proficient Ovarian Cancers and Other Solid Tumors: </w:t>
      </w:r>
      <w:r>
        <w:rPr>
          <w:rFonts w:ascii="Arial" w:cs="Arial" w:eastAsia="Arial" w:hAnsi="Arial"/>
          <w:sz w:val="18"/>
          <w:szCs w:val="18"/>
          <w:color w:val="auto"/>
        </w:rPr>
        <w:t>RBM39 is a novel CDK12-adjacent target identified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Recursion OS. We intend to position our lead candidate as a single agent for the potential treatment of HR-proficient ovarian cancers and other HR-proficient solid tumors. As a result of our strategic collaboration with Tempus, we are leveraging genomic data across all tumor types to identify clinical biomarkers for patient expansion. We are advancing our lead candidate through IND-enabling studies with IND submission expected in H2 2024.</w:t>
      </w:r>
    </w:p>
    <w:p>
      <w:pPr>
        <w:spacing w:after="0" w:line="2" w:lineRule="exact"/>
        <w:rPr>
          <w:rFonts w:ascii="Arial" w:cs="Arial" w:eastAsia="Arial" w:hAnsi="Arial"/>
          <w:sz w:val="18"/>
          <w:szCs w:val="18"/>
          <w:color w:val="auto"/>
        </w:rPr>
      </w:pPr>
    </w:p>
    <w:p>
      <w:pPr>
        <w:ind w:left="660" w:right="20" w:hanging="328"/>
        <w:spacing w:after="0" w:line="242" w:lineRule="auto"/>
        <w:tabs>
          <w:tab w:leader="none" w:pos="648" w:val="left"/>
        </w:tabs>
        <w:numPr>
          <w:ilvl w:val="0"/>
          <w:numId w:val="97"/>
        </w:numPr>
        <w:rPr>
          <w:rFonts w:ascii="Arial" w:cs="Arial" w:eastAsia="Arial" w:hAnsi="Arial"/>
          <w:sz w:val="20"/>
          <w:szCs w:val="20"/>
          <w:color w:val="auto"/>
        </w:rPr>
      </w:pPr>
      <w:r>
        <w:rPr>
          <w:rFonts w:ascii="Arial" w:cs="Arial" w:eastAsia="Arial" w:hAnsi="Arial"/>
          <w:sz w:val="18"/>
          <w:szCs w:val="18"/>
          <w:b w:val="1"/>
          <w:bCs w:val="1"/>
          <w:color w:val="auto"/>
        </w:rPr>
        <w:t xml:space="preserve">Undisclosed Indication in Fibrosis (Target Epsilon): </w:t>
      </w:r>
      <w:r>
        <w:rPr>
          <w:rFonts w:ascii="Arial" w:cs="Arial" w:eastAsia="Arial" w:hAnsi="Arial"/>
          <w:sz w:val="18"/>
          <w:szCs w:val="18"/>
          <w:color w:val="auto"/>
        </w:rPr>
        <w:t>Phenotypic screening of human PBMCs identified novel and structurally</w:t>
      </w:r>
      <w:r>
        <w:rPr>
          <w:rFonts w:ascii="Arial" w:cs="Arial" w:eastAsia="Arial" w:hAnsi="Arial"/>
          <w:sz w:val="18"/>
          <w:szCs w:val="18"/>
          <w:b w:val="1"/>
          <w:bCs w:val="1"/>
          <w:color w:val="auto"/>
        </w:rPr>
        <w:t xml:space="preserve"> </w:t>
      </w:r>
      <w:r>
        <w:rPr>
          <w:rFonts w:ascii="Arial" w:cs="Arial" w:eastAsia="Arial" w:hAnsi="Arial"/>
          <w:sz w:val="18"/>
          <w:szCs w:val="18"/>
          <w:color w:val="auto"/>
        </w:rPr>
        <w:t>diverse small molecules that reverse the phenotypic features of disease-state fibrocyte cells into those of healthy-state cells. The most promising compounds were confirmed as potent inhibitors of a novel target for fibrosis. This program originated under our initial fibrosis collaboration with Bayer and we have since in-licensed from Bayer all rights to this program which is now entering IND-enabling studies.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264" w:lineRule="exact"/>
        <w:rPr>
          <w:sz w:val="20"/>
          <w:szCs w:val="20"/>
          <w:color w:val="auto"/>
        </w:rPr>
      </w:pPr>
    </w:p>
    <w:p>
      <w:pPr>
        <w:ind w:left="660" w:right="40" w:hanging="328"/>
        <w:spacing w:after="0" w:line="242" w:lineRule="auto"/>
        <w:tabs>
          <w:tab w:leader="none" w:pos="648" w:val="left"/>
        </w:tabs>
        <w:numPr>
          <w:ilvl w:val="0"/>
          <w:numId w:val="98"/>
        </w:numPr>
        <w:rPr>
          <w:rFonts w:ascii="Arial" w:cs="Arial" w:eastAsia="Arial" w:hAnsi="Arial"/>
          <w:sz w:val="20"/>
          <w:szCs w:val="20"/>
          <w:color w:val="auto"/>
        </w:rPr>
      </w:pPr>
      <w:r>
        <w:rPr>
          <w:rFonts w:ascii="Arial" w:cs="Arial" w:eastAsia="Arial" w:hAnsi="Arial"/>
          <w:sz w:val="18"/>
          <w:szCs w:val="18"/>
          <w:b w:val="1"/>
          <w:bCs w:val="1"/>
          <w:color w:val="auto"/>
        </w:rPr>
        <w:t xml:space="preserve">Transformational Collaborations: </w:t>
      </w:r>
      <w:r>
        <w:rPr>
          <w:rFonts w:ascii="Arial" w:cs="Arial" w:eastAsia="Arial" w:hAnsi="Arial"/>
          <w:sz w:val="18"/>
          <w:szCs w:val="18"/>
          <w:color w:val="auto"/>
        </w:rPr>
        <w:t>We continue to advance efforts to discover potential new therapeutics with our strategic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areas of undruggable oncology (Bayer) as well as neuroscience and a single indication in gastrointestinal oncology (Roche-Genentech). In the near-term, there is the potential for option exercises associated with partnership programs, option exercises associated with map building initiatives or data sharing, and additional partnerships in large, intractable areas of biology or technological innovation.</w:t>
      </w:r>
    </w:p>
    <w:p>
      <w:pPr>
        <w:spacing w:after="0" w:line="4" w:lineRule="exact"/>
        <w:rPr>
          <w:rFonts w:ascii="Arial" w:cs="Arial" w:eastAsia="Arial" w:hAnsi="Arial"/>
          <w:sz w:val="20"/>
          <w:szCs w:val="20"/>
          <w:color w:val="auto"/>
        </w:rPr>
      </w:pPr>
    </w:p>
    <w:p>
      <w:pPr>
        <w:ind w:left="660" w:right="120" w:hanging="328"/>
        <w:spacing w:after="0" w:line="239" w:lineRule="auto"/>
        <w:tabs>
          <w:tab w:leader="none" w:pos="648" w:val="left"/>
        </w:tabs>
        <w:numPr>
          <w:ilvl w:val="0"/>
          <w:numId w:val="98"/>
        </w:numPr>
        <w:rPr>
          <w:rFonts w:ascii="Arial" w:cs="Arial" w:eastAsia="Arial" w:hAnsi="Arial"/>
          <w:sz w:val="20"/>
          <w:szCs w:val="20"/>
          <w:color w:val="auto"/>
        </w:rPr>
      </w:pPr>
      <w:r>
        <w:rPr>
          <w:rFonts w:ascii="Arial" w:cs="Arial" w:eastAsia="Arial" w:hAnsi="Arial"/>
          <w:sz w:val="18"/>
          <w:szCs w:val="18"/>
          <w:b w:val="1"/>
          <w:bCs w:val="1"/>
          <w:color w:val="auto"/>
        </w:rPr>
        <w:t xml:space="preserve">Enamine: </w:t>
      </w:r>
      <w:r>
        <w:rPr>
          <w:rFonts w:ascii="Arial" w:cs="Arial" w:eastAsia="Arial" w:hAnsi="Arial"/>
          <w:sz w:val="18"/>
          <w:szCs w:val="18"/>
          <w:color w:val="auto"/>
        </w:rPr>
        <w:t>In December 2023, we entered a collaboration with Enamine to generate and design enriched compound libraries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drug discovery industry. By leveraging MatchMaker, a Recursion AI model, to identify compounds in the Enamine REAL Space (~36 billion chemical compounds) predicted to bind to high-value targets, we believe we can generate more powerful compound libraries for drug discovery purposes. Enamine may offer the resulting libraries to customers for purchase and will co-brand any libraries under both the Enamine and Recursion’s trademarks. This collaboration is an example of how select data layers can drive value in novel ways.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were incorporated in November 2013. In </w:t>
      </w:r>
      <w:r>
        <w:rPr>
          <w:rFonts w:ascii="Arial" w:cs="Arial" w:eastAsia="Arial" w:hAnsi="Arial"/>
          <w:sz w:val="18"/>
          <w:szCs w:val="18"/>
          <w:color w:val="1E1E1E"/>
        </w:rPr>
        <w:t>April 2021</w:t>
      </w:r>
      <w:r>
        <w:rPr>
          <w:rFonts w:ascii="Arial" w:cs="Arial" w:eastAsia="Arial" w:hAnsi="Arial"/>
          <w:sz w:val="18"/>
          <w:szCs w:val="18"/>
          <w:color w:val="auto"/>
        </w:rPr>
        <w:t xml:space="preserve">, we closed our Initial Public Offering (IPO) and issued </w:t>
      </w:r>
      <w:r>
        <w:rPr>
          <w:rFonts w:ascii="Arial" w:cs="Arial" w:eastAsia="Arial" w:hAnsi="Arial"/>
          <w:sz w:val="18"/>
          <w:szCs w:val="18"/>
          <w:color w:val="1E1E1E"/>
        </w:rPr>
        <w:t>27.9 million</w:t>
      </w:r>
      <w:r>
        <w:rPr>
          <w:rFonts w:ascii="Arial" w:cs="Arial" w:eastAsia="Arial" w:hAnsi="Arial"/>
          <w:sz w:val="18"/>
          <w:szCs w:val="18"/>
          <w:color w:val="auto"/>
        </w:rPr>
        <w:t xml:space="preserve"> shares of Class A common stock at a price of $18.00 per share, raising net proceeds of </w:t>
      </w:r>
      <w:r>
        <w:rPr>
          <w:rFonts w:ascii="Arial" w:cs="Arial" w:eastAsia="Arial" w:hAnsi="Arial"/>
          <w:sz w:val="18"/>
          <w:szCs w:val="18"/>
          <w:color w:val="1E1E1E"/>
        </w:rPr>
        <w:t>$462.4 million</w:t>
      </w:r>
      <w:r>
        <w:rPr>
          <w:rFonts w:ascii="Arial" w:cs="Arial" w:eastAsia="Arial" w:hAnsi="Arial"/>
          <w:sz w:val="18"/>
          <w:szCs w:val="18"/>
          <w:color w:val="auto"/>
        </w:rPr>
        <w:t xml:space="preserve">. Prior to our IPO, we had raised </w:t>
      </w:r>
      <w:r>
        <w:rPr>
          <w:rFonts w:ascii="Arial" w:cs="Arial" w:eastAsia="Arial" w:hAnsi="Arial"/>
          <w:sz w:val="18"/>
          <w:szCs w:val="18"/>
          <w:color w:val="1E1E1E"/>
        </w:rPr>
        <w:t>$448.9 million</w:t>
      </w:r>
      <w:r>
        <w:rPr>
          <w:rFonts w:ascii="Arial" w:cs="Arial" w:eastAsia="Arial" w:hAnsi="Arial"/>
          <w:sz w:val="18"/>
          <w:szCs w:val="18"/>
          <w:color w:val="auto"/>
        </w:rPr>
        <w:t xml:space="preserve"> in equity financing from investors in addition to </w:t>
      </w:r>
      <w:r>
        <w:rPr>
          <w:rFonts w:ascii="Arial" w:cs="Arial" w:eastAsia="Arial" w:hAnsi="Arial"/>
          <w:sz w:val="18"/>
          <w:szCs w:val="18"/>
          <w:color w:val="1E1E1E"/>
        </w:rPr>
        <w:t>$ 30.0 million</w:t>
      </w:r>
      <w:r>
        <w:rPr>
          <w:rFonts w:ascii="Arial" w:cs="Arial" w:eastAsia="Arial" w:hAnsi="Arial"/>
          <w:sz w:val="18"/>
          <w:szCs w:val="18"/>
          <w:color w:val="auto"/>
        </w:rPr>
        <w:t xml:space="preserve"> in an upfront payment from our collaboration with Bayer AG (Bayer). In </w:t>
      </w:r>
      <w:r>
        <w:rPr>
          <w:rFonts w:ascii="Arial" w:cs="Arial" w:eastAsia="Arial" w:hAnsi="Arial"/>
          <w:sz w:val="18"/>
          <w:szCs w:val="18"/>
          <w:color w:val="1E1E1E"/>
        </w:rPr>
        <w:t>January 2022</w:t>
      </w:r>
      <w:r>
        <w:rPr>
          <w:rFonts w:ascii="Arial" w:cs="Arial" w:eastAsia="Arial" w:hAnsi="Arial"/>
          <w:sz w:val="18"/>
          <w:szCs w:val="18"/>
          <w:color w:val="auto"/>
        </w:rPr>
        <w:t xml:space="preserve">, we received an upfront payment of </w:t>
      </w:r>
      <w:r>
        <w:rPr>
          <w:rFonts w:ascii="Arial" w:cs="Arial" w:eastAsia="Arial" w:hAnsi="Arial"/>
          <w:sz w:val="18"/>
          <w:szCs w:val="18"/>
          <w:color w:val="1E1E1E"/>
        </w:rPr>
        <w:t>$150.0 million</w:t>
      </w:r>
      <w:r>
        <w:rPr>
          <w:rFonts w:ascii="Arial" w:cs="Arial" w:eastAsia="Arial" w:hAnsi="Arial"/>
          <w:sz w:val="18"/>
          <w:szCs w:val="18"/>
          <w:color w:val="auto"/>
        </w:rPr>
        <w:t xml:space="preserve"> from our collaboration with Roche. </w:t>
      </w:r>
      <w:r>
        <w:rPr>
          <w:rFonts w:ascii="Arial" w:cs="Arial" w:eastAsia="Arial" w:hAnsi="Arial"/>
          <w:sz w:val="18"/>
          <w:szCs w:val="18"/>
          <w:color w:val="1E1E1E"/>
        </w:rPr>
        <w:t>See Note 9, “Collaborative Development Contracts” to the</w:t>
      </w:r>
      <w:r>
        <w:rPr>
          <w:rFonts w:ascii="Arial" w:cs="Arial" w:eastAsia="Arial" w:hAnsi="Arial"/>
          <w:sz w:val="18"/>
          <w:szCs w:val="18"/>
          <w:color w:val="auto"/>
        </w:rPr>
        <w:t xml:space="preserve"> </w:t>
      </w:r>
      <w:r>
        <w:rPr>
          <w:rFonts w:ascii="Arial" w:cs="Arial" w:eastAsia="Arial" w:hAnsi="Arial"/>
          <w:sz w:val="18"/>
          <w:szCs w:val="18"/>
          <w:color w:val="1E1E1E"/>
        </w:rPr>
        <w:t>Consolidated Financial Statements for additional information on the collaborations. In October 2022, we issued 15.3 million shares of our Class A common stock at a purchase price of $9.80 per share in the 2022 private placement to qualified institutional buyers and institutional accredited investors (the Purchasers) for net proceeds of $143.7 million, after deducting fees and offering costs of $6.6 million. In July 2023, we issued an aggregate of 7.7 million shares of our Class A common stock at a purchase price of $6.49 per share in the 2023 Private Placement with</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1E1E1E"/>
        </w:rPr>
        <w:t>NVIDIA Corporation for net proceeds of approximately $50.0 million. See Note 8, “Common Stock” to the Consolidated Financial Statements for additional information on the private placements. During the year ended December 31, 2023, Recursion entered into an O</w:t>
      </w:r>
      <w:r>
        <w:rPr>
          <w:rFonts w:ascii="Arial" w:cs="Arial" w:eastAsia="Arial" w:hAnsi="Arial"/>
          <w:sz w:val="18"/>
          <w:szCs w:val="18"/>
          <w:color w:val="000000"/>
        </w:rPr>
        <w:t>pen Market</w:t>
      </w:r>
      <w:r>
        <w:rPr>
          <w:rFonts w:ascii="Arial" w:cs="Arial" w:eastAsia="Arial" w:hAnsi="Arial"/>
          <w:sz w:val="18"/>
          <w:szCs w:val="18"/>
          <w:color w:val="1E1E1E"/>
        </w:rPr>
        <w:t xml:space="preserve"> </w:t>
      </w:r>
      <w:r>
        <w:rPr>
          <w:rFonts w:ascii="Arial" w:cs="Arial" w:eastAsia="Arial" w:hAnsi="Arial"/>
          <w:sz w:val="18"/>
          <w:szCs w:val="18"/>
          <w:color w:val="000000"/>
        </w:rPr>
        <w:t xml:space="preserve">Sales Agreement (the “Sales Agreement”) with Jefferies LLC (the “Sales Agent”). </w:t>
      </w:r>
      <w:r>
        <w:rPr>
          <w:rFonts w:ascii="Arial" w:cs="Arial" w:eastAsia="Arial" w:hAnsi="Arial"/>
          <w:sz w:val="18"/>
          <w:szCs w:val="18"/>
          <w:color w:val="1E1E1E"/>
        </w:rPr>
        <w:t>For the year ended December 31, 2023, t</w:t>
      </w:r>
      <w:r>
        <w:rPr>
          <w:rFonts w:ascii="Arial" w:cs="Arial" w:eastAsia="Arial" w:hAnsi="Arial"/>
          <w:sz w:val="18"/>
          <w:szCs w:val="18"/>
          <w:color w:val="000000"/>
        </w:rPr>
        <w:t xml:space="preserve">he Company has sold 12.0 million shares and received net proceeds of $78.2 million under the agreement. </w:t>
      </w:r>
      <w:r>
        <w:rPr>
          <w:rFonts w:ascii="Arial" w:cs="Arial" w:eastAsia="Arial" w:hAnsi="Arial"/>
          <w:sz w:val="18"/>
          <w:szCs w:val="18"/>
          <w:color w:val="1E1E1E"/>
        </w:rPr>
        <w:t>See Note 8, “Common Stock” to the Consolidated</w:t>
      </w:r>
      <w:r>
        <w:rPr>
          <w:rFonts w:ascii="Arial" w:cs="Arial" w:eastAsia="Arial" w:hAnsi="Arial"/>
          <w:sz w:val="18"/>
          <w:szCs w:val="18"/>
          <w:color w:val="000000"/>
        </w:rPr>
        <w:t xml:space="preserve"> </w:t>
      </w:r>
      <w:r>
        <w:rPr>
          <w:rFonts w:ascii="Arial" w:cs="Arial" w:eastAsia="Arial" w:hAnsi="Arial"/>
          <w:sz w:val="18"/>
          <w:szCs w:val="18"/>
          <w:color w:val="1E1E1E"/>
        </w:rPr>
        <w:t>Financial Statements for additional information on the Sales Agreement.</w:t>
      </w:r>
    </w:p>
    <w:p>
      <w:pPr>
        <w:spacing w:after="0" w:line="2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use the capital we have raised to fund operating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t>
      </w:r>
      <w:r>
        <w:rPr>
          <w:rFonts w:ascii="Arial" w:cs="Arial" w:eastAsia="Arial" w:hAnsi="Arial"/>
          <w:sz w:val="18"/>
          <w:szCs w:val="18"/>
          <w:color w:val="1E1E1E"/>
        </w:rPr>
        <w:t>We had cash and cash equivalents of</w:t>
      </w:r>
      <w:r>
        <w:rPr>
          <w:rFonts w:ascii="Arial" w:cs="Arial" w:eastAsia="Arial" w:hAnsi="Arial"/>
          <w:sz w:val="18"/>
          <w:szCs w:val="18"/>
          <w:color w:val="auto"/>
        </w:rPr>
        <w:t xml:space="preserve"> </w:t>
      </w:r>
      <w:r>
        <w:rPr>
          <w:rFonts w:ascii="Arial" w:cs="Arial" w:eastAsia="Arial" w:hAnsi="Arial"/>
          <w:sz w:val="18"/>
          <w:szCs w:val="18"/>
          <w:color w:val="1E1E1E"/>
        </w:rPr>
        <w:t xml:space="preserve">$391.6 million as of December 31, 2023. </w:t>
      </w:r>
      <w:r>
        <w:rPr>
          <w:rFonts w:ascii="Arial" w:cs="Arial" w:eastAsia="Arial" w:hAnsi="Arial"/>
          <w:sz w:val="18"/>
          <w:szCs w:val="18"/>
          <w:color w:val="000000"/>
        </w:rPr>
        <w:t>Based on our current operating plan, we believe that our cash and cash equivalents will be</w:t>
      </w:r>
      <w:r>
        <w:rPr>
          <w:rFonts w:ascii="Arial" w:cs="Arial" w:eastAsia="Arial" w:hAnsi="Arial"/>
          <w:sz w:val="18"/>
          <w:szCs w:val="18"/>
          <w:color w:val="1E1E1E"/>
        </w:rPr>
        <w:t xml:space="preserve"> </w:t>
      </w:r>
      <w:r>
        <w:rPr>
          <w:rFonts w:ascii="Arial" w:cs="Arial" w:eastAsia="Arial" w:hAnsi="Arial"/>
          <w:sz w:val="18"/>
          <w:szCs w:val="18"/>
          <w:color w:val="000000"/>
        </w:rPr>
        <w:t>sufficient to fund our operations for at least the next twelve months.</w:t>
      </w: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1E1E1E"/>
        </w:rPr>
        <w:t>Since inception, we have incurred significant operating losses. Our net losses were $328.1 million, $239.5 million and $186.5 million during the years ended December 31, 2023, 2022 and 2021, respectively. As of December 31, 2023, our accumulated deficit was $967.6 million.</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2023 compared to 2022</w:t>
            </w:r>
          </w:p>
        </w:tc>
        <w:tc>
          <w:tcPr>
            <w:tcW w:w="1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2022 compared to 2021</w:t>
            </w:r>
          </w:p>
        </w:tc>
      </w:tr>
      <w:tr>
        <w:trPr>
          <w:trHeight w:val="22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w:t>
            </w: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4,195</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10.6 % $</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29,681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5"/>
        </w:trPr>
        <w:tc>
          <w:tcPr>
            <w:tcW w:w="3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538</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&gt;100%</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39,843</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4,733</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11.9 %</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29,665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57"/>
        </w:trPr>
        <w:tc>
          <w:tcPr>
            <w:tcW w:w="3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42,587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48,275</w:t>
            </w:r>
          </w:p>
        </w:tc>
        <w:tc>
          <w:tcPr>
            <w:tcW w:w="3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(5,688)</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(11.8)%</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48,275</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241,226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155,696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85,530</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54.9 %</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20,425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15"/>
        </w:trPr>
        <w:tc>
          <w:tcPr>
            <w:tcW w:w="3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110,822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81,599</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57,682</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29,224</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35.8 %</w:t>
            </w: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23,917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41.5 %</w:t>
            </w: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costs and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394,635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285,570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109,066</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38.2 %</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92,617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48.0 %</w:t>
            </w:r>
          </w:p>
        </w:tc>
      </w:tr>
      <w:tr>
        <w:trPr>
          <w:trHeight w:val="257"/>
        </w:trPr>
        <w:tc>
          <w:tcPr>
            <w:tcW w:w="3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(350,060)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(245,727)</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(104,333)</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42.5 %</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(62,952)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34.4 %</w:t>
            </w:r>
          </w:p>
        </w:tc>
      </w:tr>
      <w:tr>
        <w:trPr>
          <w:trHeight w:val="215"/>
        </w:trPr>
        <w:tc>
          <w:tcPr>
            <w:tcW w:w="3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 (loss),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11,681</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&gt;100%</w:t>
            </w: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9,955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 benefit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(332,128)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(239,476)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(92,652)</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38.7 %</w:t>
            </w:r>
          </w:p>
        </w:tc>
        <w:tc>
          <w:tcPr>
            <w:tcW w:w="10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(52,997)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28.4 %</w:t>
            </w: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Income tax benefit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4,062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4,062</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n/m</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35"/>
        </w:trPr>
        <w:tc>
          <w:tcPr>
            <w:tcW w:w="3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(328,066)</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(239,476)</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(186,479)</w:t>
            </w:r>
          </w:p>
        </w:tc>
        <w:tc>
          <w:tcPr>
            <w:tcW w:w="26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(88,590)</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37.0 % $</w:t>
            </w:r>
          </w:p>
        </w:tc>
        <w:tc>
          <w:tcPr>
            <w:tcW w:w="10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(52,997)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28.4 %</w:t>
            </w: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1E1E1E"/>
        </w:rPr>
        <w:t xml:space="preserve">Our financial performance during the year ended December 31, 2023 </w:t>
      </w:r>
      <w:r>
        <w:rPr>
          <w:rFonts w:ascii="Arial" w:cs="Arial" w:eastAsia="Arial" w:hAnsi="Arial"/>
          <w:sz w:val="18"/>
          <w:szCs w:val="18"/>
          <w:color w:val="000000"/>
        </w:rPr>
        <w:t>compared to 2022 included an increase in research and development</w:t>
      </w:r>
      <w:r>
        <w:rPr>
          <w:rFonts w:ascii="Arial" w:cs="Arial" w:eastAsia="Arial" w:hAnsi="Arial"/>
          <w:sz w:val="18"/>
          <w:szCs w:val="18"/>
          <w:color w:val="1E1E1E"/>
        </w:rPr>
        <w:t xml:space="preserve"> </w:t>
      </w:r>
      <w:r>
        <w:rPr>
          <w:rFonts w:ascii="Arial" w:cs="Arial" w:eastAsia="Arial" w:hAnsi="Arial"/>
          <w:sz w:val="18"/>
          <w:szCs w:val="18"/>
          <w:color w:val="000000"/>
        </w:rPr>
        <w:t>costs due to increased platform costs as we have expanded and upgraded our capabilities, additionally for the year ended December 31, 2022 platform costs decreased due to a reallocation of spending to cost of revenue for our strategic partnerships.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1E1E1E"/>
        </w:rPr>
        <w:t xml:space="preserve">Our financial performance during the </w:t>
      </w:r>
      <w:r>
        <w:rPr>
          <w:rFonts w:ascii="Arial" w:cs="Arial" w:eastAsia="Arial" w:hAnsi="Arial"/>
          <w:sz w:val="18"/>
          <w:szCs w:val="18"/>
          <w:color w:val="000000"/>
        </w:rPr>
        <w:t>year ended December 31, 2022 compared to 2021 included: (i) a decrease in platform research and</w:t>
      </w:r>
      <w:r>
        <w:rPr>
          <w:rFonts w:ascii="Arial" w:cs="Arial" w:eastAsia="Arial" w:hAnsi="Arial"/>
          <w:sz w:val="18"/>
          <w:szCs w:val="18"/>
          <w:color w:val="1E1E1E"/>
        </w:rPr>
        <w:t xml:space="preserve"> </w:t>
      </w:r>
      <w:r>
        <w:rPr>
          <w:rFonts w:ascii="Arial" w:cs="Arial" w:eastAsia="Arial" w:hAnsi="Arial"/>
          <w:sz w:val="18"/>
          <w:szCs w:val="18"/>
          <w:color w:val="000000"/>
        </w:rPr>
        <w:t xml:space="preserve">development costs due to </w:t>
      </w:r>
      <w:r>
        <w:rPr>
          <w:rFonts w:ascii="Arial" w:cs="Arial" w:eastAsia="Arial" w:hAnsi="Arial"/>
          <w:sz w:val="18"/>
          <w:szCs w:val="18"/>
          <w:color w:val="1E1E1E"/>
        </w:rPr>
        <w:t>a reallocation of spending to cost of revenue for our strategic partnerships; (ii) an increase in revenue recognized</w:t>
      </w:r>
      <w:r>
        <w:rPr>
          <w:rFonts w:ascii="Arial" w:cs="Arial" w:eastAsia="Arial" w:hAnsi="Arial"/>
          <w:sz w:val="18"/>
          <w:szCs w:val="18"/>
          <w:color w:val="000000"/>
        </w:rPr>
        <w:t xml:space="preserve"> </w:t>
      </w:r>
      <w:r>
        <w:rPr>
          <w:rFonts w:ascii="Arial" w:cs="Arial" w:eastAsia="Arial" w:hAnsi="Arial"/>
          <w:sz w:val="18"/>
          <w:szCs w:val="18"/>
          <w:color w:val="1E1E1E"/>
        </w:rPr>
        <w:t>due to our partnership with Roche; and (iii) the incurrence of cost of revenue due to our strategic partnerships. Additionally, our financial results reflected added funding to support our emerging early- and mid-stage pipeline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revenue: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435"/>
              <w:spacing w:after="0"/>
              <w:rPr>
                <w:sz w:val="20"/>
                <w:szCs w:val="20"/>
                <w:color w:val="auto"/>
              </w:rPr>
            </w:pPr>
            <w:r>
              <w:rPr>
                <w:rFonts w:ascii="Arial" w:cs="Arial" w:eastAsia="Arial" w:hAnsi="Arial"/>
                <w:sz w:val="14"/>
                <w:szCs w:val="14"/>
                <w:b w:val="1"/>
                <w:bCs w:val="1"/>
                <w:color w:val="auto"/>
              </w:rPr>
              <w:t>2023 compared to 2022</w:t>
            </w:r>
          </w:p>
        </w:tc>
        <w:tc>
          <w:tcPr>
            <w:tcW w:w="2000" w:type="dxa"/>
            <w:vAlign w:val="bottom"/>
            <w:tcBorders>
              <w:bottom w:val="single" w:sz="8" w:color="auto"/>
            </w:tcBorders>
            <w:gridSpan w:val="2"/>
          </w:tcPr>
          <w:p>
            <w:pPr>
              <w:jc w:val="right"/>
              <w:ind w:right="235"/>
              <w:spacing w:after="0"/>
              <w:rPr>
                <w:sz w:val="20"/>
                <w:szCs w:val="20"/>
                <w:color w:val="auto"/>
              </w:rPr>
            </w:pPr>
            <w:r>
              <w:rPr>
                <w:rFonts w:ascii="Arial" w:cs="Arial" w:eastAsia="Arial" w:hAnsi="Arial"/>
                <w:sz w:val="14"/>
                <w:szCs w:val="14"/>
                <w:b w:val="1"/>
                <w:bCs w:val="1"/>
                <w:color w:val="auto"/>
              </w:rPr>
              <w:t>2022 compared to 2021</w:t>
            </w:r>
          </w:p>
        </w:tc>
      </w:tr>
      <w:tr>
        <w:trPr>
          <w:trHeight w:val="228"/>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r>
      <w:tr>
        <w:trPr>
          <w:trHeight w:val="224"/>
        </w:trPr>
        <w:tc>
          <w:tcPr>
            <w:tcW w:w="304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4,195</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10.6 % $</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29,681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29"/>
        </w:trPr>
        <w:tc>
          <w:tcPr>
            <w:tcW w:w="3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revenue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538</w:t>
            </w: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&gt;100%</w:t>
            </w: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2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4,733</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11.9 % $</w:t>
            </w:r>
          </w:p>
        </w:tc>
        <w:tc>
          <w:tcPr>
            <w:tcW w:w="108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29,665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0"/>
        </w:trPr>
        <w:tc>
          <w:tcPr>
            <w:tcW w:w="3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1E1E1E"/>
        </w:rPr>
        <w:t>Operating revenue is generated through partnerships in which we perform research and development activities for customers. Generally, those arrangements provide our customers with certain rights related to the results of those research and development activities. We may also retain certain rights related to the results of those activities. Our revenue to-date relates primarily to the recognition over time of amounts received at inception of the partnerships. In addition, we are entitled to receive variable consideration as certain milestones are achieved. The timing of revenue recognition is not directly correlated to the timing of cash receipts.</w:t>
      </w:r>
    </w:p>
    <w:p>
      <w:pPr>
        <w:spacing w:after="0" w:line="274"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1E1E1E"/>
        </w:rPr>
        <w:t xml:space="preserve">For the year ended December 31, 2023, the increase in revenue compared to prior year was due to revenue recognized from our partnership with Roche, which has progressed from primarily cell type evaluation work to inference-based Phenomap building and additional cell type evaluation work. For the </w:t>
      </w:r>
      <w:r>
        <w:rPr>
          <w:rFonts w:ascii="Arial" w:cs="Arial" w:eastAsia="Arial" w:hAnsi="Arial"/>
          <w:sz w:val="18"/>
          <w:szCs w:val="18"/>
          <w:color w:val="000000"/>
        </w:rPr>
        <w:t>year ended December 31, 2022</w:t>
      </w:r>
      <w:r>
        <w:rPr>
          <w:rFonts w:ascii="Arial" w:cs="Arial" w:eastAsia="Arial" w:hAnsi="Arial"/>
          <w:sz w:val="18"/>
          <w:szCs w:val="18"/>
          <w:color w:val="1E1E1E"/>
        </w:rPr>
        <w:t xml:space="preserve">, the increase in revenue compared to prior year was due to revenue recognized from our partnership with Roche, which commenced in </w:t>
      </w:r>
      <w:r>
        <w:rPr>
          <w:rFonts w:ascii="Arial" w:cs="Arial" w:eastAsia="Arial" w:hAnsi="Arial"/>
          <w:sz w:val="18"/>
          <w:szCs w:val="18"/>
          <w:color w:val="000000"/>
        </w:rPr>
        <w:t>January 2022</w:t>
      </w:r>
      <w:r>
        <w:rPr>
          <w:rFonts w:ascii="Arial" w:cs="Arial" w:eastAsia="Arial" w:hAnsi="Arial"/>
          <w:sz w:val="18"/>
          <w:szCs w:val="18"/>
          <w:color w:val="1E1E1E"/>
        </w:rPr>
        <w: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cost of revenue: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4"/>
                <w:szCs w:val="14"/>
                <w:b w:val="1"/>
                <w:bCs w:val="1"/>
                <w:color w:val="auto"/>
              </w:rPr>
              <w:t>2023 compared to 2022</w:t>
            </w:r>
          </w:p>
        </w:tc>
        <w:tc>
          <w:tcPr>
            <w:tcW w:w="18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2022 compared to 2021</w:t>
            </w:r>
          </w:p>
        </w:tc>
      </w:tr>
      <w:tr>
        <w:trPr>
          <w:trHeight w:val="242"/>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21"/>
                <w:szCs w:val="21"/>
                <w:color w:val="auto"/>
              </w:rPr>
            </w:pP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21"/>
                <w:szCs w:val="21"/>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54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r>
      <w:tr>
        <w:trPr>
          <w:trHeight w:val="249"/>
        </w:trPr>
        <w:tc>
          <w:tcPr>
            <w:tcW w:w="3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w:t>
            </w:r>
          </w:p>
        </w:tc>
        <w:tc>
          <w:tcPr>
            <w:tcW w:w="76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  (5,688)</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92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8"/>
                <w:szCs w:val="18"/>
                <w:color w:val="auto"/>
              </w:rPr>
              <w:t>48,275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3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1E1E1E"/>
        </w:rPr>
        <w:t xml:space="preserve">Cost of revenue consists of the Company’s costs to </w:t>
      </w:r>
      <w:r>
        <w:rPr>
          <w:rFonts w:ascii="Arial" w:cs="Arial" w:eastAsia="Arial" w:hAnsi="Arial"/>
          <w:sz w:val="18"/>
          <w:szCs w:val="18"/>
          <w:color w:val="000000"/>
        </w:rPr>
        <w:t>provide services for drug discovery required under performance obligations with</w:t>
      </w:r>
      <w:r>
        <w:rPr>
          <w:rFonts w:ascii="Arial" w:cs="Arial" w:eastAsia="Arial" w:hAnsi="Arial"/>
          <w:sz w:val="18"/>
          <w:szCs w:val="18"/>
          <w:color w:val="1E1E1E"/>
        </w:rPr>
        <w:t xml:space="preserve"> </w:t>
      </w:r>
      <w:r>
        <w:rPr>
          <w:rFonts w:ascii="Arial" w:cs="Arial" w:eastAsia="Arial" w:hAnsi="Arial"/>
          <w:sz w:val="18"/>
          <w:szCs w:val="18"/>
          <w:color w:val="000000"/>
        </w:rPr>
        <w:t>partnership customers. These primarily include materials costs, service hours performed by our employees and depreciation of property and equipment.</w:t>
      </w:r>
    </w:p>
    <w:p>
      <w:pPr>
        <w:spacing w:after="0" w:line="19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1E1E1E"/>
        </w:rPr>
        <w:t xml:space="preserve">For the year ended December 31, 2023, the decrease in cost of revenue compared to prior year was due to our partnership with Bayer, for which less brute-force work was required. </w:t>
      </w:r>
      <w:r>
        <w:rPr>
          <w:rFonts w:ascii="Arial" w:cs="Arial" w:eastAsia="Arial" w:hAnsi="Arial"/>
          <w:sz w:val="18"/>
          <w:szCs w:val="18"/>
          <w:color w:val="000000"/>
        </w:rPr>
        <w:t>For the year ended December 31, 2022, the increase in</w:t>
      </w:r>
      <w:r>
        <w:rPr>
          <w:rFonts w:ascii="Arial" w:cs="Arial" w:eastAsia="Arial" w:hAnsi="Arial"/>
          <w:sz w:val="18"/>
          <w:szCs w:val="18"/>
          <w:color w:val="1E1E1E"/>
        </w:rPr>
        <w:t xml:space="preserve"> cost of revenue compared to prior year was due to our strategic partnerships. </w:t>
      </w:r>
      <w:r>
        <w:rPr>
          <w:rFonts w:ascii="Arial" w:cs="Arial" w:eastAsia="Arial" w:hAnsi="Arial"/>
          <w:sz w:val="18"/>
          <w:szCs w:val="18"/>
          <w:color w:val="000000"/>
        </w:rPr>
        <w:t>For the year ended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December 31, 2021, cost of revenue was insignificant and was included within “Research and development” in the Consolidated Statement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4763"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research and development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7"/>
                <w:szCs w:val="17"/>
                <w:color w:val="auto"/>
              </w:rPr>
            </w:pPr>
          </w:p>
        </w:tc>
        <w:tc>
          <w:tcPr>
            <w:tcW w:w="21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2023 compared to 2022</w:t>
            </w:r>
          </w:p>
        </w:tc>
        <w:tc>
          <w:tcPr>
            <w:tcW w:w="1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2022 compared to 2021</w:t>
            </w:r>
          </w:p>
        </w:tc>
      </w:tr>
      <w:tr>
        <w:trPr>
          <w:trHeight w:val="22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w:t>
            </w: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96,796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41,765</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55,031</w:t>
            </w:r>
          </w:p>
        </w:tc>
        <w:tc>
          <w:tcPr>
            <w:tcW w:w="1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&gt;100% $</w:t>
            </w:r>
          </w:p>
        </w:tc>
        <w:tc>
          <w:tcPr>
            <w:tcW w:w="10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(14,194)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15"/>
        </w:trPr>
        <w:tc>
          <w:tcPr>
            <w:tcW w:w="362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62,142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52,358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48,984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9,784</w:t>
            </w:r>
          </w:p>
        </w:tc>
        <w:tc>
          <w:tcPr>
            <w:tcW w:w="1120" w:type="dxa"/>
            <w:vAlign w:val="bottom"/>
          </w:tcPr>
          <w:p>
            <w:pPr>
              <w:ind w:left="380"/>
              <w:spacing w:after="0"/>
              <w:rPr>
                <w:sz w:val="20"/>
                <w:szCs w:val="20"/>
                <w:color w:val="auto"/>
              </w:rPr>
            </w:pPr>
            <w:r>
              <w:rPr>
                <w:rFonts w:ascii="Arial" w:cs="Arial" w:eastAsia="Arial" w:hAnsi="Arial"/>
                <w:sz w:val="16"/>
                <w:szCs w:val="16"/>
                <w:color w:val="auto"/>
              </w:rPr>
              <w:t>18.7 %</w:t>
            </w: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3,374</w:t>
            </w:r>
          </w:p>
        </w:tc>
        <w:tc>
          <w:tcPr>
            <w:tcW w:w="92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57,564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10,744</w:t>
            </w:r>
          </w:p>
        </w:tc>
        <w:tc>
          <w:tcPr>
            <w:tcW w:w="1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22.9 %</w:t>
            </w: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24,979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5"/>
        </w:trPr>
        <w:tc>
          <w:tcPr>
            <w:tcW w:w="362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22,761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10,524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12,237</w:t>
            </w:r>
          </w:p>
        </w:tc>
        <w:tc>
          <w:tcPr>
            <w:tcW w:w="1120" w:type="dxa"/>
            <w:vAlign w:val="bottom"/>
          </w:tcPr>
          <w:p>
            <w:pPr>
              <w:ind w:left="380"/>
              <w:spacing w:after="0"/>
              <w:rPr>
                <w:sz w:val="20"/>
                <w:szCs w:val="20"/>
                <w:color w:val="auto"/>
              </w:rPr>
            </w:pPr>
            <w:r>
              <w:rPr>
                <w:rFonts w:ascii="Arial" w:cs="Arial" w:eastAsia="Arial" w:hAnsi="Arial"/>
                <w:sz w:val="16"/>
                <w:szCs w:val="16"/>
                <w:color w:val="auto"/>
              </w:rPr>
              <w:t>&gt;100%</w:t>
            </w: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5,545</w:t>
            </w:r>
          </w:p>
        </w:tc>
        <w:tc>
          <w:tcPr>
            <w:tcW w:w="92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(2,266)</w:t>
            </w:r>
          </w:p>
        </w:tc>
        <w:tc>
          <w:tcPr>
            <w:tcW w:w="11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(53.6)%</w:t>
            </w:r>
          </w:p>
        </w:tc>
        <w:tc>
          <w:tcPr>
            <w:tcW w:w="10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721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r>
      <w:tr>
        <w:trPr>
          <w:trHeight w:val="20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241,226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155,696</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135,271</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85,530</w:t>
            </w: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54.9 % $</w:t>
            </w:r>
          </w:p>
        </w:tc>
        <w:tc>
          <w:tcPr>
            <w:tcW w:w="10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20,425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15.1 %</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1E1E1E"/>
        </w:rPr>
        <w:t>Research and development expenses account for a significant portion of our operating expenses. These expenses arise from research and development activities that are not performed pursuant to a customer contract. We recognize research and development expenses as they are incurred. Research and development expenses consist of costs incurred in performing activities including:</w:t>
      </w:r>
    </w:p>
    <w:p>
      <w:pPr>
        <w:spacing w:after="0" w:line="198" w:lineRule="exact"/>
        <w:rPr>
          <w:sz w:val="20"/>
          <w:szCs w:val="20"/>
          <w:color w:val="auto"/>
        </w:rPr>
      </w:pPr>
    </w:p>
    <w:p>
      <w:pPr>
        <w:ind w:left="980" w:hanging="324"/>
        <w:spacing w:after="0"/>
        <w:tabs>
          <w:tab w:leader="none" w:pos="980" w:val="left"/>
        </w:tabs>
        <w:numPr>
          <w:ilvl w:val="0"/>
          <w:numId w:val="99"/>
        </w:numPr>
        <w:rPr>
          <w:rFonts w:ascii="Arial" w:cs="Arial" w:eastAsia="Arial" w:hAnsi="Arial"/>
          <w:sz w:val="14"/>
          <w:szCs w:val="14"/>
          <w:color w:val="1E1E1E"/>
        </w:rPr>
      </w:pPr>
      <w:r>
        <w:rPr>
          <w:rFonts w:ascii="Arial" w:cs="Arial" w:eastAsia="Arial" w:hAnsi="Arial"/>
          <w:sz w:val="18"/>
          <w:szCs w:val="18"/>
          <w:color w:val="1E1E1E"/>
        </w:rPr>
        <w:t>costs to develop and operate our platform;</w:t>
      </w:r>
    </w:p>
    <w:p>
      <w:pPr>
        <w:spacing w:after="0" w:line="27" w:lineRule="exact"/>
        <w:rPr>
          <w:rFonts w:ascii="Arial" w:cs="Arial" w:eastAsia="Arial" w:hAnsi="Arial"/>
          <w:sz w:val="14"/>
          <w:szCs w:val="14"/>
          <w:color w:val="1E1E1E"/>
        </w:rPr>
      </w:pPr>
    </w:p>
    <w:p>
      <w:pPr>
        <w:ind w:left="980" w:hanging="324"/>
        <w:spacing w:after="0"/>
        <w:tabs>
          <w:tab w:leader="none" w:pos="980" w:val="left"/>
        </w:tabs>
        <w:numPr>
          <w:ilvl w:val="0"/>
          <w:numId w:val="99"/>
        </w:numPr>
        <w:rPr>
          <w:rFonts w:ascii="Arial" w:cs="Arial" w:eastAsia="Arial" w:hAnsi="Arial"/>
          <w:sz w:val="14"/>
          <w:szCs w:val="14"/>
          <w:color w:val="1E1E1E"/>
        </w:rPr>
      </w:pPr>
      <w:r>
        <w:rPr>
          <w:rFonts w:ascii="Arial" w:cs="Arial" w:eastAsia="Arial" w:hAnsi="Arial"/>
          <w:sz w:val="18"/>
          <w:szCs w:val="18"/>
          <w:color w:val="1E1E1E"/>
        </w:rPr>
        <w:t>costs of discovery efforts which may lead to development candidates, including research materials and external research;</w:t>
      </w:r>
    </w:p>
    <w:p>
      <w:pPr>
        <w:spacing w:after="0" w:line="9" w:lineRule="exact"/>
        <w:rPr>
          <w:rFonts w:ascii="Arial" w:cs="Arial" w:eastAsia="Arial" w:hAnsi="Arial"/>
          <w:sz w:val="14"/>
          <w:szCs w:val="14"/>
          <w:color w:val="1E1E1E"/>
        </w:rPr>
      </w:pPr>
    </w:p>
    <w:p>
      <w:pPr>
        <w:ind w:left="980" w:hanging="324"/>
        <w:spacing w:after="0"/>
        <w:tabs>
          <w:tab w:leader="none" w:pos="980" w:val="left"/>
        </w:tabs>
        <w:numPr>
          <w:ilvl w:val="0"/>
          <w:numId w:val="99"/>
        </w:numPr>
        <w:rPr>
          <w:rFonts w:ascii="Arial" w:cs="Arial" w:eastAsia="Arial" w:hAnsi="Arial"/>
          <w:sz w:val="14"/>
          <w:szCs w:val="14"/>
          <w:color w:val="1E1E1E"/>
        </w:rPr>
      </w:pPr>
      <w:r>
        <w:rPr>
          <w:rFonts w:ascii="Arial" w:cs="Arial" w:eastAsia="Arial" w:hAnsi="Arial"/>
          <w:sz w:val="18"/>
          <w:szCs w:val="18"/>
          <w:color w:val="1E1E1E"/>
        </w:rPr>
        <w:t>costs for clinical development of our investigational products;</w:t>
      </w:r>
    </w:p>
    <w:p>
      <w:pPr>
        <w:spacing w:after="0" w:line="9" w:lineRule="exact"/>
        <w:rPr>
          <w:rFonts w:ascii="Arial" w:cs="Arial" w:eastAsia="Arial" w:hAnsi="Arial"/>
          <w:sz w:val="14"/>
          <w:szCs w:val="14"/>
          <w:color w:val="1E1E1E"/>
        </w:rPr>
      </w:pPr>
    </w:p>
    <w:p>
      <w:pPr>
        <w:ind w:left="980" w:right="220" w:hanging="324"/>
        <w:spacing w:after="0" w:line="250" w:lineRule="auto"/>
        <w:tabs>
          <w:tab w:leader="none" w:pos="976" w:val="left"/>
        </w:tabs>
        <w:numPr>
          <w:ilvl w:val="0"/>
          <w:numId w:val="99"/>
        </w:numPr>
        <w:rPr>
          <w:rFonts w:ascii="Arial" w:cs="Arial" w:eastAsia="Arial" w:hAnsi="Arial"/>
          <w:sz w:val="14"/>
          <w:szCs w:val="14"/>
          <w:color w:val="1E1E1E"/>
        </w:rPr>
      </w:pPr>
      <w:r>
        <w:rPr>
          <w:rFonts w:ascii="Arial" w:cs="Arial" w:eastAsia="Arial" w:hAnsi="Arial"/>
          <w:sz w:val="18"/>
          <w:szCs w:val="18"/>
          <w:color w:val="1E1E1E"/>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6" w:val="left"/>
        </w:tabs>
        <w:numPr>
          <w:ilvl w:val="0"/>
          <w:numId w:val="99"/>
        </w:numPr>
        <w:rPr>
          <w:rFonts w:ascii="Arial" w:cs="Arial" w:eastAsia="Arial" w:hAnsi="Arial"/>
          <w:sz w:val="14"/>
          <w:szCs w:val="14"/>
          <w:color w:val="1E1E1E"/>
        </w:rPr>
      </w:pPr>
      <w:r>
        <w:rPr>
          <w:rFonts w:ascii="Arial" w:cs="Arial" w:eastAsia="Arial" w:hAnsi="Arial"/>
          <w:sz w:val="18"/>
          <w:szCs w:val="18"/>
          <w:color w:val="1E1E1E"/>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99"/>
        </w:numPr>
        <w:rPr>
          <w:rFonts w:ascii="Arial" w:cs="Arial" w:eastAsia="Arial" w:hAnsi="Arial"/>
          <w:sz w:val="14"/>
          <w:szCs w:val="14"/>
          <w:color w:val="1E1E1E"/>
        </w:rPr>
      </w:pPr>
      <w:r>
        <w:rPr>
          <w:rFonts w:ascii="Arial" w:cs="Arial" w:eastAsia="Arial" w:hAnsi="Arial"/>
          <w:sz w:val="18"/>
          <w:szCs w:val="18"/>
          <w:color w:val="1E1E1E"/>
        </w:rPr>
        <w:t>costs associated with operating our digital infrastructure; and</w:t>
      </w:r>
    </w:p>
    <w:p>
      <w:pPr>
        <w:spacing w:after="0" w:line="9" w:lineRule="exact"/>
        <w:rPr>
          <w:rFonts w:ascii="Arial" w:cs="Arial" w:eastAsia="Arial" w:hAnsi="Arial"/>
          <w:sz w:val="14"/>
          <w:szCs w:val="14"/>
          <w:color w:val="1E1E1E"/>
        </w:rPr>
      </w:pPr>
    </w:p>
    <w:p>
      <w:pPr>
        <w:ind w:left="980" w:right="420" w:hanging="324"/>
        <w:spacing w:after="0" w:line="266" w:lineRule="auto"/>
        <w:tabs>
          <w:tab w:leader="none" w:pos="976" w:val="left"/>
        </w:tabs>
        <w:numPr>
          <w:ilvl w:val="0"/>
          <w:numId w:val="99"/>
        </w:numPr>
        <w:rPr>
          <w:rFonts w:ascii="Arial" w:cs="Arial" w:eastAsia="Arial" w:hAnsi="Arial"/>
          <w:sz w:val="14"/>
          <w:szCs w:val="14"/>
          <w:color w:val="1E1E1E"/>
        </w:rPr>
      </w:pPr>
      <w:r>
        <w:rPr>
          <w:rFonts w:ascii="Arial" w:cs="Arial" w:eastAsia="Arial" w:hAnsi="Arial"/>
          <w:sz w:val="18"/>
          <w:szCs w:val="18"/>
          <w:color w:val="1E1E1E"/>
        </w:rPr>
        <w:t>other direct and allocated expenses incurred as a result of research and development activities, including those for facilities, depreciation, amortization and insurance.</w:t>
      </w:r>
    </w:p>
    <w:p>
      <w:pPr>
        <w:spacing w:after="0" w:line="19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1E1E1E"/>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71"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1E1E1E"/>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1E1E1E"/>
        </w:rPr>
        <w:t>For the year ended December 31, 2023, the increase in research and development expenses compared to the prior year was primarily due to increased platform costs as we have expanded and upgraded our capabilities in platform including our chemical technology, machine learning and transcriptomics platform.</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1E1E1E"/>
        </w:rPr>
        <w:t>For the year ended December 31, 2022, the increase in research and development expenses compared to the prior year was primarily due to increased clinical costs as studies progressed. The Company initiated three Phase 2 or Phase 2/3 studies and two Phase 1 studies in 2022, which includes a Phase 1 study for REC-4881. These increases were partially offset by a decrease in platform costs due to a reallocation of spending to cost of revenue for our strategic partnerships.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 Expense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general and administrative expense: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3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7"/>
                <w:szCs w:val="17"/>
                <w:color w:val="auto"/>
              </w:rPr>
            </w:pPr>
          </w:p>
        </w:tc>
        <w:tc>
          <w:tcPr>
            <w:tcW w:w="2160" w:type="dxa"/>
            <w:vAlign w:val="bottom"/>
            <w:gridSpan w:val="2"/>
          </w:tcPr>
          <w:p>
            <w:pPr>
              <w:ind w:left="80"/>
              <w:spacing w:after="0"/>
              <w:rPr>
                <w:sz w:val="20"/>
                <w:szCs w:val="20"/>
                <w:color w:val="auto"/>
              </w:rPr>
            </w:pPr>
            <w:r>
              <w:rPr>
                <w:rFonts w:ascii="Arial" w:cs="Arial" w:eastAsia="Arial" w:hAnsi="Arial"/>
                <w:sz w:val="14"/>
                <w:szCs w:val="14"/>
                <w:b w:val="1"/>
                <w:bCs w:val="1"/>
                <w:color w:val="auto"/>
              </w:rPr>
              <w:t>2023 compared to 2022</w:t>
            </w:r>
          </w:p>
        </w:tc>
        <w:tc>
          <w:tcPr>
            <w:tcW w:w="19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2022 compared to 2021</w:t>
            </w:r>
          </w:p>
        </w:tc>
      </w:tr>
      <w:tr>
        <w:trPr>
          <w:trHeight w:val="22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9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w:t>
            </w:r>
          </w:p>
        </w:tc>
      </w:tr>
      <w:tr>
        <w:trPr>
          <w:trHeight w:val="235"/>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110,822</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81,599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57,682</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29,223</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35.8 % $</w:t>
            </w:r>
          </w:p>
        </w:tc>
        <w:tc>
          <w:tcPr>
            <w:tcW w:w="10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23,917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41.5 %</w:t>
            </w:r>
          </w:p>
        </w:tc>
      </w:tr>
      <w:tr>
        <w:trPr>
          <w:trHeight w:val="20"/>
        </w:trPr>
        <w:tc>
          <w:tcPr>
            <w:tcW w:w="3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1E1E1E"/>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1E1E1E"/>
        </w:rPr>
        <w:t>For the year ended December 31, 2023, the increase in general and administrative expense compared to the prior year was primarily driven by an increase in salaries and wages of $12.4 million and increases in legal, software and depreciation expense.</w:t>
      </w:r>
    </w:p>
    <w:p>
      <w:pPr>
        <w:spacing w:after="0" w:line="18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1E1E1E"/>
        </w:rPr>
        <w:t>For the year ended December 31, 2022, the increase in general and administrative expense compared to prior year was due to the growth in size of the Company’s operations including increased salaries and wages of $14.3 million, a fixed asset write-down of $2.8 million, increased rent expense of $2.4 million and increases in other administrative costs associated with operating a growing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(Loss),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other income (loss), net: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2023 compared to 2022</w:t>
            </w:r>
          </w:p>
        </w:tc>
        <w:tc>
          <w:tcPr>
            <w:tcW w:w="19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4"/>
                <w:szCs w:val="14"/>
                <w:b w:val="1"/>
                <w:bCs w:val="1"/>
                <w:color w:val="auto"/>
              </w:rPr>
              <w:t>2022 compared to 2021</w:t>
            </w:r>
          </w:p>
        </w:tc>
      </w:tr>
      <w:tr>
        <w:trPr>
          <w:trHeight w:val="229"/>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(43)</w:t>
            </w:r>
          </w:p>
        </w:tc>
        <w:tc>
          <w:tcPr>
            <w:tcW w:w="1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78.4 % $</w:t>
            </w:r>
          </w:p>
        </w:tc>
        <w:tc>
          <w:tcPr>
            <w:tcW w:w="10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2,897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19,116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6,254</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62"/>
              <w:spacing w:after="0"/>
              <w:rPr>
                <w:sz w:val="20"/>
                <w:szCs w:val="20"/>
                <w:color w:val="auto"/>
              </w:rPr>
            </w:pPr>
            <w:r>
              <w:rPr>
                <w:rFonts w:ascii="Arial" w:cs="Arial" w:eastAsia="Arial" w:hAnsi="Arial"/>
                <w:sz w:val="16"/>
                <w:szCs w:val="16"/>
                <w:color w:val="auto"/>
              </w:rPr>
              <w:t>12,862</w:t>
            </w:r>
          </w:p>
        </w:tc>
        <w:tc>
          <w:tcPr>
            <w:tcW w:w="1180" w:type="dxa"/>
            <w:vAlign w:val="bottom"/>
          </w:tcPr>
          <w:p>
            <w:pPr>
              <w:ind w:left="460"/>
              <w:spacing w:after="0"/>
              <w:rPr>
                <w:sz w:val="20"/>
                <w:szCs w:val="20"/>
                <w:color w:val="auto"/>
              </w:rPr>
            </w:pPr>
            <w:r>
              <w:rPr>
                <w:rFonts w:ascii="Arial" w:cs="Arial" w:eastAsia="Arial" w:hAnsi="Arial"/>
                <w:sz w:val="16"/>
                <w:szCs w:val="16"/>
                <w:color w:val="auto"/>
              </w:rPr>
              <w:t>&gt;100%</w:t>
            </w:r>
          </w:p>
        </w:tc>
        <w:tc>
          <w:tcPr>
            <w:tcW w:w="1040" w:type="dxa"/>
            <w:vAlign w:val="bottom"/>
          </w:tcPr>
          <w:p>
            <w:pPr>
              <w:jc w:val="right"/>
              <w:ind w:right="202"/>
              <w:spacing w:after="0"/>
              <w:rPr>
                <w:sz w:val="20"/>
                <w:szCs w:val="20"/>
                <w:color w:val="auto"/>
              </w:rPr>
            </w:pPr>
            <w:r>
              <w:rPr>
                <w:rFonts w:ascii="Arial" w:cs="Arial" w:eastAsia="Arial" w:hAnsi="Arial"/>
                <w:sz w:val="16"/>
                <w:szCs w:val="16"/>
                <w:color w:val="auto"/>
              </w:rPr>
              <w:t>6,181</w:t>
            </w:r>
          </w:p>
        </w:tc>
        <w:tc>
          <w:tcPr>
            <w:tcW w:w="94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n/m</w:t>
            </w:r>
          </w:p>
        </w:tc>
        <w:tc>
          <w:tcPr>
            <w:tcW w:w="10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827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(1,139)</w:t>
            </w: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(2174.7)%</w:t>
            </w: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5"/>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(loss),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11,680</w:t>
            </w:r>
          </w:p>
        </w:tc>
        <w:tc>
          <w:tcPr>
            <w:tcW w:w="11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&gt;100% $</w:t>
            </w:r>
          </w:p>
        </w:tc>
        <w:tc>
          <w:tcPr>
            <w:tcW w:w="10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9,956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24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1E1E1E"/>
        </w:rPr>
        <w:t xml:space="preserve">For the year ended December 31, 2023, the </w:t>
      </w:r>
      <w:r>
        <w:rPr>
          <w:rFonts w:ascii="Arial" w:cs="Arial" w:eastAsia="Arial" w:hAnsi="Arial"/>
          <w:sz w:val="18"/>
          <w:szCs w:val="18"/>
          <w:color w:val="000000"/>
        </w:rPr>
        <w:t>increase in other income (loss), net compared</w:t>
      </w:r>
      <w:r>
        <w:rPr>
          <w:rFonts w:ascii="Arial" w:cs="Arial" w:eastAsia="Arial" w:hAnsi="Arial"/>
          <w:sz w:val="18"/>
          <w:szCs w:val="18"/>
          <w:color w:val="1E1E1E"/>
        </w:rPr>
        <w:t xml:space="preserve"> to the prior year was driven by an increase in interest income related to earnings on cash and cash equivalents in money market funds</w:t>
      </w:r>
      <w:r>
        <w:rPr>
          <w:rFonts w:ascii="Arial" w:cs="Arial" w:eastAsia="Arial" w:hAnsi="Arial"/>
          <w:sz w:val="18"/>
          <w:szCs w:val="18"/>
          <w:color w:val="000000"/>
        </w:rPr>
        <w:t>.</w:t>
      </w:r>
    </w:p>
    <w:p>
      <w:pPr>
        <w:spacing w:after="0" w:line="18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1E1E1E"/>
        </w:rPr>
        <w:t xml:space="preserve">For the year ended December 31, 2022, the increase in other income (loss), </w:t>
      </w:r>
      <w:r>
        <w:rPr>
          <w:rFonts w:ascii="Arial" w:cs="Arial" w:eastAsia="Arial" w:hAnsi="Arial"/>
          <w:sz w:val="18"/>
          <w:szCs w:val="18"/>
          <w:color w:val="000000"/>
        </w:rPr>
        <w:t>net compared</w:t>
      </w:r>
      <w:r>
        <w:rPr>
          <w:rFonts w:ascii="Arial" w:cs="Arial" w:eastAsia="Arial" w:hAnsi="Arial"/>
          <w:sz w:val="18"/>
          <w:szCs w:val="18"/>
          <w:color w:val="1E1E1E"/>
        </w:rPr>
        <w:t xml:space="preserve"> to the prior year was driven by a decrease in interest expense from a loan settlement and an increase in interest income from earnings on cash and cash equivalents in money market funds.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Liquidity and Capital Resources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Sources of Liquidity</w:t>
      </w:r>
    </w:p>
    <w:p>
      <w:pPr>
        <w:spacing w:after="0" w:line="25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1E1E1E"/>
        </w:rPr>
        <w:t>We have not yet commercialized any products and do not expect to generate revenue from the sales of any product candidates for at least several years. Cash and cash equivalents totaled $391.6 million and $549.9 million as of December 31, 2023 and 2022, respectively.</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E1E1E"/>
        </w:rPr>
        <w:t>We have incurred operating losses and experienced negative operating cash flows and we anticipate that the Company will continue to incur losses for at least the foreseeable future. Our net loss was $328.1 million, $239.5 million and $186.5 million during the years ended December 31, 2023, 2022 and 2021, respectively. As of December 31, 2023, we had an accumulated deficit of $967.6 million.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1E1E1E"/>
        </w:rPr>
        <w:t>We have financed our operations through the private placements of preferred stock and Class A common stock issuances. As of December 31, 2023, we have received net proceeds of $448.9 million from the sale of preferred stock and $734.2 million from Class A common stock issuances. See Note 8, “Common Stock” to the Consolidated Financial Statements for additional details on Class A common stock issuances. Additionally, as of December 31, 2023, we have received proceeds of $183.0 million from our strategic partnerships. See Note 9, “Collaborative Development Contracts” to the Consolidated Financial Statements for additional details on the partnerships.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Cash Flows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is a summary of the Consolidated Statements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auto"/>
            </w:tcBorders>
          </w:tcPr>
          <w:p>
            <w:pPr>
              <w:spacing w:after="0"/>
              <w:rPr>
                <w:sz w:val="17"/>
                <w:szCs w:val="17"/>
                <w:color w:val="auto"/>
              </w:rPr>
            </w:pPr>
          </w:p>
        </w:tc>
      </w:tr>
      <w:tr>
        <w:trPr>
          <w:trHeight w:val="228"/>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(287,780)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rPr>
              <w:t>(158,614)</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(10,228)</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193,249</w:t>
            </w:r>
          </w:p>
        </w:tc>
        <w:tc>
          <w:tcPr>
            <w:tcW w:w="380" w:type="dxa"/>
            <w:vAlign w:val="bottom"/>
          </w:tcPr>
          <w:p>
            <w:pPr>
              <w:spacing w:after="0"/>
              <w:rPr>
                <w:sz w:val="19"/>
                <w:szCs w:val="19"/>
                <w:color w:val="auto"/>
              </w:rPr>
            </w:pPr>
          </w:p>
        </w:tc>
        <w:tc>
          <w:tcPr>
            <w:tcW w:w="1060" w:type="dxa"/>
            <w:vAlign w:val="bottom"/>
          </w:tcPr>
          <w:p>
            <w:pPr>
              <w:jc w:val="center"/>
              <w:ind w:left="155"/>
              <w:spacing w:after="0"/>
              <w:rPr>
                <w:sz w:val="20"/>
                <w:szCs w:val="20"/>
                <w:color w:val="auto"/>
              </w:rPr>
            </w:pPr>
            <w:r>
              <w:rPr>
                <w:rFonts w:ascii="Arial" w:cs="Arial" w:eastAsia="Arial" w:hAnsi="Arial"/>
                <w:sz w:val="18"/>
                <w:szCs w:val="18"/>
                <w:color w:val="auto"/>
              </w:rPr>
              <w:t>(271,744)</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140,133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154,345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98"/>
              </w:rPr>
              <w:t>458,540</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Operating Activities</w:t>
      </w:r>
    </w:p>
    <w:p>
      <w:pPr>
        <w:spacing w:after="0" w:line="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1E1E1E"/>
        </w:rPr>
        <w:t>Cash used by operating activities increased during the year ended December 31, 2023 as a result of an upfront payment of $150.0 million from our strategic partnership with Roche received during the year ended December 31, 2022.</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1E1E1E"/>
        </w:rPr>
        <w:t>Cash used by operating activities during the year ended December 31, 2022 included an upfront payment of $150.0 million from our strategic partnership with Roche. That cash inflow was offset by cash used for cost of revenue, research and development and general and administrative expenses.</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1E1E1E"/>
        </w:rPr>
        <w:t xml:space="preserve">Cash used by operating activities during the </w:t>
      </w:r>
      <w:r>
        <w:rPr>
          <w:rFonts w:ascii="Arial" w:cs="Arial" w:eastAsia="Arial" w:hAnsi="Arial"/>
          <w:sz w:val="18"/>
          <w:szCs w:val="18"/>
          <w:color w:val="000000"/>
        </w:rPr>
        <w:t>year ended December 31, 2021</w:t>
      </w:r>
      <w:r>
        <w:rPr>
          <w:rFonts w:ascii="Arial" w:cs="Arial" w:eastAsia="Arial" w:hAnsi="Arial"/>
          <w:sz w:val="18"/>
          <w:szCs w:val="18"/>
          <w:color w:val="1E1E1E"/>
        </w:rPr>
        <w:t xml:space="preserve"> increased compared to the prior year as a result of higher costs incurred for </w:t>
      </w:r>
      <w:r>
        <w:rPr>
          <w:rFonts w:ascii="Arial" w:cs="Arial" w:eastAsia="Arial" w:hAnsi="Arial"/>
          <w:sz w:val="18"/>
          <w:szCs w:val="18"/>
          <w:color w:val="000000"/>
        </w:rPr>
        <w:t>research and development and general and administrative expenses due to the Company’s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Investing Activities</w:t>
      </w:r>
    </w:p>
    <w:p>
      <w:pPr>
        <w:spacing w:after="0" w:line="25"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1E1E1E"/>
        </w:rPr>
        <w:t>Cash used by investing activities during the year ended December 31, 2023 consisted primarily of purchases of property and equipment of $12.0 million, which includes $1.7 million for a project to upgrade the BioHive supercomputer and lab equipment purchases. The cash used was partially offset by $1.8 million of net cash acquired in the acquisition of a business.</w:t>
      </w:r>
    </w:p>
    <w:p>
      <w:pPr>
        <w:spacing w:after="0" w:line="20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1E1E1E"/>
        </w:rPr>
        <w:t>Cash provided by investing activities during the year ended December 31, 2022 was driven by sales and maturities of investments of $230.6 million, partially offset by the purchases of property and equipment of $37.1 million.</w:t>
      </w:r>
    </w:p>
    <w:p>
      <w:pPr>
        <w:spacing w:after="0" w:line="234"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1E1E1E"/>
        </w:rPr>
        <w:t xml:space="preserve">Cash used by investing activities during the </w:t>
      </w:r>
      <w:r>
        <w:rPr>
          <w:rFonts w:ascii="Arial" w:cs="Arial" w:eastAsia="Arial" w:hAnsi="Arial"/>
          <w:sz w:val="18"/>
          <w:szCs w:val="18"/>
          <w:color w:val="000000"/>
        </w:rPr>
        <w:t>year ended December 31, 2021</w:t>
      </w:r>
      <w:r>
        <w:rPr>
          <w:rFonts w:ascii="Arial" w:cs="Arial" w:eastAsia="Arial" w:hAnsi="Arial"/>
          <w:sz w:val="18"/>
          <w:szCs w:val="18"/>
          <w:color w:val="1E1E1E"/>
        </w:rPr>
        <w:t xml:space="preserve"> primarily consisted of investment purchases of $301.1 million and property and equipment purchases of $39.8 million, which included $17.9 million for the purchase of a Dell EMC supercomputer. The cash outflows were partially offset by proceeds of $69.2 million from the sales and maturities of 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Financing Activities</w:t>
      </w:r>
    </w:p>
    <w:p>
      <w:pPr>
        <w:spacing w:after="0" w:line="30"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1E1E1E"/>
        </w:rPr>
        <w:t>Cash provided by financing activities during the year ended December 31, 2023 primarily included proceeds of $128.1 million from common stock issuances. Financing inflows also included proceeds from equity incentive plans of $12.8 million.</w:t>
      </w:r>
    </w:p>
    <w:p>
      <w:pPr>
        <w:spacing w:after="0" w:line="297" w:lineRule="exact"/>
        <w:rPr>
          <w:sz w:val="20"/>
          <w:szCs w:val="20"/>
          <w:color w:val="auto"/>
        </w:rPr>
      </w:pPr>
    </w:p>
    <w:p>
      <w:pPr>
        <w:ind w:right="280"/>
        <w:spacing w:after="0" w:line="318" w:lineRule="auto"/>
        <w:rPr>
          <w:sz w:val="20"/>
          <w:szCs w:val="20"/>
          <w:color w:val="auto"/>
        </w:rPr>
      </w:pPr>
      <w:r>
        <w:rPr>
          <w:rFonts w:ascii="Arial" w:cs="Arial" w:eastAsia="Arial" w:hAnsi="Arial"/>
          <w:sz w:val="18"/>
          <w:szCs w:val="18"/>
          <w:color w:val="1E1E1E"/>
        </w:rPr>
        <w:t>Cash provided by financing activities during the year ended December 31, 2022 primarily included $143.7 million of net proceeds from the 2022 Private Placement. Financing cash flows also included proceeds from equity incentive plans of $10.7 million.</w:t>
      </w:r>
    </w:p>
    <w:p>
      <w:pPr>
        <w:spacing w:after="0" w:line="26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1E1E1E"/>
        </w:rPr>
        <w:t xml:space="preserve">Cash provided by financing activities during the </w:t>
      </w:r>
      <w:r>
        <w:rPr>
          <w:rFonts w:ascii="Arial" w:cs="Arial" w:eastAsia="Arial" w:hAnsi="Arial"/>
          <w:sz w:val="18"/>
          <w:szCs w:val="18"/>
          <w:color w:val="000000"/>
        </w:rPr>
        <w:t>year ended December 31, 2021</w:t>
      </w:r>
      <w:r>
        <w:rPr>
          <w:rFonts w:ascii="Arial" w:cs="Arial" w:eastAsia="Arial" w:hAnsi="Arial"/>
          <w:sz w:val="18"/>
          <w:szCs w:val="18"/>
          <w:color w:val="1E1E1E"/>
        </w:rPr>
        <w:t xml:space="preserve"> primarily included $462.4 million of net proceeds from the IPO. Financing cash flows also included an outflow of $12.7 million for the repayment of long-term debt.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financial statements, which have been prepared in accordance with U.S. generally accepted accounting principles (GAAP). The preparation of our consolidated financial statements and related disclosures requires us to make estimates and assumptions that affect the reported amounts of assets and liabilities and expenses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1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we believe that the following accounting policies are those most critical to the judgments and estimates used in the preparation of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generated revenue from our contracts with partners. Our partnerships often contain multiple components, including research and development services, licenses, options to obtain development and commercialization rights and options to obtain additional research and development services. Such arrangements may provide for various types of payments to us, including upfront fees, technical, development, regulatory and commercial milestone payments, licensing fees, option exercise fees and royalty and milestone payments on product sales. Determining how to recognize revenue from these partnerships involves judgment about whether promised goods and services are distinct from one another or should be accounted for as combined performance obligations, how to estimate and allocate various payment streams to performance obligations and how to measure performance on each performance obligation. Because of these judgments, payments are often not commensurate with the timing of revenue recognition.</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operating revenue has primarily been generated through research and development agreements. Revenue from research and development agreements is recognized as the Company satisfies the performance obligation by transferring the promised services to the customer. The Company recognizes revenue over time by measuring the progress toward complete satisfaction of the relevant performance obligation using an appropriate input or output method based on the services promised to the customer. This method of recognizing revenue requires the Company to make estimates to determine the progress towards completion. A significant change in these estimates could have a material effect on the timing and amount of revenue recognized in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Recursion has acquired and may continue to acquire significant intangible assets and goodwill in connection with business combinations. Amounts allocated to intangible assets and goodwill are based upon fair value estimates. We make estimates of fair value based upon assumptions believed to be reasonable and that of a market participant. These estimates are based on available historical information as well as future expectations and the estimates are inherently uncertain. The use of alternative estimates and assumptions could increase or decrease the estimated fair values, the amounts allocated to identifiable intangible assets acquired, future amortization expense and the value of goodwill.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part of the process of preparing our financial statements, we are required to estimate our expenses resulting from our obligations under contracts with vendors and clinical research organizations. The financial terms of these contracts are subject to negotiations, which vary from contract to contract and may result in payment terms that do not match the periods over which materials or services are provided under such contracts. Our objective is to reflect the appropriate expenses in our financial statements by matching those expenses with the period in which services are performed and efforts are expended. We account for these expenses according to the timing of various aspects of the expenses and determine accrual estimates by taking into account discussions with applicable personnel and outside service providers as to the progress of clinical trials, or the services completed. During the course of 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clinical trial, we adjust our clinical expense recognition if actual results differ from estimates. We make estimates of our accrued expenses as of each balance sheet date based on the facts and circumstances known to us at that time. Our clinical trial accruals are dependent upon the timely and accurate reporting of contract research organizations and other third-party vendors. Although we do not expect estimates to be materially different from amounts actually incurred, our understanding of the anticipated status and timing of services performed relative to the actual status and timing of services performed may vary and may result in reporting amounts that are too high or too low for any particular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measure stock options and other stock-based awards granted to employees, directors and non-employees based on their fair value on the date of grant and recognize the compensation expense over the requisite service period. We recognize the impact of forfeitures on stock-based compensation expenses as forfeitures occur. We generally apply the straight-line method of expense recognition to awards.</w:t>
      </w:r>
    </w:p>
    <w:p>
      <w:pPr>
        <w:spacing w:after="0" w:line="198"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grant date fair value of stock options is estimated using the Black-Scholes option-pricing model, which requires inputs for the expected term, stock price volatility, dividend yield and the risk-free interest rate of the options. If any assumptions used in the Black-Scholes option-pricing model change significantly, stock-compensation for future awards may differ materially compared with the awards granted previously.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material cash requirements include the following contractual obligations:</w:t>
      </w:r>
    </w:p>
    <w:p>
      <w:pPr>
        <w:spacing w:after="0" w:line="252"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1E1E1E"/>
        </w:rPr>
        <w:t xml:space="preserve">As of December 31, 2023, the Company had $1.1 million of debt outstanding. This balance is related to notes payable for tenant improvement allowances and the financing agreement for the supercomputer upgrade project. See Note 2, “Summary of </w:t>
      </w:r>
      <w:r>
        <w:rPr>
          <w:rFonts w:ascii="Arial" w:cs="Arial" w:eastAsia="Arial" w:hAnsi="Arial"/>
          <w:sz w:val="18"/>
          <w:szCs w:val="18"/>
          <w:color w:val="000000"/>
        </w:rPr>
        <w:t>Significant</w:t>
      </w:r>
      <w:r>
        <w:rPr>
          <w:rFonts w:ascii="Arial" w:cs="Arial" w:eastAsia="Arial" w:hAnsi="Arial"/>
          <w:sz w:val="18"/>
          <w:szCs w:val="18"/>
          <w:color w:val="1E1E1E"/>
        </w:rPr>
        <w:t xml:space="preserve"> </w:t>
      </w:r>
      <w:r>
        <w:rPr>
          <w:rFonts w:ascii="Arial" w:cs="Arial" w:eastAsia="Arial" w:hAnsi="Arial"/>
          <w:sz w:val="18"/>
          <w:szCs w:val="18"/>
          <w:color w:val="000000"/>
        </w:rPr>
        <w:t>Accounting Policies</w:t>
      </w:r>
      <w:r>
        <w:rPr>
          <w:rFonts w:ascii="Arial" w:cs="Arial" w:eastAsia="Arial" w:hAnsi="Arial"/>
          <w:sz w:val="18"/>
          <w:szCs w:val="18"/>
          <w:color w:val="1E1E1E"/>
        </w:rPr>
        <w:t>” to the Consolidated Financial Statements for additional details</w:t>
      </w:r>
      <w:r>
        <w:rPr>
          <w:rFonts w:ascii="Times New Roman" w:cs="Times New Roman" w:eastAsia="Times New Roman" w:hAnsi="Times New Roman"/>
          <w:sz w:val="14"/>
          <w:szCs w:val="14"/>
          <w:color w:val="008080"/>
        </w:rPr>
        <w:t>.</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1E1E1E"/>
        </w:rPr>
        <w:t>December 31, 2023, the Company had $66.2 million of future lease commitments. See Note 5 “Leases” to the Consolidated Financial</w:t>
      </w:r>
      <w:r>
        <w:rPr>
          <w:rFonts w:ascii="Arial" w:cs="Arial" w:eastAsia="Arial" w:hAnsi="Arial"/>
          <w:sz w:val="18"/>
          <w:szCs w:val="18"/>
          <w:color w:val="auto"/>
        </w:rPr>
        <w:t xml:space="preserve"> </w:t>
      </w:r>
      <w:r>
        <w:rPr>
          <w:rFonts w:ascii="Arial" w:cs="Arial" w:eastAsia="Arial" w:hAnsi="Arial"/>
          <w:sz w:val="18"/>
          <w:szCs w:val="18"/>
          <w:color w:val="1E1E1E"/>
        </w:rPr>
        <w:t>Statements for additional detail on future lease commitments.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1E1E1E"/>
        </w:rPr>
        <w:t>December 31, 2023, the Company had $229.3 million of future purchase obligations, $91.3 million of which are expected to be payable</w:t>
      </w:r>
      <w:r>
        <w:rPr>
          <w:rFonts w:ascii="Arial" w:cs="Arial" w:eastAsia="Arial" w:hAnsi="Arial"/>
          <w:sz w:val="18"/>
          <w:szCs w:val="18"/>
          <w:color w:val="auto"/>
        </w:rPr>
        <w:t xml:space="preserve"> </w:t>
      </w:r>
      <w:r>
        <w:rPr>
          <w:rFonts w:ascii="Arial" w:cs="Arial" w:eastAsia="Arial" w:hAnsi="Arial"/>
          <w:sz w:val="18"/>
          <w:szCs w:val="18"/>
          <w:color w:val="1E1E1E"/>
        </w:rPr>
        <w:t>within the next year. These commitments primarily related to third-party research services, materials and supplies for research and development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Recently Issued and Adopted Accounting Pronouncements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1E1E1E"/>
        </w:rPr>
        <w:t>See Note 2, “</w:t>
      </w:r>
      <w:r>
        <w:rPr>
          <w:rFonts w:ascii="Arial" w:cs="Arial" w:eastAsia="Arial" w:hAnsi="Arial"/>
          <w:sz w:val="18"/>
          <w:szCs w:val="18"/>
          <w:color w:val="000000"/>
        </w:rPr>
        <w:t>Summary of Significant Accounting Policies” to the</w:t>
      </w:r>
      <w:r>
        <w:rPr>
          <w:rFonts w:ascii="Arial" w:cs="Arial" w:eastAsia="Arial" w:hAnsi="Arial"/>
          <w:sz w:val="18"/>
          <w:szCs w:val="18"/>
          <w:color w:val="1E1E1E"/>
        </w:rPr>
        <w:t xml:space="preserve"> Consolidated Financial Statements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7a.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to changes in interest rates of our investment portfolio of cash and cash equivalents. As of</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December 31, 2023, our cash and cash equivalents consisted of money market funds. Our primary exposure to market risk is interest income sensitivity, which is affected by changes in U.S. interest rates. A hypothetical 100 basis point decrease in interest rates as of December 31, 2023 would have an insignificant effect on net loss in the ensuring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employees and our operations are primarily located in the United States and Canada and our expenses are generally denominated in U.S.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decrease in current exchange rates would not have had a material effect on our financial results during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024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920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Recursion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balance sheets of Recursion Pharmaceuticals, Inc. (the Company) as of December 31, 2023 and 2022, the related consolidated statements of operations, comprehensive loss, convertible preferred stock and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adverse opinion thereon.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71" w:name="page172"/>
    <w:bookmarkEnd w:id="171"/>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r>
      <w:tr>
        <w:trPr>
          <w:trHeight w:val="869"/>
        </w:trPr>
        <w:tc>
          <w:tcPr>
            <w:tcW w:w="1700" w:type="dxa"/>
            <w:vAlign w:val="bottom"/>
          </w:tcPr>
          <w:p>
            <w:pPr>
              <w:spacing w:after="0"/>
              <w:rPr>
                <w:sz w:val="24"/>
                <w:szCs w:val="24"/>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Revenue Recognition – Operating Revenue</w:t>
            </w:r>
          </w:p>
        </w:tc>
      </w:tr>
      <w:tr>
        <w:trPr>
          <w:trHeight w:val="455"/>
        </w:trPr>
        <w:tc>
          <w:tcPr>
            <w:tcW w:w="170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In connection with the Company’s collaboration and license agreement with Roche and Genentech to perform</w:t>
            </w: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i w:val="1"/>
                <w:iCs w:val="1"/>
                <w:color w:val="auto"/>
              </w:rPr>
              <w:t>Matter</w:t>
            </w: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research and development services, revenue is recognized based on costs incurred relative to total expected costs</w:t>
            </w:r>
          </w:p>
        </w:tc>
      </w:tr>
      <w:tr>
        <w:trPr>
          <w:trHeight w:val="202"/>
        </w:trPr>
        <w:tc>
          <w:tcPr>
            <w:tcW w:w="1700" w:type="dxa"/>
            <w:vAlign w:val="bottom"/>
          </w:tcPr>
          <w:p>
            <w:pPr>
              <w:spacing w:after="0"/>
              <w:rPr>
                <w:sz w:val="17"/>
                <w:szCs w:val="17"/>
                <w:color w:val="auto"/>
              </w:rPr>
            </w:pP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 perform the research and development services. Significant inputs used to determine expected contract costs</w:t>
            </w:r>
          </w:p>
        </w:tc>
      </w:tr>
      <w:tr>
        <w:trPr>
          <w:trHeight w:val="203"/>
        </w:trPr>
        <w:tc>
          <w:tcPr>
            <w:tcW w:w="1700" w:type="dxa"/>
            <w:vAlign w:val="bottom"/>
          </w:tcPr>
          <w:p>
            <w:pPr>
              <w:spacing w:after="0"/>
              <w:rPr>
                <w:sz w:val="17"/>
                <w:szCs w:val="17"/>
                <w:color w:val="auto"/>
              </w:rPr>
            </w:pP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include the length of time required, service hours performed by Company employees, and materials costs.</w:t>
            </w:r>
          </w:p>
        </w:tc>
      </w:tr>
      <w:tr>
        <w:trPr>
          <w:trHeight w:val="203"/>
        </w:trPr>
        <w:tc>
          <w:tcPr>
            <w:tcW w:w="1700" w:type="dxa"/>
            <w:vAlign w:val="bottom"/>
          </w:tcPr>
          <w:p>
            <w:pPr>
              <w:spacing w:after="0"/>
              <w:rPr>
                <w:sz w:val="17"/>
                <w:szCs w:val="17"/>
                <w:color w:val="auto"/>
              </w:rPr>
            </w:pP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Accounting for the agreement involves judgment, particularly as it relates to estimating total costs to be incurred</w:t>
            </w:r>
          </w:p>
        </w:tc>
      </w:tr>
      <w:tr>
        <w:trPr>
          <w:trHeight w:val="239"/>
        </w:trPr>
        <w:tc>
          <w:tcPr>
            <w:tcW w:w="170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based on the scope of work and historical experience, among other factors.</w:t>
            </w:r>
          </w:p>
        </w:tc>
      </w:tr>
      <w:tr>
        <w:trPr>
          <w:trHeight w:val="396"/>
        </w:trPr>
        <w:tc>
          <w:tcPr>
            <w:tcW w:w="1700" w:type="dxa"/>
            <w:vAlign w:val="bottom"/>
          </w:tcPr>
          <w:p>
            <w:pPr>
              <w:spacing w:after="0"/>
              <w:rPr>
                <w:sz w:val="24"/>
                <w:szCs w:val="24"/>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Given the judgment necessary to estimate total costs, which is a significant factor in calculating the amount of</w:t>
            </w:r>
          </w:p>
        </w:tc>
      </w:tr>
      <w:tr>
        <w:trPr>
          <w:trHeight w:val="203"/>
        </w:trPr>
        <w:tc>
          <w:tcPr>
            <w:tcW w:w="1700" w:type="dxa"/>
            <w:vAlign w:val="bottom"/>
          </w:tcPr>
          <w:p>
            <w:pPr>
              <w:spacing w:after="0"/>
              <w:rPr>
                <w:sz w:val="17"/>
                <w:szCs w:val="17"/>
                <w:color w:val="auto"/>
              </w:rPr>
            </w:pP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revenue to recognize under the agreement during a period, auditing the Company’s total cost estimate required</w:t>
            </w:r>
          </w:p>
        </w:tc>
      </w:tr>
      <w:tr>
        <w:trPr>
          <w:trHeight w:val="239"/>
        </w:trPr>
        <w:tc>
          <w:tcPr>
            <w:tcW w:w="170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significant audit effort.</w:t>
            </w:r>
          </w:p>
        </w:tc>
      </w:tr>
      <w:tr>
        <w:trPr>
          <w:trHeight w:val="463"/>
        </w:trPr>
        <w:tc>
          <w:tcPr>
            <w:tcW w:w="170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To test the Company’s estimate of total costs, we obtained the agreement and evaluated the terms and conditions to</w:t>
            </w: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i w:val="1"/>
                <w:iCs w:val="1"/>
                <w:color w:val="auto"/>
              </w:rPr>
              <w:t>Addressed the</w:t>
            </w: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understand the nature of the Company’s obligations under the agreement. We obtained and evaluated</w:t>
            </w: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i w:val="1"/>
                <w:iCs w:val="1"/>
                <w:color w:val="auto"/>
              </w:rPr>
              <w:t>Matter in Our Audit</w:t>
            </w: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management’s estimate of total costs to be incurred by performing corroborating inquiries with the Company’s project</w:t>
            </w:r>
          </w:p>
        </w:tc>
      </w:tr>
      <w:tr>
        <w:trPr>
          <w:trHeight w:val="203"/>
        </w:trPr>
        <w:tc>
          <w:tcPr>
            <w:tcW w:w="1700" w:type="dxa"/>
            <w:vAlign w:val="bottom"/>
          </w:tcPr>
          <w:p>
            <w:pPr>
              <w:spacing w:after="0"/>
              <w:rPr>
                <w:sz w:val="17"/>
                <w:szCs w:val="17"/>
                <w:color w:val="auto"/>
              </w:rPr>
            </w:pP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scientists and financial analysts. We tested the mathematical accuracy of the costs to be incurred used in the</w:t>
            </w:r>
          </w:p>
        </w:tc>
      </w:tr>
      <w:tr>
        <w:trPr>
          <w:trHeight w:val="203"/>
        </w:trPr>
        <w:tc>
          <w:tcPr>
            <w:tcW w:w="1700" w:type="dxa"/>
            <w:vAlign w:val="bottom"/>
          </w:tcPr>
          <w:p>
            <w:pPr>
              <w:spacing w:after="0"/>
              <w:rPr>
                <w:sz w:val="17"/>
                <w:szCs w:val="17"/>
                <w:color w:val="auto"/>
              </w:rPr>
            </w:pPr>
          </w:p>
        </w:tc>
        <w:tc>
          <w:tcPr>
            <w:tcW w:w="9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revenue calculations. We also tested the reasonableness of costs underlying the total estimate by comparing the</w:t>
            </w:r>
          </w:p>
        </w:tc>
      </w:tr>
      <w:tr>
        <w:trPr>
          <w:trHeight w:val="239"/>
        </w:trPr>
        <w:tc>
          <w:tcPr>
            <w:tcW w:w="170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cost estimates to actual costs incurred.</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Recursion Pharmaceuticals,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We have audited Recursion Pharmaceuticals, Inc.’s internal control over financial reporting as of December 31, 2023,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the objectives of the control criteria, Recursion Pharmaceuticals, Inc. (the Company) has not maintained effective internal control over financial reporting as of December 31, 2023, based on the COSO criteria.</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internal controls related to the company’s revenue and unearned revenue process.</w:t>
      </w:r>
    </w:p>
    <w:p>
      <w:pPr>
        <w:spacing w:after="0" w:line="19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Valence Discovery Inc. and Cyclica Inc., which are included in the 2023 consolidated financial statements of the Company and constituted 14% and 19% of total and</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net assets, respectively, as of December 31, 2023, and 2% and 4% of revenues and net loss, respectively, for the year then ended. Our audit of internal control over financial reporting of the Company also did not include an evaluation of the internal control over financial reporting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Valence Discovery Inc. and Cyclica Inc.</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loss, convertible preferred stock and stockholders’ equity and cash flows for each of the three years in the period ended December 31, 2023, and the related notes. This material weakness was considered in determining the nature, timing and extent of audit tests applied in our audit of the 2023 consolidated financial statements, and this report does not affect our report dated February 29, 2024, which expressed an unqualified opinion thereon.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223"/>
        </w:trPr>
        <w:tc>
          <w:tcPr>
            <w:tcW w:w="8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r>
      <w:tr>
        <w:trPr>
          <w:trHeight w:val="208"/>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391,565</w:t>
            </w:r>
          </w:p>
        </w:tc>
        <w:tc>
          <w:tcPr>
            <w:tcW w:w="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549,912</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3,231</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1,280</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receivables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w:t>
            </w:r>
          </w:p>
        </w:tc>
      </w:tr>
      <w:tr>
        <w:trPr>
          <w:trHeight w:val="215"/>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40,247</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15,869</w:t>
            </w:r>
          </w:p>
        </w:tc>
      </w:tr>
      <w:tr>
        <w:trPr>
          <w:trHeight w:val="210"/>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438,137</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569,814</w:t>
            </w:r>
          </w:p>
        </w:tc>
      </w:tr>
      <w:tr>
        <w:trPr>
          <w:trHeight w:val="149"/>
        </w:trPr>
        <w:tc>
          <w:tcPr>
            <w:tcW w:w="8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non-current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86,510</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88,192</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33,663</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33,255</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36,443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1,306</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15"/>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 non-current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653,699</w:t>
            </w:r>
          </w:p>
        </w:tc>
        <w:tc>
          <w:tcPr>
            <w:tcW w:w="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701,288</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3,953</w:t>
            </w:r>
          </w:p>
        </w:tc>
        <w:tc>
          <w:tcPr>
            <w:tcW w:w="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4,586</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46,635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32,904</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Unearned revenue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56,726</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Notes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6"/>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6,116</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5,952</w:t>
            </w:r>
          </w:p>
        </w:tc>
      </w:tr>
      <w:tr>
        <w:trPr>
          <w:trHeight w:val="210"/>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93,171</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100,265</w:t>
            </w:r>
          </w:p>
        </w:tc>
      </w:tr>
      <w:tr>
        <w:trPr>
          <w:trHeight w:val="149"/>
        </w:trPr>
        <w:tc>
          <w:tcPr>
            <w:tcW w:w="8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Unearned revenue, non-current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51,238</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70,261</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non-current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43,414</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44,420</w:t>
            </w:r>
          </w:p>
        </w:tc>
      </w:tr>
      <w:tr>
        <w:trPr>
          <w:trHeight w:val="216"/>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Deferred tax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190,263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215,482</w:t>
            </w:r>
          </w:p>
        </w:tc>
      </w:tr>
      <w:tr>
        <w:trPr>
          <w:trHeight w:val="95"/>
        </w:trPr>
        <w:tc>
          <w:tcPr>
            <w:tcW w:w="85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bl>
    <w:p>
      <w:pPr>
        <w:ind w:left="140"/>
        <w:spacing w:after="0"/>
        <w:rPr>
          <w:sz w:val="20"/>
          <w:szCs w:val="20"/>
          <w:color w:val="auto"/>
        </w:rPr>
      </w:pPr>
      <w:r>
        <w:rPr>
          <w:rFonts w:ascii="Arial" w:cs="Arial" w:eastAsia="Arial" w:hAnsi="Arial"/>
          <w:sz w:val="16"/>
          <w:szCs w:val="16"/>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603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60325"/>
                    </a:xfrm>
                    <a:prstGeom prst="rect">
                      <a:avLst/>
                    </a:prstGeom>
                    <a:noFill/>
                  </pic:spPr>
                </pic:pic>
              </a:graphicData>
            </a:graphic>
          </wp:anchor>
        </w:drawing>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5657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46" w:lineRule="exact"/>
        <w:rPr>
          <w:sz w:val="20"/>
          <w:szCs w:val="20"/>
          <w:color w:val="auto"/>
        </w:rPr>
      </w:pPr>
    </w:p>
    <w:p>
      <w:pPr>
        <w:ind w:left="360" w:hanging="215"/>
        <w:spacing w:after="0" w:line="265" w:lineRule="auto"/>
        <w:rPr>
          <w:sz w:val="20"/>
          <w:szCs w:val="20"/>
          <w:color w:val="auto"/>
        </w:rPr>
      </w:pPr>
      <w:r>
        <w:rPr>
          <w:rFonts w:ascii="Arial" w:cs="Arial" w:eastAsia="Arial" w:hAnsi="Arial"/>
          <w:sz w:val="16"/>
          <w:szCs w:val="16"/>
          <w:color w:val="auto"/>
        </w:rPr>
        <w:t>Common stock, $0.00001 par value; 2,000,000,000 shares (Class A 1,989,032,117 and Class B 10,967,883) authorized as of December 31, 2023 and December 31, 2022; 234,270,384 shares (Class A 226,264,764, Class B 7,544,871 and Exchangeable 460,749) and 191,022,864 (Class A 183,209,655 and Class B 7,813,209 and Exchangeable —) issued and outstanding as of December 31, 2023 and December 31, 2022, respectively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paid-in capital</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2</w:t>
      </w:r>
    </w:p>
    <w:p>
      <w:pPr>
        <w:spacing w:after="0" w:line="32"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1,431,056</w:t>
      </w:r>
      <w:r>
        <w:rPr>
          <w:sz w:val="20"/>
          <w:szCs w:val="20"/>
          <w:color w:val="auto"/>
        </w:rPr>
        <w:tab/>
      </w:r>
      <w:r>
        <w:rPr>
          <w:rFonts w:ascii="Arial" w:cs="Arial" w:eastAsia="Arial" w:hAnsi="Arial"/>
          <w:sz w:val="16"/>
          <w:szCs w:val="16"/>
          <w:color w:val="auto"/>
        </w:rPr>
        <w:t>1,125,360</w:t>
      </w:r>
    </w:p>
    <w:p>
      <w:pPr>
        <w:spacing w:after="0" w:line="32"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6"/>
          <w:szCs w:val="16"/>
          <w:color w:val="auto"/>
        </w:rPr>
        <w:t>(967,622)</w:t>
      </w:r>
      <w:r>
        <w:rPr>
          <w:sz w:val="20"/>
          <w:szCs w:val="20"/>
          <w:color w:val="auto"/>
        </w:rPr>
        <w:tab/>
      </w:r>
      <w:r>
        <w:rPr>
          <w:rFonts w:ascii="Arial" w:cs="Arial" w:eastAsia="Arial" w:hAnsi="Arial"/>
          <w:sz w:val="16"/>
          <w:szCs w:val="16"/>
          <w:color w:val="auto"/>
        </w:rPr>
        <w:t>(639,556)</w:t>
      </w:r>
    </w:p>
    <w:p>
      <w:pPr>
        <w:spacing w:after="0" w:line="31" w:lineRule="exact"/>
        <w:rPr>
          <w:sz w:val="20"/>
          <w:szCs w:val="20"/>
          <w:color w:val="auto"/>
        </w:rPr>
      </w:pPr>
    </w:p>
    <w:p>
      <w:pPr>
        <w:sectPr>
          <w:pgSz w:w="11900" w:h="16838" w:orient="portrait"/>
          <w:cols w:equalWidth="0" w:num="2">
            <w:col w:w="8520" w:space="600"/>
            <w:col w:w="212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90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Total stockholders’ equity</w:t>
            </w:r>
          </w:p>
        </w:tc>
        <w:tc>
          <w:tcPr>
            <w:tcW w:w="30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463,436</w:t>
            </w: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485,806</w:t>
            </w:r>
          </w:p>
        </w:tc>
      </w:tr>
      <w:tr>
        <w:trPr>
          <w:trHeight w:val="148"/>
        </w:trPr>
        <w:tc>
          <w:tcPr>
            <w:tcW w:w="5900" w:type="dxa"/>
            <w:vAlign w:val="bottom"/>
            <w:tcBorders>
              <w:bottom w:val="single" w:sz="8" w:color="auto"/>
            </w:tcBorders>
            <w:shd w:val="clear" w:color="auto" w:fill="CCEEFF"/>
          </w:tcPr>
          <w:p>
            <w:pPr>
              <w:spacing w:after="0"/>
              <w:rPr>
                <w:sz w:val="12"/>
                <w:szCs w:val="12"/>
                <w:color w:val="auto"/>
              </w:rPr>
            </w:pPr>
          </w:p>
        </w:tc>
        <w:tc>
          <w:tcPr>
            <w:tcW w:w="30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r>
      <w:tr>
        <w:trPr>
          <w:trHeight w:val="210"/>
        </w:trPr>
        <w:tc>
          <w:tcPr>
            <w:tcW w:w="59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Total liabilities and stockholders’ equity</w:t>
            </w:r>
          </w:p>
        </w:tc>
        <w:tc>
          <w:tcPr>
            <w:tcW w:w="3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653,699</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701,288</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consolidated financial statements.</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Table of Contents</w:t>
            </w:r>
          </w:p>
        </w:tc>
        <w:tc>
          <w:tcPr>
            <w:tcW w:w="0" w:type="dxa"/>
            <w:vAlign w:val="bottom"/>
          </w:tcPr>
          <w:p>
            <w:pPr>
              <w:spacing w:after="0"/>
              <w:rPr>
                <w:sz w:val="1"/>
                <w:szCs w:val="1"/>
                <w:color w:val="auto"/>
              </w:rPr>
            </w:pPr>
          </w:p>
        </w:tc>
      </w:tr>
      <w:tr>
        <w:trPr>
          <w:trHeight w:val="798"/>
        </w:trPr>
        <w:tc>
          <w:tcPr>
            <w:tcW w:w="3240" w:type="dxa"/>
            <w:vAlign w:val="bottom"/>
          </w:tcPr>
          <w:p>
            <w:pPr>
              <w:spacing w:after="0"/>
              <w:rPr>
                <w:sz w:val="24"/>
                <w:szCs w:val="24"/>
                <w:color w:val="auto"/>
              </w:rPr>
            </w:pPr>
          </w:p>
        </w:tc>
        <w:tc>
          <w:tcPr>
            <w:tcW w:w="380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1E1E1E"/>
                <w:w w:val="99"/>
              </w:rPr>
              <w:t>Recursion Pharmaceuticals, Inc.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49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1E1E1E"/>
                <w:w w:val="99"/>
              </w:rPr>
              <w:t>Consolidated Statements of Operations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4920" w:type="dxa"/>
            <w:vAlign w:val="bottom"/>
            <w:gridSpan w:val="3"/>
          </w:tcPr>
          <w:p>
            <w:pPr>
              <w:jc w:val="center"/>
              <w:ind w:right="7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5"/>
        </w:trPr>
        <w:tc>
          <w:tcPr>
            <w:tcW w:w="3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6"/>
          </w:tcPr>
          <w:p>
            <w:pPr>
              <w:jc w:val="right"/>
              <w:ind w:right="107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revenue</w:t>
            </w:r>
          </w:p>
        </w:tc>
        <w:tc>
          <w:tcPr>
            <w:tcW w:w="3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39,843</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42,587</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48,275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241,226</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155,696</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135,271</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110,822</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57,682</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394,635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285,570</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192,953</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(350,060)</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(245,727)</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(182,775)</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 (loss), net</w:t>
            </w:r>
          </w:p>
        </w:tc>
        <w:tc>
          <w:tcPr>
            <w:tcW w:w="3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(332,128)</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(239,476)</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(186,479)</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benefit</w:t>
            </w:r>
          </w:p>
        </w:tc>
        <w:tc>
          <w:tcPr>
            <w:tcW w:w="3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8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(328,066)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(186,479)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3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04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B and Exchangeable common stock, basic</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and diluted</w:t>
            </w:r>
          </w:p>
        </w:tc>
        <w:tc>
          <w:tcPr>
            <w:tcW w:w="3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40" w:type="dxa"/>
            <w:vAlign w:val="bottom"/>
            <w:gridSpan w:val="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 Exchangeable) outstanding,</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207,853,702</w:t>
            </w:r>
          </w:p>
        </w:tc>
        <w:tc>
          <w:tcPr>
            <w:tcW w:w="3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175,537,487</w:t>
            </w:r>
          </w:p>
        </w:tc>
        <w:tc>
          <w:tcPr>
            <w:tcW w:w="20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125,348,110</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w:t>
            </w:r>
          </w:p>
        </w:tc>
        <w:tc>
          <w:tcPr>
            <w:tcW w:w="33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consolidated financial statements.</w:t>
      </w:r>
    </w:p>
    <w:p>
      <w:pPr>
        <w:sectPr>
          <w:pgSz w:w="11900" w:h="16838" w:orient="portrait"/>
          <w:cols w:equalWidth="0" w:num="1">
            <w:col w:w="11240"/>
          </w:cols>
          <w:pgMar w:left="320" w:top="122" w:right="339" w:bottom="2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216"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98"/>
        </w:trPr>
        <w:tc>
          <w:tcPr>
            <w:tcW w:w="128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84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1E1E1E"/>
                <w:w w:val="99"/>
              </w:rPr>
              <w:t>Recursion Pharmaceuticals, Inc.</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9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1E1E1E"/>
                <w:w w:val="99"/>
              </w:rPr>
              <w:t>Consolidated Statements of Comprehensive Loss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5"/>
        </w:trPr>
        <w:tc>
          <w:tcPr>
            <w:tcW w:w="12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840" w:type="dxa"/>
            <w:vAlign w:val="bottom"/>
            <w:gridSpan w:val="2"/>
          </w:tcPr>
          <w:p>
            <w:pPr>
              <w:jc w:val="center"/>
              <w:ind w:left="790"/>
              <w:spacing w:after="0"/>
              <w:rPr>
                <w:sz w:val="20"/>
                <w:szCs w:val="20"/>
                <w:color w:val="auto"/>
              </w:rPr>
            </w:pPr>
            <w:r>
              <w:rPr>
                <w:rFonts w:ascii="Arial" w:cs="Arial" w:eastAsia="Arial" w:hAnsi="Arial"/>
                <w:sz w:val="18"/>
                <w:szCs w:val="18"/>
                <w:b w:val="1"/>
                <w:bCs w:val="1"/>
                <w:i w:val="1"/>
                <w:iCs w:val="1"/>
                <w:color w:val="1E1E1E"/>
                <w:w w:val="99"/>
              </w:rPr>
              <w:t>(in thousands)</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522"/>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64"/>
        </w:trPr>
        <w:tc>
          <w:tcPr>
            <w:tcW w:w="128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33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3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(328,066)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(239,476)</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(186,479)</w:t>
            </w:r>
          </w:p>
        </w:tc>
      </w:tr>
      <w:tr>
        <w:trPr>
          <w:trHeight w:val="270"/>
        </w:trPr>
        <w:tc>
          <w:tcPr>
            <w:tcW w:w="3260" w:type="dxa"/>
            <w:vAlign w:val="bottom"/>
            <w:gridSpan w:val="2"/>
          </w:tcPr>
          <w:p>
            <w:pPr>
              <w:spacing w:after="0"/>
              <w:rPr>
                <w:sz w:val="23"/>
                <w:szCs w:val="23"/>
                <w:color w:val="auto"/>
              </w:rPr>
            </w:pPr>
          </w:p>
        </w:tc>
        <w:tc>
          <w:tcPr>
            <w:tcW w:w="3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 (loss) on investments</w:t>
            </w:r>
          </w:p>
        </w:tc>
        <w:tc>
          <w:tcPr>
            <w:tcW w:w="3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1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Net realized loss on investments reclassified into net loss</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3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3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8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(328,066)</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(239,350)</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(186,605)</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See the accompanying notes to these consolidated financial statements.</w:t>
      </w:r>
    </w:p>
    <w:p>
      <w:pPr>
        <w:sectPr>
          <w:pgSz w:w="11900" w:h="16838" w:orient="portrait"/>
          <w:cols w:equalWidth="0" w:num="1">
            <w:col w:w="11240"/>
          </w:cols>
          <w:pgMar w:left="320" w:top="122" w:right="339" w:bottom="0" w:gutter="0" w:footer="0" w:header="0"/>
          <w:type w:val="continuous"/>
        </w:sectPr>
      </w:pPr>
    </w:p>
    <w:bookmarkStart w:id="177" w:name="page178"/>
    <w:bookmarkEnd w:id="177"/>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97790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74" w:right="1440"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1E1E1E"/>
        </w:rPr>
        <w:t>Consolidated Statements of Convertible Preferred Stock and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0" w:type="dxa"/>
            <w:vAlign w:val="bottom"/>
            <w:gridSpan w:val="2"/>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0" w:type="dxa"/>
            <w:vAlign w:val="bottom"/>
            <w:gridSpan w:val="2"/>
          </w:tcPr>
          <w:p>
            <w:pPr>
              <w:ind w:left="460"/>
              <w:spacing w:after="0"/>
              <w:rPr>
                <w:sz w:val="20"/>
                <w:szCs w:val="20"/>
                <w:color w:val="auto"/>
              </w:rPr>
            </w:pPr>
            <w:r>
              <w:rPr>
                <w:rFonts w:ascii="Arial" w:cs="Arial" w:eastAsia="Arial" w:hAnsi="Arial"/>
                <w:sz w:val="14"/>
                <w:szCs w:val="14"/>
                <w:b w:val="1"/>
                <w:bCs w:val="1"/>
                <w:color w:val="auto"/>
              </w:rPr>
              <w:t>(Class A, B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34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rPr>
              <w:t>Convertible Preferred Stock</w:t>
            </w:r>
          </w:p>
        </w:tc>
        <w:tc>
          <w:tcPr>
            <w:tcW w:w="2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Exchangeable)</w:t>
            </w: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2"/>
            <w:vMerge w:val="continue"/>
          </w:tcPr>
          <w:p>
            <w:pPr>
              <w:spacing w:after="0"/>
              <w:rPr>
                <w:sz w:val="5"/>
                <w:szCs w:val="5"/>
                <w:color w:val="auto"/>
              </w:rPr>
            </w:pPr>
          </w:p>
        </w:tc>
        <w:tc>
          <w:tcPr>
            <w:tcW w:w="11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3"/>
                <w:szCs w:val="13"/>
                <w:color w:val="auto"/>
              </w:rPr>
            </w:pPr>
          </w:p>
        </w:tc>
        <w:tc>
          <w:tcPr>
            <w:tcW w:w="2340" w:type="dxa"/>
            <w:vAlign w:val="bottom"/>
            <w:tcBorders>
              <w:bottom w:val="single" w:sz="8" w:color="auto"/>
            </w:tcBorders>
            <w:gridSpan w:val="3"/>
            <w:vMerge w:val="continue"/>
          </w:tcPr>
          <w:p>
            <w:pPr>
              <w:spacing w:after="0"/>
              <w:rPr>
                <w:sz w:val="13"/>
                <w:szCs w:val="13"/>
                <w:color w:val="auto"/>
              </w:rPr>
            </w:pPr>
          </w:p>
        </w:tc>
        <w:tc>
          <w:tcPr>
            <w:tcW w:w="2000" w:type="dxa"/>
            <w:vAlign w:val="bottom"/>
            <w:tcBorders>
              <w:bottom w:val="single" w:sz="8" w:color="auto"/>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99"/>
              <w:spacing w:after="0" w:line="156"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200"/>
              <w:spacing w:after="0" w:line="156" w:lineRule="exact"/>
              <w:rPr>
                <w:sz w:val="20"/>
                <w:szCs w:val="20"/>
                <w:color w:val="auto"/>
              </w:rPr>
            </w:pPr>
            <w:r>
              <w:rPr>
                <w:rFonts w:ascii="Arial" w:cs="Arial" w:eastAsia="Arial" w:hAnsi="Arial"/>
                <w:sz w:val="14"/>
                <w:szCs w:val="14"/>
                <w:b w:val="1"/>
                <w:bCs w:val="1"/>
                <w:color w:val="auto"/>
              </w:rPr>
              <w:t>comprehensive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Paid-in-Capital</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Balance as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112,088,065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448,312</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22,314,685</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7,312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(213,601)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(206,289)</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tcBorders>
              <w:right w:val="single" w:sz="8" w:color="auto"/>
            </w:tcBorders>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6"/>
                <w:szCs w:val="16"/>
                <w:color w:val="auto"/>
              </w:rPr>
              <w:t>(186,479)</w:t>
            </w:r>
          </w:p>
        </w:tc>
        <w:tc>
          <w:tcPr>
            <w:tcW w:w="140" w:type="dxa"/>
            <w:vAlign w:val="bottom"/>
          </w:tcPr>
          <w:p>
            <w:pPr>
              <w:spacing w:after="0"/>
              <w:rPr>
                <w:sz w:val="18"/>
                <w:szCs w:val="18"/>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(126)</w:t>
            </w:r>
          </w:p>
        </w:tc>
        <w:tc>
          <w:tcPr>
            <w:tcW w:w="1160" w:type="dxa"/>
            <w:vAlign w:val="bottom"/>
          </w:tcPr>
          <w:p>
            <w:pPr>
              <w:jc w:val="right"/>
              <w:spacing w:after="0"/>
              <w:rPr>
                <w:sz w:val="20"/>
                <w:szCs w:val="20"/>
                <w:color w:val="auto"/>
              </w:rPr>
            </w:pPr>
            <w:r>
              <w:rPr>
                <w:rFonts w:ascii="Arial" w:cs="Arial" w:eastAsia="Arial" w:hAnsi="Arial"/>
                <w:sz w:val="16"/>
                <w:szCs w:val="16"/>
                <w:color w:val="auto"/>
              </w:rPr>
              <w:t>(186,605)</w:t>
            </w:r>
          </w:p>
        </w:tc>
        <w:tc>
          <w:tcPr>
            <w:tcW w:w="0" w:type="dxa"/>
            <w:vAlign w:val="bottom"/>
          </w:tcPr>
          <w:p>
            <w:pPr>
              <w:spacing w:after="0"/>
              <w:rPr>
                <w:sz w:val="1"/>
                <w:szCs w:val="1"/>
                <w:color w:val="auto"/>
              </w:rPr>
            </w:pPr>
          </w:p>
        </w:tc>
      </w:tr>
      <w:tr>
        <w:trPr>
          <w:trHeight w:val="163"/>
        </w:trPr>
        <w:tc>
          <w:tcPr>
            <w:tcW w:w="1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Common stock issuance</w:t>
            </w: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for initial public offering,</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27,878,787</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462,353</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462,354</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of issuance costs</w:t>
            </w: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auto"/>
            </w:tcBorders>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Arial" w:cs="Arial" w:eastAsia="Arial" w:hAnsi="Arial"/>
                <w:sz w:val="16"/>
                <w:szCs w:val="16"/>
                <w:color w:val="auto"/>
              </w:rPr>
              <w:t>Conversion of preferred</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(112,088,065)</w:t>
            </w:r>
          </w:p>
        </w:tc>
        <w:tc>
          <w:tcPr>
            <w:tcW w:w="200" w:type="dxa"/>
            <w:vAlign w:val="bottom"/>
          </w:tcPr>
          <w:p>
            <w:pPr>
              <w:spacing w:after="0"/>
              <w:rPr>
                <w:sz w:val="14"/>
                <w:szCs w:val="14"/>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(448,312)</w:t>
            </w:r>
          </w:p>
        </w:tc>
        <w:tc>
          <w:tcPr>
            <w:tcW w:w="1200" w:type="dxa"/>
            <w:vAlign w:val="bottom"/>
            <w:vMerge w:val="restart"/>
          </w:tcPr>
          <w:p>
            <w:pPr>
              <w:jc w:val="right"/>
              <w:ind w:right="21"/>
              <w:spacing w:after="0"/>
              <w:rPr>
                <w:sz w:val="20"/>
                <w:szCs w:val="20"/>
                <w:color w:val="auto"/>
              </w:rPr>
            </w:pPr>
            <w:r>
              <w:rPr>
                <w:rFonts w:ascii="Arial" w:cs="Arial" w:eastAsia="Arial" w:hAnsi="Arial"/>
                <w:sz w:val="16"/>
                <w:szCs w:val="16"/>
                <w:color w:val="auto"/>
              </w:rPr>
              <w:t>115,598,018</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448,311</w:t>
            </w:r>
          </w:p>
        </w:tc>
        <w:tc>
          <w:tcPr>
            <w:tcW w:w="14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448,312</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stock to common stock</w:t>
            </w: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warrant exercises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343,609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Arial" w:cs="Arial" w:eastAsia="Arial" w:hAnsi="Arial"/>
                <w:sz w:val="16"/>
                <w:szCs w:val="16"/>
                <w:color w:val="auto"/>
              </w:rPr>
              <w:t>Stock option exercises</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1"/>
              <w:spacing w:after="0"/>
              <w:rPr>
                <w:sz w:val="20"/>
                <w:szCs w:val="20"/>
                <w:color w:val="auto"/>
              </w:rPr>
            </w:pPr>
            <w:r>
              <w:rPr>
                <w:rFonts w:ascii="Arial" w:cs="Arial" w:eastAsia="Arial" w:hAnsi="Arial"/>
                <w:sz w:val="16"/>
                <w:szCs w:val="16"/>
                <w:color w:val="auto"/>
              </w:rPr>
              <w:t>4,137,363</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6,812</w:t>
            </w:r>
          </w:p>
        </w:tc>
        <w:tc>
          <w:tcPr>
            <w:tcW w:w="14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and other</w:t>
            </w: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Stock based</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14,842</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14,842</w:t>
            </w:r>
          </w:p>
        </w:tc>
        <w:tc>
          <w:tcPr>
            <w:tcW w:w="0" w:type="dxa"/>
            <w:vAlign w:val="bottom"/>
          </w:tcPr>
          <w:p>
            <w:pPr>
              <w:spacing w:after="0"/>
              <w:rPr>
                <w:sz w:val="1"/>
                <w:szCs w:val="1"/>
                <w:color w:val="auto"/>
              </w:rPr>
            </w:pPr>
          </w:p>
        </w:tc>
      </w:tr>
      <w:tr>
        <w:trPr>
          <w:trHeight w:val="215"/>
        </w:trPr>
        <w:tc>
          <w:tcPr>
            <w:tcW w:w="1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Balance as of</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1"/>
              <w:spacing w:after="0"/>
              <w:rPr>
                <w:sz w:val="20"/>
                <w:szCs w:val="20"/>
                <w:color w:val="auto"/>
              </w:rPr>
            </w:pPr>
            <w:r>
              <w:rPr>
                <w:rFonts w:ascii="Arial" w:cs="Arial" w:eastAsia="Arial" w:hAnsi="Arial"/>
                <w:sz w:val="16"/>
                <w:szCs w:val="16"/>
                <w:color w:val="auto"/>
              </w:rPr>
              <w:t>170,272,462</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943,142</w:t>
            </w:r>
          </w:p>
        </w:tc>
        <w:tc>
          <w:tcPr>
            <w:tcW w:w="140" w:type="dxa"/>
            <w:vAlign w:val="bottom"/>
          </w:tcPr>
          <w:p>
            <w:pPr>
              <w:spacing w:after="0"/>
              <w:rPr>
                <w:sz w:val="13"/>
                <w:szCs w:val="13"/>
                <w:color w:val="auto"/>
              </w:rPr>
            </w:pPr>
          </w:p>
        </w:tc>
        <w:tc>
          <w:tcPr>
            <w:tcW w:w="1120" w:type="dxa"/>
            <w:vAlign w:val="bottom"/>
            <w:vMerge w:val="restart"/>
          </w:tcPr>
          <w:p>
            <w:pPr>
              <w:ind w:left="400"/>
              <w:spacing w:after="0"/>
              <w:rPr>
                <w:sz w:val="20"/>
                <w:szCs w:val="20"/>
                <w:color w:val="auto"/>
              </w:rPr>
            </w:pPr>
            <w:r>
              <w:rPr>
                <w:rFonts w:ascii="Arial" w:cs="Arial" w:eastAsia="Arial" w:hAnsi="Arial"/>
                <w:sz w:val="16"/>
                <w:szCs w:val="16"/>
                <w:color w:val="auto"/>
              </w:rPr>
              <w:t>(400,080)</w:t>
            </w:r>
          </w:p>
        </w:tc>
        <w:tc>
          <w:tcPr>
            <w:tcW w:w="140" w:type="dxa"/>
            <w:vAlign w:val="bottom"/>
          </w:tcPr>
          <w:p>
            <w:pPr>
              <w:spacing w:after="0"/>
              <w:rPr>
                <w:sz w:val="13"/>
                <w:szCs w:val="13"/>
                <w:color w:val="auto"/>
              </w:rPr>
            </w:pPr>
          </w:p>
        </w:tc>
        <w:tc>
          <w:tcPr>
            <w:tcW w:w="1420" w:type="dxa"/>
            <w:vAlign w:val="bottom"/>
            <w:vMerge w:val="restart"/>
          </w:tcPr>
          <w:p>
            <w:pPr>
              <w:jc w:val="right"/>
              <w:ind w:right="80"/>
              <w:spacing w:after="0"/>
              <w:rPr>
                <w:sz w:val="20"/>
                <w:szCs w:val="20"/>
                <w:color w:val="auto"/>
              </w:rPr>
            </w:pPr>
            <w:r>
              <w:rPr>
                <w:rFonts w:ascii="Arial" w:cs="Arial" w:eastAsia="Arial" w:hAnsi="Arial"/>
                <w:sz w:val="16"/>
                <w:szCs w:val="16"/>
                <w:color w:val="auto"/>
              </w:rPr>
              <w:t>(126)</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542,938</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(239,476)</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(239,350)</w:t>
            </w: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Arial" w:cs="Arial" w:eastAsia="Arial" w:hAnsi="Arial"/>
                <w:sz w:val="16"/>
                <w:szCs w:val="16"/>
                <w:color w:val="auto"/>
              </w:rPr>
              <w:t>Common stock issuance</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Arial" w:cs="Arial" w:eastAsia="Arial" w:hAnsi="Arial"/>
                <w:sz w:val="16"/>
                <w:szCs w:val="16"/>
                <w:color w:val="auto"/>
              </w:rPr>
              <w:t>for private placement,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1"/>
              <w:spacing w:after="0"/>
              <w:rPr>
                <w:sz w:val="20"/>
                <w:szCs w:val="20"/>
                <w:color w:val="auto"/>
              </w:rPr>
            </w:pPr>
            <w:r>
              <w:rPr>
                <w:rFonts w:ascii="Arial" w:cs="Arial" w:eastAsia="Arial" w:hAnsi="Arial"/>
                <w:sz w:val="16"/>
                <w:szCs w:val="16"/>
                <w:color w:val="auto"/>
              </w:rPr>
              <w:t>15,336,734</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143,711</w:t>
            </w:r>
          </w:p>
        </w:tc>
        <w:tc>
          <w:tcPr>
            <w:tcW w:w="14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143,711</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net of issuance costs</w:t>
            </w: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Stock option exercises</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5,413,668</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10,598</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10,598</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w:t>
            </w: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auto"/>
            </w:tcBorders>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Arial" w:cs="Arial" w:eastAsia="Arial" w:hAnsi="Arial"/>
                <w:sz w:val="16"/>
                <w:szCs w:val="16"/>
                <w:color w:val="auto"/>
              </w:rPr>
              <w:t>Stock-based</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27,909</w:t>
            </w:r>
          </w:p>
        </w:tc>
        <w:tc>
          <w:tcPr>
            <w:tcW w:w="14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27,909</w:t>
            </w:r>
          </w:p>
        </w:tc>
        <w:tc>
          <w:tcPr>
            <w:tcW w:w="0" w:type="dxa"/>
            <w:vAlign w:val="bottom"/>
          </w:tcPr>
          <w:p>
            <w:pPr>
              <w:spacing w:after="0"/>
              <w:rPr>
                <w:sz w:val="1"/>
                <w:szCs w:val="1"/>
                <w:color w:val="auto"/>
              </w:rPr>
            </w:pPr>
          </w:p>
        </w:tc>
      </w:tr>
      <w:tr>
        <w:trPr>
          <w:trHeight w:val="215"/>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compensation</w:t>
            </w:r>
          </w:p>
        </w:tc>
        <w:tc>
          <w:tcPr>
            <w:tcW w:w="12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Balance as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191,022,864</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1,125,360</w:t>
            </w: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(639,556)</w:t>
            </w:r>
          </w:p>
        </w:tc>
        <w:tc>
          <w:tcPr>
            <w:tcW w:w="14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485,806</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auto"/>
            </w:tcBorders>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6"/>
                <w:szCs w:val="16"/>
                <w:color w:val="auto"/>
              </w:rPr>
              <w:t>(328,066)</w:t>
            </w:r>
          </w:p>
        </w:tc>
        <w:tc>
          <w:tcPr>
            <w:tcW w:w="140" w:type="dxa"/>
            <w:vAlign w:val="bottom"/>
          </w:tcPr>
          <w:p>
            <w:pPr>
              <w:spacing w:after="0"/>
              <w:rPr>
                <w:sz w:val="18"/>
                <w:szCs w:val="18"/>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(328,066)</w:t>
            </w:r>
          </w:p>
        </w:tc>
        <w:tc>
          <w:tcPr>
            <w:tcW w:w="0" w:type="dxa"/>
            <w:vAlign w:val="bottom"/>
          </w:tcPr>
          <w:p>
            <w:pPr>
              <w:spacing w:after="0"/>
              <w:rPr>
                <w:sz w:val="1"/>
                <w:szCs w:val="1"/>
                <w:color w:val="auto"/>
              </w:rPr>
            </w:pPr>
          </w:p>
        </w:tc>
      </w:tr>
      <w:tr>
        <w:trPr>
          <w:trHeight w:val="163"/>
        </w:trPr>
        <w:tc>
          <w:tcPr>
            <w:tcW w:w="1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Stock option exercises</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9,058,817</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12,831</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12,831</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w:t>
            </w: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auto"/>
            </w:tcBorders>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Arial" w:cs="Arial" w:eastAsia="Arial" w:hAnsi="Arial"/>
                <w:sz w:val="16"/>
                <w:szCs w:val="16"/>
                <w:color w:val="auto"/>
              </w:rPr>
              <w:t>Stock-based</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53,503</w:t>
            </w:r>
          </w:p>
        </w:tc>
        <w:tc>
          <w:tcPr>
            <w:tcW w:w="14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53,503</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Common stock sales</w:t>
            </w: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issuances, net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19,658,963</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128,093</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128,093</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w:t>
            </w: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auto"/>
            </w:tcBorders>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Arial" w:cs="Arial" w:eastAsia="Arial" w:hAnsi="Arial"/>
                <w:sz w:val="16"/>
                <w:szCs w:val="16"/>
                <w:color w:val="auto"/>
              </w:rPr>
              <w:t>Common stock and</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Arial" w:cs="Arial" w:eastAsia="Arial" w:hAnsi="Arial"/>
                <w:sz w:val="16"/>
                <w:szCs w:val="16"/>
                <w:color w:val="auto"/>
              </w:rPr>
              <w:t>stock options issued for</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1"/>
              <w:spacing w:after="0"/>
              <w:rPr>
                <w:sz w:val="20"/>
                <w:szCs w:val="20"/>
                <w:color w:val="auto"/>
              </w:rPr>
            </w:pPr>
            <w:r>
              <w:rPr>
                <w:rFonts w:ascii="Arial" w:cs="Arial" w:eastAsia="Arial" w:hAnsi="Arial"/>
                <w:sz w:val="16"/>
                <w:szCs w:val="16"/>
                <w:color w:val="auto"/>
              </w:rPr>
              <w:t>11,303,838</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89,269</w:t>
            </w:r>
          </w:p>
        </w:tc>
        <w:tc>
          <w:tcPr>
            <w:tcW w:w="14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89,269</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Common stock issued</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3,225,902</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r>
        <w:trPr>
          <w:trHeight w:val="215"/>
        </w:trPr>
        <w:tc>
          <w:tcPr>
            <w:tcW w:w="1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 Tempus agreement</w:t>
            </w: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Balance as of</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1"/>
              <w:spacing w:after="0"/>
              <w:rPr>
                <w:sz w:val="20"/>
                <w:szCs w:val="20"/>
                <w:color w:val="auto"/>
              </w:rPr>
            </w:pPr>
            <w:r>
              <w:rPr>
                <w:rFonts w:ascii="Arial" w:cs="Arial" w:eastAsia="Arial" w:hAnsi="Arial"/>
                <w:sz w:val="16"/>
                <w:szCs w:val="16"/>
                <w:color w:val="auto"/>
              </w:rPr>
              <w:t>234,270,384</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1,431,056</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ind w:left="400"/>
              <w:spacing w:after="0"/>
              <w:rPr>
                <w:sz w:val="20"/>
                <w:szCs w:val="20"/>
                <w:color w:val="auto"/>
              </w:rPr>
            </w:pPr>
            <w:r>
              <w:rPr>
                <w:rFonts w:ascii="Arial" w:cs="Arial" w:eastAsia="Arial" w:hAnsi="Arial"/>
                <w:sz w:val="16"/>
                <w:szCs w:val="16"/>
                <w:color w:val="auto"/>
              </w:rPr>
              <w:t>(967,622)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463,436</w:t>
            </w:r>
          </w:p>
        </w:tc>
        <w:tc>
          <w:tcPr>
            <w:tcW w:w="0" w:type="dxa"/>
            <w:vAlign w:val="bottom"/>
          </w:tcPr>
          <w:p>
            <w:pPr>
              <w:spacing w:after="0"/>
              <w:rPr>
                <w:sz w:val="1"/>
                <w:szCs w:val="1"/>
                <w:color w:val="auto"/>
              </w:rPr>
            </w:pPr>
          </w:p>
        </w:tc>
      </w:tr>
      <w:tr>
        <w:trPr>
          <w:trHeight w:val="216"/>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2023</w:t>
            </w:r>
          </w:p>
        </w:tc>
        <w:tc>
          <w:tcPr>
            <w:tcW w:w="1460" w:type="dxa"/>
            <w:vAlign w:val="bottom"/>
            <w:tcBorders>
              <w:bottom w:val="single" w:sz="8" w:color="auto"/>
            </w:tcBorders>
            <w:gridSpan w:val="2"/>
            <w:vMerge w:val="continue"/>
          </w:tcPr>
          <w:p>
            <w:pPr>
              <w:spacing w:after="0"/>
              <w:rPr>
                <w:sz w:val="18"/>
                <w:szCs w:val="18"/>
                <w:color w:val="auto"/>
              </w:rPr>
            </w:pPr>
          </w:p>
        </w:tc>
        <w:tc>
          <w:tcPr>
            <w:tcW w:w="88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1E1E1E"/>
        </w:rPr>
        <w:t>See the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5"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E1E1E"/>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(328,066)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(239,476)</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(186,479)</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11,756</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53,503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27,909</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14,842</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impairment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Lease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8,063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7,730</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debt extinguishment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830</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4,097</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Other receivables and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(7,756)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(5,376)</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Unearned 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110,320</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1,767</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development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6,719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(576)</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12,764</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(7,110)</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(287,780)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(83,524)</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(158,614)</w:t>
            </w:r>
          </w:p>
        </w:tc>
        <w:tc>
          <w:tcPr>
            <w:tcW w:w="0" w:type="dxa"/>
            <w:vAlign w:val="bottom"/>
          </w:tcPr>
          <w:p>
            <w:pPr>
              <w:spacing w:after="0"/>
              <w:rPr>
                <w:sz w:val="1"/>
                <w:szCs w:val="1"/>
                <w:color w:val="auto"/>
              </w:rPr>
            </w:pPr>
          </w:p>
        </w:tc>
      </w:tr>
      <w:tr>
        <w:trPr>
          <w:trHeight w:val="108"/>
        </w:trPr>
        <w:tc>
          <w:tcPr>
            <w:tcW w:w="7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and restricted cash acquired in the acquisition of a business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(11,955)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(37,059)</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(39,798)</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an intangible asset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(301,137)</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Sales and maturities of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230,608</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69,191</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(10,228)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193,249</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(271,744)</w:t>
            </w:r>
          </w:p>
        </w:tc>
        <w:tc>
          <w:tcPr>
            <w:tcW w:w="0" w:type="dxa"/>
            <w:vAlign w:val="bottom"/>
          </w:tcPr>
          <w:p>
            <w:pPr>
              <w:spacing w:after="0"/>
              <w:rPr>
                <w:sz w:val="1"/>
                <w:szCs w:val="1"/>
                <w:color w:val="auto"/>
              </w:rPr>
            </w:pPr>
          </w:p>
        </w:tc>
      </w:tr>
      <w:tr>
        <w:trPr>
          <w:trHeight w:val="108"/>
        </w:trPr>
        <w:tc>
          <w:tcPr>
            <w:tcW w:w="7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shares, net of issuance costs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128,093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143,711</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462,901</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Proceeds from equity incentive plans and warrants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12,806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10,724</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8,437</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Repayment of 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(12,798)</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140,133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154,345</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458,540</w:t>
            </w:r>
          </w:p>
        </w:tc>
        <w:tc>
          <w:tcPr>
            <w:tcW w:w="0" w:type="dxa"/>
            <w:vAlign w:val="bottom"/>
          </w:tcPr>
          <w:p>
            <w:pPr>
              <w:spacing w:after="0"/>
              <w:rPr>
                <w:sz w:val="1"/>
                <w:szCs w:val="1"/>
                <w:color w:val="auto"/>
              </w:rPr>
            </w:pPr>
          </w:p>
        </w:tc>
      </w:tr>
      <w:tr>
        <w:trPr>
          <w:trHeight w:val="108"/>
        </w:trPr>
        <w:tc>
          <w:tcPr>
            <w:tcW w:w="7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7360" w:type="dxa"/>
            <w:vAlign w:val="bottom"/>
            <w:tcBorders>
              <w:bottom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(157,687)</w:t>
            </w: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263,763</w:t>
            </w:r>
          </w:p>
        </w:tc>
        <w:tc>
          <w:tcPr>
            <w:tcW w:w="42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28,182</w:t>
            </w:r>
          </w:p>
        </w:tc>
        <w:tc>
          <w:tcPr>
            <w:tcW w:w="0" w:type="dxa"/>
            <w:vAlign w:val="bottom"/>
          </w:tcPr>
          <w:p>
            <w:pPr>
              <w:spacing w:after="0"/>
              <w:rPr>
                <w:sz w:val="1"/>
                <w:szCs w:val="1"/>
                <w:color w:val="auto"/>
              </w:rPr>
            </w:pPr>
          </w:p>
        </w:tc>
      </w:tr>
      <w:tr>
        <w:trPr>
          <w:trHeight w:val="60"/>
        </w:trPr>
        <w:tc>
          <w:tcPr>
            <w:tcW w:w="7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559,112</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295,349</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267,167</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401,425</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559,112</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295,349</w:t>
            </w:r>
          </w:p>
        </w:tc>
        <w:tc>
          <w:tcPr>
            <w:tcW w:w="0" w:type="dxa"/>
            <w:vAlign w:val="bottom"/>
          </w:tcPr>
          <w:p>
            <w:pPr>
              <w:spacing w:after="0"/>
              <w:rPr>
                <w:sz w:val="1"/>
                <w:szCs w:val="1"/>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information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for the acquisitions of businesses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Issuance of shares for Tempus agreement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 additions and modifications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Accrued property and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591</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7,749</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Conversion of preferred stock to common stock</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448,312</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6"/>
                <w:szCs w:val="16"/>
                <w:color w:val="auto"/>
              </w:rPr>
              <w:t>Deferred issuance costs recorded in equity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108"/>
        </w:trPr>
        <w:tc>
          <w:tcPr>
            <w:tcW w:w="7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operating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7,110</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Cash paid for interest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Recursion Pharmaceuticals, Inc. (Recursion, the Company, we or our) was originally formed as a limited liability</w:t>
      </w:r>
    </w:p>
    <w:p>
      <w:pPr>
        <w:spacing w:after="0" w:line="27"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color w:val="auto"/>
        </w:rPr>
        <w:t>company on November 4, 2013 under the name Recursion Pharmaceuticals, LLC. In September 2016, the Company converted to a Delaware corporation and changed its name to Recursion Pharmaceuticals, Inc.</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Recursion is a clinical stage TechBio company decoding biology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19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of December 31, 2023, the Company had an accumulated deficit of $967.6 million.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funded its operations to date primarily through the issuance of convertible preferred stock and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December 31, 2023,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which requires the Company to make estimates and assumptions that affect reported amounts and related disclosures. Actual results could differ from those amounts. Significant estimates and assumptions include the estimated progress towards the satisfaction of performance obligations to record revenue, the valuation of goodwill and intangible assets, accrued research and development expenses and the fair value of stock-based awards issued.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the accounts of Recursion and its wholly-owned subsidiaries that the Company controls.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have been eliminated in consolidation.</w:t>
      </w:r>
    </w:p>
    <w:p>
      <w:pPr>
        <w:spacing w:after="0" w:line="23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 the Company completed a</w:t>
      </w:r>
      <w:r>
        <w:rPr>
          <w:rFonts w:ascii="Arial" w:cs="Arial" w:eastAsia="Arial" w:hAnsi="Arial"/>
          <w:sz w:val="18"/>
          <w:szCs w:val="18"/>
          <w:color w:val="auto"/>
        </w:rPr>
        <w:t xml:space="preserve"> 1.5-for-1 forward stock split of common and convertible preferred stock. All shares presented within these consolidated financial statements were adjusted to reflect the forward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xml:space="preserve">, the Company’s Board of Directors authorized two classes of common stock, Class A and Class B. Certain shares of Class A were exchanged for Class B on a one-for-one basis. The creation and issuance of the Class B common stock did not affect the loss per share for the Class A or Class B shares for any period. The Company presented the 2021 net loss per share amounts as if the authorization and exchange occurred as of the start of the 2021 reporting period. All share amounts presented prior to the authorization are referred to as Class A common stock. </w:t>
      </w:r>
      <w:r>
        <w:rPr>
          <w:rFonts w:ascii="Arial" w:cs="Arial" w:eastAsia="Arial" w:hAnsi="Arial"/>
          <w:sz w:val="18"/>
          <w:szCs w:val="18"/>
          <w:color w:val="1E1E1E"/>
        </w:rPr>
        <w:t>See Note 8, “Common Stock” for additional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Recursion operates as a single operating segment. The Company’s chief operating decision maker is its chief executive officer, who allocates resources and assesses performance at the consolidated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0"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These financial instruments are primarily held at two U.S. financial institutions that management believes are of high credit quality. Recursion’s primary bank accounts significantly exceed the federally insured limits.</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is dependent on third-party suppliers for certain research and development activities including preclinical and clinical testing. In particular, the Company relies and expects to continue to rely on a small number of these suppliers. These activities could be adversely affected by a significant interruption to Recursion’s third-party suppliers including a delay in the Company’s preclinical and clinical testing and the supply of certain consumable products and compounds.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Cash and cash equivalents includes bank deposits held in checking accounts and money market funds. Short-term highly liquid investments with maturities of three months or less at the time of purchase are classified as cash and cash equivalents.</w:t>
      </w:r>
    </w:p>
    <w:p>
      <w:pPr>
        <w:spacing w:after="0" w:line="18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related to a Bill and Melinda Gates Foundation grant.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Property and equipment is carried at acquisition cost less accumulated depreciation. The cost of normal, recurring or periodic repairs and maintenance activities related to property and equipment are expensed as incurred.</w:t>
      </w:r>
    </w:p>
    <w:p>
      <w:pPr>
        <w:spacing w:after="0" w:line="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Depreciation is computed using the straight-line method based on the estimated useful lives of the assets. The estimated useful lives by asset classification are generally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7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5 years</w:t>
            </w:r>
          </w:p>
        </w:tc>
      </w:tr>
      <w:tr>
        <w:trPr>
          <w:trHeight w:val="252"/>
        </w:trPr>
        <w:tc>
          <w:tcPr>
            <w:tcW w:w="316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7400" w:type="dxa"/>
            <w:vAlign w:val="bottom"/>
          </w:tcPr>
          <w:p>
            <w:pPr>
              <w:ind w:left="1140"/>
              <w:spacing w:after="0"/>
              <w:rPr>
                <w:sz w:val="20"/>
                <w:szCs w:val="20"/>
                <w:color w:val="auto"/>
              </w:rPr>
            </w:pPr>
            <w:r>
              <w:rPr>
                <w:rFonts w:ascii="Arial" w:cs="Arial" w:eastAsia="Arial" w:hAnsi="Arial"/>
                <w:sz w:val="18"/>
                <w:szCs w:val="18"/>
                <w:color w:val="auto"/>
              </w:rPr>
              <w:t>7 years</w:t>
            </w:r>
          </w:p>
        </w:tc>
      </w:tr>
      <w:tr>
        <w:trPr>
          <w:trHeight w:val="26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Lesser of 15 years or the remainder of the lease</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are reviewed for impairment as discussed below under Long-Lived Assets Impairment.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reviews the carrying amounts of long-lived assets, other than goodwill and intangible assets not subject to amortization, for potential impairment when events or changes in circumstances indicate the carrying amount of an asset may not be recoverable. In evaluating recoverability, Recursion groups assets and liabilities at the lowest level such that the identifiable cash flows relating to the group are largely independent of the cash flows of other assets and liabilities. The Company then compares the carrying amount of the asset or asset group with the projected undiscounted future cash flows to be generated by the asset or asset group. In the event impairment exists, an impairment charge is recorded as the amount by which the carrying amount of the asset or asset group exceeds the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Annually, the Company tests its goodwill for impairment by first assessing qualitative factors to determine whether it is more likely than not that the fair value is less than its carrying amount. Some of the factors considered in the assessment include general macro-economic conditions, conditions specific to the industry and market, cost factors, the overall financial performance and whether there have been sustained declines in the Company's share price. If the Company concludes it is more likely than not that the fair value of the reporting unit is less than its carrying amount, a quantitative impairment test is performed.</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its quantitative impairment tests, the Company uses an estimated future cash flow approach that requires significant judgment with respect to future volume, revenue and expense growth rates, changes in working capital use, the selection of an appropriate discount rate and other assumptions and estimates. The estimates and assumptions used are consistent with the Company's business plans and a market participant's views. The use of alternative estimates and assumptions could increase or decrease projected cash flows and the estimated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Results of operations of acquired companies are included in the Recursion results of operations as of the respective acquisition dates. The purchase price of each acquisition is allocated to the net assets acquired based on estimates of their fair values at the date of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 Legal costs, due diligence costs, business valuation costs and all other business acquisition costs are expensed when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Research and Development Expenses and Clinical Trials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the process of preparing its financial statements, the Company is required to estimate its expenses resulting from obligations under contracts with vendors and clinical research organizations. The financial terms of these contracts are subject to negotiations, which vary from contract to contract and may result in payment terms that do not match the periods over which materials or services are provided for under such contracts. The Company’s policy is to record these expenses during the period in which services are performed and efforts are expended. The Company determines accrual estimates by taking into account discussions with applicable personnel and outside service providers as to the progress of clinical trials, or the services completed. During the course of a clinical trial, the Company adjusts its clinical expense recognition if actual results differ from its estimates. The Company makes estimates of its accrued expenses as of each Consolidated Balance Sheet date based on the facts and circumstances known to it at that time. The actual expenses could be different from the amounts accrued.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rents facilities under operating lease agreements and recognizes rent expense on a straight-line basis over the term of the lease. Certain lease agreements contain tenant improvement allowances, rent holidays, scheduled rent increases and renewal options. Rent holidays and scheduled rent increases are included in the determination of rent expense. Certain leases also include provisions for variable lease payments which are based on, but not limited to, maintenance, insurance, taxes and usage-based amounts. Recursion recognizes these costs as they are incurred.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Right-of-use assets and lease liabilities are recognized based on the present value of lease payments over the lease term at the lease commencement date. Present value is determined using an incremental borrowing rate when the rate implicit in the lease is not readily determinable. The incremental borrowing rate is equal to the rate of interest that Recursion would have to pay to borrow on a collateralized basis over a similar term in an amount equal to the lease payments in a similar economic environment. Renewals are not included in the determination of the lease term unless they are determined to be reasonably certain to be exercised at the commencement date of the lease. The Company recognizes rent expense beginning on the date the Company obtains the legal right to use and control the leased space. Recursion classifies leases as operating or finance at the lease commencement date. All outstanding leases are operating leases.</w:t>
      </w:r>
    </w:p>
    <w:p>
      <w:pPr>
        <w:spacing w:after="0" w:line="2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elected to apply the practical expedient for short-term leases whereby Recursion does not recognize a lease liability and right-of-use asset for leases with a term of less than 12 months. The Company has also elected to not separate consideration in the contract between lease and non-lease components of a contract that contains a lease. Right-of-use assets and lease liabilities are remeasured upon certain remeasurement events using the present value of remaining lease payments and estimated incremental borrowing rate upon lease modification. For operating leases that commenced prior to the Company’s adoption of Topic 842, Recursion measured the lease liabilities and right-of-use assets using the incremental borrowing rate as of January 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revenue has primarily been generated through research and development agreements (see Note 9, “Collaborative Development Contracts” for additional details). Revenue for research and development agreements is recognized as the Company satisfies a performance obligation by transferring the promised services to the customer. The Company recognizes revenue over time by measuring the progress toward complete satisfaction of the relevant performance obligation using an appropriate input or output method based on the services promised to the customer. This method of recognizing revenue requires the Company to make estimates of the work required to complete the performance obligation in order to determine the progress towards completion. A significant change in these estimates could have a material effect on the timing and amount of revenue recognized in future periods.</w:t>
      </w: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may also provide options in its agreements under which a partner could request that Recursion provide additional services in the future. Recursion evaluates whether these options are material rights at the inception of the agreement. If the Company determines an option is a material right, Recursion will consider the option a separate performance obligation. Historically, the Company has concluded that options granted to license in the future or to provide additional services are not material rights because these items are contingent upon future events that may not occur and are not priced at a significant discount.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Cost of revenue consists of the Company’s costs to provide services for drug discovery required under performance obligations with partnership customers. These primarily include materials costs, service hours performed by the Company’s employees and depreciation of property and equipment. Consumables purchased to be used in the future to satisfy performance obligations are recognized on the Consolidated Balance Sheet until consumed.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expenses comprise of costs incurred in performing research and development activities other than those performance pursuant to contracts with customers, including drug discovery and development studies, external research and the purchase of laboratory supplies. The Company recognizes expenses associated with third-party contracted services based on the completion of activities as specified in the applicable contracts. Upon the termination of contracts with third-parties, the Company’s financial obligations are generally limited to costs incurred or committed to date. Any advance payments for goods or services to be used or rendered in future research and product development activities are classified as prepaid expenses until the goods or services are rendered.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Company issues stock-based awards to employees and non-employees, generally in the form of stock options and restricted stock units (RSUs). Most of the Company’s stock-based awards have been made to employees.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Recursion measures compensation expense for equity awards at their grant-date fair value and recognizes compensation expense over the requisite service period, generally on a straight-line basis. For stock-based awards with a performance condition, Recursion recognizes stock-based compensation expense based on the probable outcome of the performance condition. Awards generally vest over four years for employees. Recursion recognizes the impact of forfeitures on stock-based compensation expense as they occur.</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grant date fair value of stock options is estimated using the Black-Scholes option pricing model, which requires inputs for the expected term, stock price volatility, dividend yield and the risk-free interest rate of the options. The expected term is based on the simplified method since the Company does not have sufficient historical exercise data to estimate the expected term. The volatility is based on an average peer historical volatility over the expected term of the option. The expected dividend yield is assumed to be zero as Recursion has never paid dividends and does not have current plans to pay dividends. The risk-free interest rate is based on the rates available at the time of the grant for zero-coupon U.S. government issues with a remaining term equal to the option's expected term.</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grant date fair value of RSUs is determined using the market price of the Company’s common stock at grant date. For stock-based awards with a market condition, the grant date fair value is determined using a Monte Carlo simulation and stock-based compensation expense is recognized using the accelerated attribution method over the implied service period. When a market condition is satisfied in a period before the end of the implied service period, any remaining unrecognized compensation cost is recognized. Stock-based compensation is recorded in cost of revenue, research and development expense and general and administrative expense based on the role of the employee.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taxes are accounted for under the asset and liability method. Provisions for federal, state and foreign income taxes are calculated on reported pretax losses based on current tax laws. Deferred taxes are recognized using enacted tax rates on the future tax consequences of temporary differences, which are the differences between the financial statement carrying amounts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20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uncertain tax positions, Recursion determines whether the position is more-likely-than-not to be sustained upon examination based on the technical merits of the position. Any tax position that meets the more-likely-than-not recognition threshold is measured and recognized in the Consolidated Financial Statements at the largest amount that is greater than 50% likely of being realized upon ultimate settlement.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December 2023, the Financial Accounting Standards Board (FASB) issued Accounting Standards Update (ASU) No. 2023-9,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w:t>
      </w:r>
      <w:r>
        <w:rPr>
          <w:rFonts w:ascii="Arial" w:cs="Arial" w:eastAsia="Arial" w:hAnsi="Arial"/>
          <w:sz w:val="18"/>
          <w:szCs w:val="18"/>
          <w:color w:val="auto"/>
        </w:rPr>
        <w:t>. The new standard updates disclosure requirements for Accounting Standards Codification (ASC) 740 primarily by</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additional information in the income tax rate reconciliation and additional disclosures about income taxes paid. This standard will be effective for Recursion starting the annual period ending December 31, 2025. Early adoption is permitted for annual financial statements that have not yet been issued. The amendments can be applied on a prospective or retrospective basis. The adoption of this standard will not impact Recursion’s consolidated balance sheet and statement of operations.</w:t>
      </w:r>
    </w:p>
    <w:p>
      <w:pPr>
        <w:spacing w:after="0" w:line="2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November 2023, the FASB issued ASU No. 2023-7, </w:t>
      </w:r>
      <w:r>
        <w:rPr>
          <w:rFonts w:ascii="Arial" w:cs="Arial" w:eastAsia="Arial" w:hAnsi="Arial"/>
          <w:sz w:val="18"/>
          <w:szCs w:val="18"/>
          <w:i w:val="1"/>
          <w:iCs w:val="1"/>
          <w:color w:val="auto"/>
        </w:rPr>
        <w:t>Segment Reporting (Topic 280)</w:t>
      </w:r>
      <w:r>
        <w:rPr>
          <w:rFonts w:ascii="Arial" w:cs="Arial" w:eastAsia="Arial" w:hAnsi="Arial"/>
          <w:sz w:val="18"/>
          <w:szCs w:val="18"/>
          <w:color w:val="auto"/>
        </w:rPr>
        <w:t>. The standard requires new disclosures related to ASC 280 including: disclosing significant segment expenses by category; requiring all the ASC 280 disclosures for Companies with a single reportable segment and; requiring an increased frequency of the ASC 280 disclosures. Recursion must apply the amendments retrospectively to each prior reporting period presented. This standard will be effective for Recursion starting the annual period ending December 31, 2024. Early adoption is permitted. The adoption of this standard will not impact Recursion’s consolidated balance sheet and statement of operations.</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On January 1, 2022, Recursion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Under ASC 842, lessees are required to recognize a right-of-use asset and a lease liability on the balance sheet for all leases with terms greater than 12 months. The guidance also expanded the disclosure requirements of lease arrangements. The Company adopted ASC 842 using the modified retrospective method. Recursion elected the following practical expedients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when assessing the transition impact: i) not to reassess whether any expired or existing contracts as of the adoption date are or contain leases; ii) not to reassess the lease classification for any expired or existing leases as of the adoption date; and iii) not to reassess initial direct costs for any existing leases as of the adoption date.</w:t>
      </w:r>
    </w:p>
    <w:p>
      <w:pPr>
        <w:spacing w:after="0" w:line="1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Results for reporting periods beginning after December 31, 2021 are presented in accordance with the standard, while results for prior periods are not adjusted and continue to be reported in accordance with Recursion’s historical accounting. The January 1, 2022 adjustment to record lease right-of-use assets and lease liabilities was $32.9 million and $47.8 million, respectively. The impact to the consolidated statements of operations and cash flows was insignificant.</w:t>
      </w:r>
    </w:p>
    <w:p>
      <w:pPr>
        <w:spacing w:after="0" w:line="2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November 2023</w:t>
      </w:r>
      <w:r>
        <w:rPr>
          <w:rFonts w:ascii="Arial" w:cs="Arial" w:eastAsia="Arial" w:hAnsi="Arial"/>
          <w:sz w:val="18"/>
          <w:szCs w:val="18"/>
          <w:color w:val="1E1E1E"/>
        </w:rPr>
        <w:t>, Recursion entered into a five-year agreement with Tempus Labs, Inc. (Tempus) to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$22.0 million and $42.0 million, up to $160.0 million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2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Recursion is expensing the record purchases as “Research and Development” expenses in the Consolidated Statements of Operations as the records are purchased. To the extent that the Recursion payments to Tempus are greater than or less than the records purchased amount, Recursion records the applicable amount to “Other Current Assets” or “Accrued Expenses and Other Liabilities” on the Consolidated Balance Sheet, respectively. As of December 31, 2023, Recursion had recorded $16.0 million within “Other current assets” on the Consolidated Balance Sheet related to the Tempus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91"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60,096</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47,524</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45,929</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41,872</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20,164</w:t>
            </w:r>
          </w:p>
        </w:tc>
      </w:tr>
      <w:tr>
        <w:trPr>
          <w:trHeight w:val="23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131,382</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118,307</w:t>
            </w:r>
          </w:p>
        </w:tc>
      </w:tr>
      <w:tr>
        <w:trPr>
          <w:trHeight w:val="23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(44,872)</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(30,115)</w:t>
            </w:r>
          </w:p>
        </w:tc>
      </w:tr>
      <w:tr>
        <w:trPr>
          <w:trHeight w:val="248"/>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88,192</w:t>
            </w:r>
          </w:p>
        </w:tc>
      </w:tr>
      <w:tr>
        <w:trPr>
          <w:trHeight w:val="20"/>
        </w:trPr>
        <w:tc>
          <w:tcPr>
            <w:tcW w:w="7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Depreciation expense on property and equipment was $15.9 million, $11.4 million and $8.8 million during the years ended December 31, 2023</w:t>
      </w:r>
      <w:r>
        <w:rPr>
          <w:rFonts w:ascii="Arial" w:cs="Arial" w:eastAsia="Arial" w:hAnsi="Arial"/>
          <w:sz w:val="18"/>
          <w:szCs w:val="18"/>
          <w:color w:val="1E1E1E"/>
        </w:rPr>
        <w:t>, 2022 and 2021, respectively. The Company recorded an impairment of $1.2 million and $2.8 million during the years ended December</w:t>
      </w:r>
      <w:r>
        <w:rPr>
          <w:rFonts w:ascii="Arial" w:cs="Arial" w:eastAsia="Arial" w:hAnsi="Arial"/>
          <w:sz w:val="18"/>
          <w:szCs w:val="18"/>
          <w:color w:val="auto"/>
        </w:rPr>
        <w:t xml:space="preserve"> </w:t>
      </w:r>
      <w:r>
        <w:rPr>
          <w:rFonts w:ascii="Arial" w:cs="Arial" w:eastAsia="Arial" w:hAnsi="Arial"/>
          <w:sz w:val="18"/>
          <w:szCs w:val="18"/>
          <w:color w:val="1E1E1E"/>
        </w:rPr>
        <w:t>31, 2023 and 2022, respectively, related to construction projects for leasehold improvements as the Company no longer intended to use them. The impairments were recorded in “General and Administrative” in the Consolidated Statements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1E1E1E"/>
        </w:rPr>
        <w:t>For the year ended December 31, 2023</w:t>
      </w:r>
      <w:r>
        <w:rPr>
          <w:rFonts w:ascii="Arial" w:cs="Arial" w:eastAsia="Arial" w:hAnsi="Arial"/>
          <w:sz w:val="18"/>
          <w:szCs w:val="18"/>
          <w:color w:val="000000"/>
        </w:rPr>
        <w:t>, the</w:t>
      </w:r>
      <w:r>
        <w:rPr>
          <w:rFonts w:ascii="Arial" w:cs="Arial" w:eastAsia="Arial" w:hAnsi="Arial"/>
          <w:sz w:val="18"/>
          <w:szCs w:val="18"/>
          <w:color w:val="1E1E1E"/>
        </w:rPr>
        <w:t xml:space="preserve"> Company initiated and completed a project to upgrade the BioHive supercomputer for</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1E1E1E"/>
        </w:rPr>
        <w:t>$1.7 million. The supercomputer was classified as office equipment in the above table. The increase in lab equipment from the prior year was driven by the completion of several labs in the headquarters expansion. The majority of the balance was included in construction in progress in the prior year.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year ended December 31, 2022</w:t>
      </w:r>
      <w:r>
        <w:rPr>
          <w:rFonts w:ascii="Arial" w:cs="Arial" w:eastAsia="Arial" w:hAnsi="Arial"/>
          <w:sz w:val="18"/>
          <w:szCs w:val="18"/>
          <w:color w:val="1E1E1E"/>
        </w:rPr>
        <w:t>, the increase in lab equipment from the prior year was driven by investments in the Company’s chemical technology, machine learning and transcriptomics platform. The increase in leasehold improvements from the prior year was primarily driven by the completion of the headquarters expansion. The construction in progress balance primarily related to lab equipment under construction.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p>
      <w:pPr>
        <w:spacing w:after="0" w:line="291"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20,433</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6,077</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Accrued construction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2,439</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received not invoiced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2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other expenses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r>
      <w:tr>
        <w:trPr>
          <w:trHeight w:val="248"/>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expense and other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46,635</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w:t>
            </w: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25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January 2023, the Company entered into a financing agreement for borrowing $1.9 million as part of the supercomputer upgrade project. The debt will be repaid over a three-year period at a 7% interest rate. As of December 31, 2023, the outstanding balance was $606 thousand.</w:t>
      </w:r>
    </w:p>
    <w:p>
      <w:pPr>
        <w:spacing w:after="0" w:line="198" w:lineRule="exact"/>
        <w:rPr>
          <w:sz w:val="20"/>
          <w:szCs w:val="20"/>
          <w:color w:val="auto"/>
        </w:rPr>
      </w:pPr>
    </w:p>
    <w:p>
      <w:pPr>
        <w:jc w:val="both"/>
        <w:ind w:right="400"/>
        <w:spacing w:after="0" w:line="287" w:lineRule="auto"/>
        <w:rPr>
          <w:sz w:val="20"/>
          <w:szCs w:val="20"/>
          <w:color w:val="auto"/>
        </w:rPr>
      </w:pPr>
      <w:r>
        <w:rPr>
          <w:rFonts w:ascii="Arial" w:cs="Arial" w:eastAsia="Arial" w:hAnsi="Arial"/>
          <w:sz w:val="18"/>
          <w:szCs w:val="18"/>
          <w:color w:val="auto"/>
        </w:rPr>
        <w:t>In 2018, the Company borrowed $992 thousand, which was available as part of a lease agreement for use on tenant improvements. The note will be repaid over a 10-year period at an 8% interest rate. As of December 31, 2023, the outstanding balance was $536 thousand.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19,116</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19,019</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years ended December 31, 2023 and 2022, interest income primarily related to earnings on cash and cash equivalents in money market funds. For the year ended December 31, 2021, interest expense primarily related to changes in fair value of Series A and B warrants. Interest income and expense were included in “Other income (loss), net” on the Consolidated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Discovery Inc.</w:t>
      </w:r>
    </w:p>
    <w:p>
      <w:pPr>
        <w:spacing w:after="0" w:line="23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On May 16, 2023, Recursion acquired all of the outstanding equity interests in Valence Discovery Inc. (Valence), a privately-held machine learning (ML) / artificial intelligence (AI) digital chemistry company. The integration of Valence’s AI-based chemistry engine into Recursion’s operating system will allow Recursion to expand its technology-enabled drug discovery process. This will accelerate Recursion’s digital chemistry capabilities and its drug discovery process.</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acquisition of Valence was accounted for as a business combination using the acquisition method of accounting. The aggregate upfront consideration for the acquisition of Valence consisted of 2.2 million shares of Recursion Class A common stock, 4.4 million shares of a subsidiary of Recursion, exchangeable for shares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Recursion’s Class A common stock, 792 thousand shares issuable upon exercise of stock options held by Valence equity award holders and deferred liabilities for additional consideration. An insignificant number of the aforementioned shares of consideration had not yet been issued as of December 31, 2023.The final number of shares to be issued has not yet been finalized and so are subject to change.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68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Fair value of Exchangeable stock</w:t>
            </w:r>
          </w:p>
        </w:tc>
        <w:tc>
          <w:tcPr>
            <w:tcW w:w="2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22,473</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Valance equity award holders</w:t>
            </w:r>
          </w:p>
        </w:tc>
        <w:tc>
          <w:tcPr>
            <w:tcW w:w="2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r>
      <w:tr>
        <w:trPr>
          <w:trHeight w:val="22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48"/>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68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r>
      <w:tr>
        <w:trPr>
          <w:trHeight w:val="20"/>
        </w:trPr>
        <w:tc>
          <w:tcPr>
            <w:tcW w:w="72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5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 technology</w:t>
            </w:r>
          </w:p>
        </w:tc>
        <w:tc>
          <w:tcPr>
            <w:tcW w:w="3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5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15,634</w:t>
            </w: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20,264</w:t>
            </w:r>
          </w:p>
        </w:tc>
      </w:t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35,898</w:t>
            </w: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intangible asset related to Valence’s ML and AI digital chemistry platform. The estimated fair value of the intangible asset was determined using a cost approach. This valuation technique provides the fair value of an asset based on estimates of the total costs to develop the technology. Significant inputs used to determine the total cost includes the length of time required, service hours performed by Company employees and the estimated obsolescence. The technology intangible asset is being amortized on a straight-line basis over its four-year useful life.</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Valence’s digital chemistry platform across Recursion’s business; (ii) leverage Valence’s ML and AI capabilities; (iii) integrate Recursion’s data and operating system into Valence’s platform; and (iv) accelerate Recursion’s pipeline. Goodwill was also impacted by the establishment of a deferred tax liability for the acquired identifiable intangible assets which have no tax basis. The goodwill is not deductible for tax purposes.</w:t>
      </w:r>
    </w:p>
    <w:p>
      <w:pPr>
        <w:spacing w:after="0" w:line="2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Recursion’s consolidated statement of operations for the year ended December 31, 2023 included no net revenue and a $6.8 million operating loss associated with Valence’s operations. As the acquisition occurred in May 2023, the Company is still finalizing the allocation of the purchase price to the individual assets acquired and liabilities assumed. The allocation of the purchase price included in the current period balance sheet is based on the best estimate of management and is preliminary and subject to change. The primary areas subject to change relate to the valuation of the intangible asset, other receivables and deferred taxes. To assist management in the allocation, the Company engaged external specialists. The Company will finalize the amounts recognized as the information necessary to complete the analysis is obtained. The Company expects to finalize these amounts as soon as possible but no later than one year from the acquisition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 Inc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25, 2023, Recursion acquired all of the outstanding equity interests in Cyclica Inc. (Cyclica), a privately-held Company that has built a digital chemistry software suite which enables mechanism of action deconvolution and generative chemistry suggestions based on desired targets. Cyclica’s platform is expected to enhance the optimization of Recursion’s compounds for efficacy while minimizing liabilities through generative machine learning approaches.</w:t>
      </w:r>
    </w:p>
    <w:p>
      <w:pPr>
        <w:spacing w:after="0" w:line="203"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acquisition of Cyclica was accounted for as a business combination using the acquisition method of accounting. The aggregate upfront consideration for the acquisition of Cyclica consisted of 5.8 million shares of Recursion Class A common stock, cash payments, 1.0 million shares issuable upon exercise of stock options held by Cyclica equity award holders and deferred liabilities for additional consideration.</w:t>
      </w:r>
    </w:p>
    <w:p>
      <w:pPr>
        <w:spacing w:after="0" w:line="1" w:lineRule="exact"/>
        <w:rPr>
          <w:sz w:val="20"/>
          <w:szCs w:val="20"/>
          <w:color w:val="auto"/>
        </w:rPr>
      </w:pPr>
    </w:p>
    <w:p>
      <w:pPr>
        <w:ind w:right="880"/>
        <w:spacing w:after="0" w:line="266" w:lineRule="auto"/>
        <w:rPr>
          <w:sz w:val="20"/>
          <w:szCs w:val="20"/>
          <w:color w:val="auto"/>
        </w:rPr>
      </w:pPr>
      <w:r>
        <w:rPr>
          <w:rFonts w:ascii="Arial" w:cs="Arial" w:eastAsia="Arial" w:hAnsi="Arial"/>
          <w:sz w:val="18"/>
          <w:szCs w:val="18"/>
          <w:color w:val="auto"/>
        </w:rPr>
        <w:t>Approximately 182 thousand of the aforementioned shares of Class A common stock consideration had not yet been issued as of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60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49,915</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Cash</w:t>
            </w:r>
          </w:p>
        </w:tc>
        <w:tc>
          <w:tcPr>
            <w:tcW w:w="2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Cyclica equity award holders</w:t>
            </w:r>
          </w:p>
        </w:tc>
        <w:tc>
          <w:tcPr>
            <w:tcW w:w="2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48"/>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60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60,617</w:t>
            </w:r>
          </w:p>
        </w:tc>
      </w:tr>
      <w:tr>
        <w:trPr>
          <w:trHeight w:val="20"/>
        </w:trPr>
        <w:tc>
          <w:tcPr>
            <w:tcW w:w="70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Intangible assets - technology</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Other liabilities, current</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3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4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29,627</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30,990</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60,617</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intangible assets are related to Cyclica’s digital chemistry platforms. The estimated fair value of the intangible assets were determined using a cost approach. This valuation technique provides the fair value of an asset based on estimates of the total costs to develop the technology. Significant inputs used to determine the total cost includes the length of time required, service hours performed by Company employees and the estimated obsolescence. The technology intangible assets are being amortized on a straight-line basis over their three-year useful lives.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Cyclica’s digital chemistry platform across Recursion’s business; (ii) leverage Cyclica’s ML and AI capabilities; (iii) integrate Recursion’s data and operating system into Cyclica’s platform; and (iv) accelerate Recursion’s pipeline. Goodwill was also impacted by the establishment of a deferred tax liability for the acquired identifiable intangible assets. The goodwill is not deductible for tax purposes.</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Recursion’s consolidated statement of operations for the year ended December 31, 2023 included immaterial net revenue and a $9.6 million operating loss associated with Cyclica’s operations. As the acquisition occurred in May 2023, the Company is still finalizing the allocation of the purchase price to the individual assets acquired and liabilities assumed. The allocation of the purchase price included in the current period balance sheet is based on the best estimate of management and is preliminary and subject to change. The primary areas subject to change relate to the valuation of the intangible assets, other receivables and deferred taxes. To assist management in the allocation, the Company engaged external specialists. The Company will finalize the amounts recognized as the information necessary to complete the analysis is obtained. The Company expects to finalize these amounts as soon as possible but no later than one year from the acquisition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presents the unaudited pro forma combined results of operations of Recursion, Valence and Cyclica as if the acquisitions had occurred on January 1, 2022:</w:t>
      </w:r>
    </w:p>
    <w:p>
      <w:pPr>
        <w:spacing w:after="0" w:line="220"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40,517</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(336,603)</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(273,889)</w:t>
            </w:r>
          </w:p>
        </w:tc>
      </w:tr>
    </w:tbl>
    <w:p>
      <w:pPr>
        <w:spacing w:after="0" w:line="3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unaudited pro forma financial information was prepared using the acquisition method of accounting and was based on the historical financial information of Recursion, Valence and Cyclica. In order to reflect the occurrence of the acquisitions on January 1, 2022 as required, the unaudited pro forma financial information includes adjustments to reflect the incremental amortization expense to be incurred based on the fair values of the identifiable intangible assets acquired, the additional stock compensation expense associated with the issuance of equity compensation related to the acquisitions and the reclassification of acquisition costs incurred during the year ended December 31, 2023 to the year ended December 31, 2022. The unaudited pro forma financial information is not necessarily indicative of what the consolidated results of operations would have been had the acquisitions been completed on January 1, 2022. In addition, the unaudited pro forma financial information is not a projection of the future results of operations of the combined company nor does it reflect the expected realization of any cost savings or synergies associated with the acquisitions.</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has entered into various long-term real estate leases primarily related to office, research and development and operating activities. The Company’s leases have remaining terms from under 1 to 9 years and some of those leases include options that provide Recursion with the ability to extend the lease term for five years. The options are included in the lease term when it is reasonably certain that the option will be exercised.</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year ended December 31, 2023, Recursion entered into lease modifications resulting in an increase to the right-of-use asset and lease liability of $3.4 million. The modifications had no impact to the Consolidated Statements of Operations. For the year ended December 31, 2022, Recursion entered into lease modifications resulting in a decrease to the right-of-use assets and lease liabilities of $2.7 million and $2.8 million, respectively. The modifications resulted in an insignificant impact to the Consolidated Statements of Operations.</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May 2022, the Company entered into a lease agreement for laboratory and office space in Toronto, Ontario with approximately 28,110 square feet (the “Toronto Lease”). This lease was separated into multiple lease components based on the intended use of the portions of the space. For some of those components, the right of use began May 2022 when the control of the assets was obtained. The right of use for the remaining component began in June 2023 when the control of the asset was obtained. The Toronto Lease terms for each component are ten years with a five-year renewal option. The Toronto Lease includes provisions for escalating rent payments and a tenant improvement allowance of up to $1.6 million. Total fixed payments are expected to be approximately $11.1 million with additional variable expenses, including building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Note 7, “Commitments and Contingencies” for information on the Industry lease.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lease cost are as follows:</w:t>
      </w:r>
    </w:p>
    <w:p>
      <w:pPr>
        <w:spacing w:after="0" w:line="293"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20" w:type="dxa"/>
            <w:vAlign w:val="bottom"/>
          </w:tcPr>
          <w:p>
            <w:pPr>
              <w:spacing w:after="0"/>
              <w:rPr>
                <w:sz w:val="19"/>
                <w:szCs w:val="19"/>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2,116</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9"/>
                <w:szCs w:val="19"/>
                <w:color w:val="auto"/>
              </w:rPr>
            </w:pPr>
          </w:p>
        </w:tc>
      </w:tr>
      <w:tr>
        <w:trPr>
          <w:trHeight w:val="229"/>
        </w:trPr>
        <w:tc>
          <w:tcPr>
            <w:tcW w:w="7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Lease cost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10,399</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20" w:type="dxa"/>
            <w:vAlign w:val="bottom"/>
          </w:tcPr>
          <w:p>
            <w:pPr>
              <w:spacing w:after="0"/>
              <w:rPr>
                <w:sz w:val="19"/>
                <w:szCs w:val="19"/>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1"/>
        </w:trPr>
        <w:tc>
          <w:tcPr>
            <w:tcW w:w="7900" w:type="dxa"/>
            <w:vAlign w:val="bottom"/>
            <w:gridSpan w:val="2"/>
          </w:tcPr>
          <w:p>
            <w:pPr>
              <w:spacing w:after="0"/>
              <w:rPr>
                <w:sz w:val="20"/>
                <w:szCs w:val="20"/>
                <w:color w:val="auto"/>
              </w:rPr>
            </w:pPr>
            <w:r>
              <w:rPr>
                <w:rFonts w:ascii="Arial" w:cs="Arial" w:eastAsia="Arial" w:hAnsi="Arial"/>
                <w:sz w:val="18"/>
                <w:szCs w:val="18"/>
                <w:color w:val="auto"/>
              </w:rPr>
              <w:t>Lease term and discount rates were: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7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Years ended December 31,</w:t>
            </w:r>
          </w:p>
        </w:tc>
        <w:tc>
          <w:tcPr>
            <w:tcW w:w="20" w:type="dxa"/>
            <w:vAlign w:val="bottom"/>
          </w:tcPr>
          <w:p>
            <w:pPr>
              <w:spacing w:after="0"/>
              <w:rPr>
                <w:sz w:val="24"/>
                <w:szCs w:val="24"/>
                <w:color w:val="auto"/>
              </w:rPr>
            </w:pPr>
          </w:p>
        </w:tc>
      </w:tr>
      <w:tr>
        <w:trPr>
          <w:trHeight w:val="223"/>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80" w:type="dxa"/>
            <w:vAlign w:val="bottom"/>
          </w:tcPr>
          <w:p>
            <w:pPr>
              <w:spacing w:after="0"/>
              <w:rPr>
                <w:sz w:val="19"/>
                <w:szCs w:val="19"/>
                <w:color w:val="auto"/>
              </w:rPr>
            </w:pPr>
          </w:p>
        </w:tc>
        <w:tc>
          <w:tcPr>
            <w:tcW w:w="1360" w:type="dxa"/>
            <w:vAlign w:val="bottom"/>
            <w:gridSpan w:val="2"/>
          </w:tcPr>
          <w:p>
            <w:pPr>
              <w:ind w:left="800"/>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229"/>
        </w:trPr>
        <w:tc>
          <w:tcPr>
            <w:tcW w:w="7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7.8 %</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20" w:type="dxa"/>
            <w:vAlign w:val="bottom"/>
          </w:tcPr>
          <w:p>
            <w:pPr>
              <w:spacing w:after="0"/>
              <w:rPr>
                <w:sz w:val="19"/>
                <w:szCs w:val="19"/>
                <w:color w:val="auto"/>
              </w:rPr>
            </w:pPr>
          </w:p>
        </w:tc>
      </w:tr>
      <w:tr>
        <w:trPr>
          <w:trHeight w:val="551"/>
        </w:trPr>
        <w:tc>
          <w:tcPr>
            <w:tcW w:w="790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December 31, 2023 were: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9"/>
        </w:trPr>
        <w:tc>
          <w:tcPr>
            <w:tcW w:w="7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Operating leases</w:t>
            </w:r>
          </w:p>
        </w:tc>
        <w:tc>
          <w:tcPr>
            <w:tcW w:w="20" w:type="dxa"/>
            <w:vAlign w:val="bottom"/>
          </w:tcPr>
          <w:p>
            <w:pPr>
              <w:spacing w:after="0"/>
              <w:rPr>
                <w:sz w:val="24"/>
                <w:szCs w:val="24"/>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20" w:type="dxa"/>
            <w:vAlign w:val="bottom"/>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10,399</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20" w:type="dxa"/>
            <w:vAlign w:val="bottom"/>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10,769</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20" w:type="dxa"/>
            <w:vAlign w:val="bottom"/>
          </w:tcPr>
          <w:p>
            <w:pPr>
              <w:spacing w:after="0"/>
              <w:rPr>
                <w:sz w:val="19"/>
                <w:szCs w:val="19"/>
                <w:color w:val="auto"/>
              </w:rPr>
            </w:pPr>
          </w:p>
        </w:tc>
      </w:tr>
      <w:tr>
        <w:trPr>
          <w:trHeight w:val="229"/>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17,014</w:t>
            </w:r>
          </w:p>
        </w:tc>
        <w:tc>
          <w:tcPr>
            <w:tcW w:w="20" w:type="dxa"/>
            <w:vAlign w:val="bottom"/>
          </w:tcPr>
          <w:p>
            <w:pPr>
              <w:spacing w:after="0"/>
              <w:rPr>
                <w:sz w:val="19"/>
                <w:szCs w:val="19"/>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66,164</w:t>
            </w:r>
          </w:p>
        </w:tc>
        <w:tc>
          <w:tcPr>
            <w:tcW w:w="20" w:type="dxa"/>
            <w:vAlign w:val="bottom"/>
          </w:tcPr>
          <w:p>
            <w:pPr>
              <w:spacing w:after="0"/>
              <w:rPr>
                <w:sz w:val="19"/>
                <w:szCs w:val="19"/>
                <w:color w:val="auto"/>
              </w:rPr>
            </w:pPr>
          </w:p>
        </w:tc>
      </w:tr>
      <w:tr>
        <w:trPr>
          <w:trHeight w:val="229"/>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(16,634)</w:t>
            </w:r>
          </w:p>
        </w:tc>
        <w:tc>
          <w:tcPr>
            <w:tcW w:w="20" w:type="dxa"/>
            <w:vAlign w:val="bottom"/>
          </w:tcPr>
          <w:p>
            <w:pPr>
              <w:spacing w:after="0"/>
              <w:rPr>
                <w:sz w:val="19"/>
                <w:szCs w:val="19"/>
                <w:color w:val="auto"/>
              </w:rPr>
            </w:pPr>
          </w:p>
        </w:tc>
      </w:tr>
      <w:tr>
        <w:trPr>
          <w:trHeight w:val="248"/>
        </w:trPr>
        <w:tc>
          <w:tcPr>
            <w:tcW w:w="7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49,530</w:t>
            </w:r>
          </w:p>
        </w:tc>
        <w:tc>
          <w:tcPr>
            <w:tcW w:w="20" w:type="dxa"/>
            <w:vAlign w:val="bottom"/>
          </w:tcPr>
          <w:p>
            <w:pPr>
              <w:spacing w:after="0"/>
              <w:rPr>
                <w:sz w:val="21"/>
                <w:szCs w:val="21"/>
                <w:color w:val="auto"/>
              </w:rPr>
            </w:pPr>
          </w:p>
        </w:tc>
      </w:tr>
      <w:tr>
        <w:trPr>
          <w:trHeight w:val="20"/>
        </w:trPr>
        <w:tc>
          <w:tcPr>
            <w:tcW w:w="790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7900" w:type="dxa"/>
            <w:vAlign w:val="bottom"/>
            <w:gridSpan w:val="2"/>
          </w:tcPr>
          <w:p>
            <w:pPr>
              <w:spacing w:after="0"/>
              <w:rPr>
                <w:sz w:val="20"/>
                <w:szCs w:val="20"/>
                <w:color w:val="auto"/>
              </w:rPr>
            </w:pPr>
            <w:r>
              <w:rPr>
                <w:rFonts w:ascii="Arial" w:cs="Arial" w:eastAsia="Arial" w:hAnsi="Arial"/>
                <w:sz w:val="18"/>
                <w:szCs w:val="18"/>
                <w:color w:val="auto"/>
              </w:rPr>
              <w:t>Total rent expense was $6.4 million during the year ended December 31, 2021.</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7"/>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Note 6.  Goodwill and Intangible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1"/>
        </w:trPr>
        <w:tc>
          <w:tcPr>
            <w:tcW w:w="790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the carrying amount of goodwill:</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 w:type="dxa"/>
            <w:vAlign w:val="bottom"/>
            <w:shd w:val="clear" w:color="auto" w:fill="CCEEFF"/>
          </w:tcPr>
          <w:p>
            <w:pPr>
              <w:spacing w:after="0"/>
              <w:rPr>
                <w:sz w:val="19"/>
                <w:szCs w:val="19"/>
                <w:color w:val="auto"/>
              </w:rPr>
            </w:pPr>
          </w:p>
        </w:tc>
      </w:tr>
      <w:tr>
        <w:trPr>
          <w:trHeight w:val="229"/>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Additions from acquisitions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51,255</w:t>
            </w:r>
          </w:p>
        </w:tc>
        <w:tc>
          <w:tcPr>
            <w:tcW w:w="20" w:type="dxa"/>
            <w:vAlign w:val="bottom"/>
            <w:tcBorders>
              <w:bottom w:val="single" w:sz="8" w:color="auto"/>
            </w:tcBorders>
          </w:tcPr>
          <w:p>
            <w:pPr>
              <w:spacing w:after="0"/>
              <w:rPr>
                <w:sz w:val="19"/>
                <w:szCs w:val="19"/>
                <w:color w:val="auto"/>
              </w:rPr>
            </w:pPr>
          </w:p>
        </w:tc>
      </w:tr>
      <w:tr>
        <w:trPr>
          <w:trHeight w:val="248"/>
        </w:trPr>
        <w:tc>
          <w:tcPr>
            <w:tcW w:w="7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52,056</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additions to goodwill relate to the acquisition of Cyclica and Valence during the year ended December 31, 2023. See Note 4, “Acquisitions” for additional details. There were no changes to the carrying amount of goodwill during the years ended December 31, 2022 and 2021. No goodwill impairment was recorded during the years ended December 31, 2023, 2022 and 2021.</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right"/>
              <w:ind w:right="137"/>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4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300" w:type="dxa"/>
            <w:vAlign w:val="bottom"/>
          </w:tcPr>
          <w:p>
            <w:pPr>
              <w:jc w:val="center"/>
              <w:ind w:right="117"/>
              <w:spacing w:after="0" w:line="14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7"/>
              <w:spacing w:after="0" w:line="147"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7"/>
        </w:trPr>
        <w:tc>
          <w:tcPr>
            <w:tcW w:w="24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Definite-lived intangible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44,426</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35,457</w:t>
            </w:r>
          </w:p>
        </w:tc>
        <w:tc>
          <w:tcPr>
            <w:tcW w:w="2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5"/>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Indefinite-lived intangible</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986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45,412</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36,443</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definite-lived intangible assets balance increased during the year ended December 31, 2023 due to the Company’s acquisitions. See Note 4, “Acquisitions” for additional details on the intangible assets acquired.</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Amortization expense was $8.5 million, $379 thousand and $304 thousand during the years ended December 31, 2023, 2022 and 2021, respectively. Amortization expense was included in “Research and Development” in the Consolidated Statements of Operations. Amortization expense for the definite-lived intangible assets will be recognized over approximately the next 2.8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for the definite-lived intangible assets recorded as of December 31, 2023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2027</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2028</w:t>
            </w:r>
          </w:p>
        </w:tc>
      </w:tr>
      <w:tr>
        <w:trPr>
          <w:trHeight w:val="223"/>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annual amortization expense</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319"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indefinite-lived intangible assets primarily represent the Recursion domain name that the Company purchased. No indefinite-lived intangible asset impairment charges were recorded during the years ended December 31, 2023, 2022 and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1E1E1E"/>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December 31, 2023 and December 31, 2022, as no amounts were probable.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1E1E1E"/>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1E1E1E"/>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8"/>
          <w:szCs w:val="18"/>
          <w:color w:val="1E1E1E"/>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1E1E1E"/>
        </w:rPr>
        <w:t>and/or non-conforming conditions with applicable building codes. On June 23, 2023, the landlord filed a lawsuit against the Company</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1E1E1E"/>
        </w:rPr>
        <w:t>(</w:t>
      </w:r>
      <w:r>
        <w:rPr>
          <w:rFonts w:ascii="Arial" w:cs="Arial" w:eastAsia="Arial" w:hAnsi="Arial"/>
          <w:sz w:val="18"/>
          <w:szCs w:val="18"/>
          <w:i w:val="1"/>
          <w:iCs w:val="1"/>
          <w:color w:val="1E1E1E"/>
        </w:rPr>
        <w:t>Industry Office SLC, LLC v. Recursion Pharmaceuticals, Inc.</w:t>
      </w:r>
      <w:r>
        <w:rPr>
          <w:rFonts w:ascii="Arial" w:cs="Arial" w:eastAsia="Arial" w:hAnsi="Arial"/>
          <w:sz w:val="18"/>
          <w:szCs w:val="18"/>
          <w:color w:val="1E1E1E"/>
        </w:rPr>
        <w:t xml:space="preserve">, Case No. 230904627) in the Third District Court for Salt Lake County, State of Utah (the Court), alleging anticipatory repudiation and breach of contract. The Plaintiff seeks monetary damages and attorney’s fees. In July 2023, the Company filed a motion to dismiss. In September 2023, Recursion was granted its motion to dismiss, and the Court provided the landlord until October 23, 2023, to amend and re-file the dismissed complaint. On October 23, 2023, the landlord filed an amended complaint again alleging anticipatory repudiation, breach of contract and breach of the implied covenant of good faith and fair dealing (the Amended Complaint), and seeks monetary damages and attorney’s fees. In November 2023, the Company filed a motion to dismiss the Amended Complaint. The Court set a hearing on the Company’s motion to dismiss on </w:t>
      </w:r>
      <w:r>
        <w:rPr>
          <w:rFonts w:ascii="Arial" w:cs="Arial" w:eastAsia="Arial" w:hAnsi="Arial"/>
          <w:sz w:val="18"/>
          <w:szCs w:val="18"/>
          <w:color w:val="000000"/>
        </w:rPr>
        <w:t>March 29, 2024</w:t>
      </w:r>
      <w:r>
        <w:rPr>
          <w:rFonts w:ascii="Arial" w:cs="Arial" w:eastAsia="Arial" w:hAnsi="Arial"/>
          <w:sz w:val="18"/>
          <w:szCs w:val="18"/>
          <w:color w:val="1E1E1E"/>
        </w:rPr>
        <w:t xml:space="preserve">. </w:t>
      </w:r>
      <w:r>
        <w:rPr>
          <w:rFonts w:ascii="Arial" w:cs="Arial" w:eastAsia="Arial" w:hAnsi="Arial"/>
          <w:sz w:val="18"/>
          <w:szCs w:val="18"/>
          <w:color w:val="000000"/>
        </w:rPr>
        <w:t>As of December 31, 2023</w:t>
      </w:r>
      <w:r>
        <w:rPr>
          <w:rFonts w:ascii="Arial" w:cs="Arial" w:eastAsia="Arial" w:hAnsi="Arial"/>
          <w:sz w:val="18"/>
          <w:szCs w:val="18"/>
          <w:color w:val="1E1E1E"/>
        </w:rPr>
        <w:t>, the Company had no liability recorded for these events as an unfavorable outcome was not probable.</w:t>
      </w:r>
    </w:p>
    <w:p>
      <w:pPr>
        <w:spacing w:after="0" w:line="228" w:lineRule="exact"/>
        <w:rPr>
          <w:sz w:val="20"/>
          <w:szCs w:val="20"/>
          <w:color w:val="auto"/>
        </w:rPr>
      </w:pPr>
    </w:p>
    <w:p>
      <w:pPr>
        <w:spacing w:after="0" w:line="279" w:lineRule="auto"/>
        <w:rPr>
          <w:sz w:val="20"/>
          <w:szCs w:val="20"/>
          <w:color w:val="auto"/>
        </w:rPr>
      </w:pPr>
      <w:r>
        <w:rPr>
          <w:rFonts w:ascii="Arial" w:cs="Arial" w:eastAsia="Arial" w:hAnsi="Arial"/>
          <w:sz w:val="18"/>
          <w:szCs w:val="18"/>
          <w:color w:val="1E1E1E"/>
        </w:rPr>
        <w:t xml:space="preserve">In connection with the Industry Lease,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On </w:t>
      </w:r>
      <w:r>
        <w:rPr>
          <w:rFonts w:ascii="Arial" w:cs="Arial" w:eastAsia="Arial" w:hAnsi="Arial"/>
          <w:sz w:val="18"/>
          <w:szCs w:val="18"/>
          <w:color w:val="000000"/>
        </w:rPr>
        <w:t>October 27,</w:t>
      </w:r>
      <w:r>
        <w:rPr>
          <w:rFonts w:ascii="Arial" w:cs="Arial" w:eastAsia="Arial" w:hAnsi="Arial"/>
          <w:sz w:val="18"/>
          <w:szCs w:val="18"/>
          <w:color w:val="1E1E1E"/>
        </w:rPr>
        <w:t xml:space="preserve"> </w:t>
      </w:r>
      <w:r>
        <w:rPr>
          <w:rFonts w:ascii="Arial" w:cs="Arial" w:eastAsia="Arial" w:hAnsi="Arial"/>
          <w:sz w:val="18"/>
          <w:szCs w:val="18"/>
          <w:color w:val="000000"/>
        </w:rPr>
        <w:t>2023</w:t>
      </w:r>
      <w:r>
        <w:rPr>
          <w:rFonts w:ascii="Arial" w:cs="Arial" w:eastAsia="Arial" w:hAnsi="Arial"/>
          <w:sz w:val="18"/>
          <w:szCs w:val="18"/>
          <w:color w:val="1E1E1E"/>
        </w:rPr>
        <w:t>, the Company filed a motion for partial judgment on the pleadings, seeking judgment on one of its four counterclaims. The Court set a</w:t>
      </w:r>
      <w:r>
        <w:rPr>
          <w:rFonts w:ascii="Arial" w:cs="Arial" w:eastAsia="Arial" w:hAnsi="Arial"/>
          <w:sz w:val="18"/>
          <w:szCs w:val="18"/>
          <w:color w:val="000000"/>
        </w:rPr>
        <w:t xml:space="preserve"> </w:t>
      </w:r>
      <w:r>
        <w:rPr>
          <w:rFonts w:ascii="Arial" w:cs="Arial" w:eastAsia="Arial" w:hAnsi="Arial"/>
          <w:sz w:val="18"/>
          <w:szCs w:val="18"/>
          <w:color w:val="1E1E1E"/>
        </w:rPr>
        <w:t xml:space="preserve">hearing on the Company’s motion for partial judgment on the pleadings on </w:t>
      </w:r>
      <w:r>
        <w:rPr>
          <w:rFonts w:ascii="Arial" w:cs="Arial" w:eastAsia="Arial" w:hAnsi="Arial"/>
          <w:sz w:val="18"/>
          <w:szCs w:val="18"/>
          <w:color w:val="000000"/>
        </w:rPr>
        <w:t>March 29, 2024</w:t>
      </w:r>
      <w:r>
        <w:rPr>
          <w:rFonts w:ascii="Arial" w:cs="Arial" w:eastAsia="Arial" w:hAnsi="Arial"/>
          <w:sz w:val="18"/>
          <w:szCs w:val="18"/>
          <w:color w:val="1E1E1E"/>
        </w:rPr>
        <w:t>.The Company is unable to estimate the possible amount or range of amounts associated with the Counterclaims.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December 31, 2023 and December 31, 2022,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At-The-Market Offering</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August 2023</w:t>
      </w:r>
      <w:r>
        <w:rPr>
          <w:rFonts w:ascii="Arial" w:cs="Arial" w:eastAsia="Arial" w:hAnsi="Arial"/>
          <w:sz w:val="18"/>
          <w:szCs w:val="18"/>
          <w:color w:val="auto"/>
        </w:rPr>
        <w:t>, the Company entered into an Open Market Sales Agreement (the “Sales Agreement”) with Jefferies LLC (the “Sales Agent”), to provide for the offering, issuance and sale of up to an aggregate amount of $300.0 million of its Class A common stock from time to time in “at-the-market (ATM)” offerings. As of December 31, 2023, an amount of $219.4 million remained available for future sales under the Sales Agreement. The Company has sold 12.0 million shares and received net proceeds of $78.2 million under the agreement as of December 31, 2023. Recursion is not required to sell additional shares under the Sales Agreement. The Company pays the Sales Agent a commission of up to 3% of the aggregate gross proceeds received from all sales of Class A common stock. The Sales Agreement continues until the earlier of selling all shares available under the Sales Agreement or terminated by written notice from either of the parties. The ATM Offering is being made under a prospectus supplement dated August 8, 2023, and related prospectus filed with the Securities and Exchange Commission pursuant to our automatically effective shelf registration statement on Form S-3ASR (Registration No. 333-264845).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NVIDIA Private Placement</w:t>
      </w:r>
    </w:p>
    <w:p>
      <w:pPr>
        <w:spacing w:after="0" w:line="25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July 2023, Recursion entered into a Stock Purchase Agreement for a private placement with NVIDIA Corporation (2023 Private Placement), pursuant to which the Company sold an aggregate of 7.7 million shares of the Company’s Class A common stock at a price of $6.49 per share for net proceeds of approximately $49.9 million</w:t>
      </w:r>
      <w:r>
        <w:rPr>
          <w:rFonts w:ascii="Arial" w:cs="Arial" w:eastAsia="Arial" w:hAnsi="Arial"/>
          <w:sz w:val="18"/>
          <w:szCs w:val="18"/>
          <w:color w:val="1E1E1E"/>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Valence Acquisition Exchangeable Shares</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May 2023, in connection with the acquisition of Valence, the Company entered into an agreement to issue up to 5.9 million shares of Class A common stock (the “Exchange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December 31, 2023, 3.6 million Exchangeable shares have been redeemed for Class A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2022 Private Placement</w:t>
      </w:r>
    </w:p>
    <w:p>
      <w:pPr>
        <w:spacing w:after="0" w:line="2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1E1E1E"/>
        </w:rPr>
        <w:t>In October 2022, Recursion issued 15.3 million shares of the Company’s Class A common stock at a purchase price of $ 9.80 per share in a private placement (the 2022 Private Placement) to qualified institutional buyers and institutional accredited investors (the Purchasers) for net proceeds of $143.7 million, after deducting fees and offering costs of $6.6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November 2023,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w:t>
      </w:r>
      <w:r>
        <w:rPr>
          <w:rFonts w:ascii="Arial" w:cs="Arial" w:eastAsia="Arial" w:hAnsi="Arial"/>
          <w:sz w:val="18"/>
          <w:szCs w:val="18"/>
          <w:color w:val="1E1E1E"/>
        </w:rPr>
        <w:t>December 2023</w:t>
      </w:r>
      <w:r>
        <w:rPr>
          <w:rFonts w:ascii="Arial" w:cs="Arial" w:eastAsia="Arial" w:hAnsi="Arial"/>
          <w:sz w:val="18"/>
          <w:szCs w:val="18"/>
          <w:color w:val="auto"/>
        </w:rPr>
        <w:t xml:space="preserve"> to register shares issued to Tempus for the initial license fee under the Tempus Agreement for resale.</w:t>
      </w:r>
    </w:p>
    <w:p>
      <w:pPr>
        <w:spacing w:after="0" w:line="19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NVIDIA Private Placement</w:t>
      </w:r>
    </w:p>
    <w:p>
      <w:pPr>
        <w:spacing w:after="0" w:line="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July 2023</w:t>
      </w:r>
      <w:r>
        <w:rPr>
          <w:rFonts w:ascii="Arial" w:cs="Arial" w:eastAsia="Arial" w:hAnsi="Arial"/>
          <w:sz w:val="18"/>
          <w:szCs w:val="18"/>
          <w:color w:val="auto"/>
        </w:rPr>
        <w:t xml:space="preserve">, in connection with the 2023 Private Placement with NVIDIA, the Company entered into a Registration Rights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August 2023</w:t>
      </w:r>
      <w:r>
        <w:rPr>
          <w:rFonts w:ascii="Arial" w:cs="Arial" w:eastAsia="Arial" w:hAnsi="Arial"/>
          <w:sz w:val="18"/>
          <w:szCs w:val="18"/>
          <w:color w:val="auto"/>
        </w:rPr>
        <w:t xml:space="preserve"> to register the resale of the shares of Class A common stock issued to NVIDIA. The Company has agreed to use commercially reasonable efforts to keep the registration statement continuously effective until such date that all registrable securities under the agreement have been sold. In the event the holders cannot sell their shares due to certain circumstances causing the registration statement to be ineffective, the Company must pay each holder of shares outstanding on the date and each month thereafter 1% of the aggregate purchase price with the maximum payable amount of 5% of the aggregate purchase price. As of December 31, 2023, there was no accrued liability related to this agreement, as it was not probable that a payment would be required.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shares for resale by the holders. The registration statement must remain effective for a period of not less than three years.</w:t>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xml:space="preserve">, in connection with the acquisition of Cyclica, the Company entered into a Registration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June 2023</w:t>
      </w:r>
      <w:r>
        <w:rPr>
          <w:rFonts w:ascii="Arial" w:cs="Arial" w:eastAsia="Arial" w:hAnsi="Arial"/>
          <w:sz w:val="18"/>
          <w:szCs w:val="18"/>
          <w:color w:val="auto"/>
        </w:rPr>
        <w:t xml:space="preserve"> to register the shares for resale by the holders. The registration statement must be continuously effective until the earlier of the date that all shares have been sold thereunder or are able to be publicly sold by relying on Rule 144 of the Securities Act without registration.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Private Placement</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1E1E1E"/>
        </w:rPr>
        <w:t>In October 2022, i</w:t>
      </w:r>
      <w:r>
        <w:rPr>
          <w:rFonts w:ascii="Arial" w:cs="Arial" w:eastAsia="Arial" w:hAnsi="Arial"/>
          <w:sz w:val="18"/>
          <w:szCs w:val="18"/>
          <w:color w:val="000000"/>
        </w:rPr>
        <w:t>n connection with the 2022 Private Placement, the Company entered into a Registration Rights Agreement providing for</w:t>
      </w:r>
      <w:r>
        <w:rPr>
          <w:rFonts w:ascii="Arial" w:cs="Arial" w:eastAsia="Arial" w:hAnsi="Arial"/>
          <w:sz w:val="18"/>
          <w:szCs w:val="18"/>
          <w:color w:val="1E1E1E"/>
        </w:rPr>
        <w:t xml:space="preserve"> </w:t>
      </w:r>
      <w:r>
        <w:rPr>
          <w:rFonts w:ascii="Arial" w:cs="Arial" w:eastAsia="Arial" w:hAnsi="Arial"/>
          <w:sz w:val="18"/>
          <w:szCs w:val="18"/>
          <w:color w:val="000000"/>
        </w:rPr>
        <w:t xml:space="preserve">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October 2022</w:t>
      </w:r>
      <w:r>
        <w:rPr>
          <w:rFonts w:ascii="Arial" w:cs="Arial" w:eastAsia="Arial" w:hAnsi="Arial"/>
          <w:sz w:val="18"/>
          <w:szCs w:val="18"/>
          <w:color w:val="000000"/>
        </w:rPr>
        <w:t xml:space="preserve"> to register the resale of the shares of Class A common stock by the Purchasers. The agreement must remain effective until registrable securities covered by the agreement have been publicly sold by the holders or all</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shares cease to be registrable securities. In the event the holders cannot sell their shares due to certain circumstances causing the agreement to be ineffective, the Company must pay each holder of shares outstanding on the date and each month thereafter 1% of the aggregate purchase price paid by the holder without limit until the agreement is cured. As of December 31, 2023, there was no accrued liability related to this agreement, as it was not probable that a payment would be required.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Initial Public Offering</w:t>
      </w:r>
    </w:p>
    <w:p>
      <w:pPr>
        <w:spacing w:after="0" w:line="25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1E1E1E"/>
        </w:rPr>
        <w:t xml:space="preserve">On April 20, 2021, the Company closed its </w:t>
      </w:r>
      <w:r>
        <w:rPr>
          <w:rFonts w:ascii="Arial" w:cs="Arial" w:eastAsia="Arial" w:hAnsi="Arial"/>
          <w:sz w:val="18"/>
          <w:szCs w:val="18"/>
          <w:color w:val="000000"/>
        </w:rPr>
        <w:t>initial public offering (IPO)</w:t>
      </w:r>
      <w:r>
        <w:rPr>
          <w:rFonts w:ascii="Arial" w:cs="Arial" w:eastAsia="Arial" w:hAnsi="Arial"/>
          <w:sz w:val="18"/>
          <w:szCs w:val="18"/>
          <w:color w:val="1E1E1E"/>
        </w:rPr>
        <w:t xml:space="preserve"> and issued 27.9 million shares of its Class A common stock at a price of $18.00 per share for net proceeds of $462.4 million, after deducting underwriting discounts and commissions of $35.1 million and other offering costs of $4.3 million.</w:t>
      </w:r>
    </w:p>
    <w:p>
      <w:pPr>
        <w:spacing w:after="0" w:line="19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 xml:space="preserve">Prior to the IPO, the Company had issued preferred stock as part of various financing events. In April 2021, all outstanding shares of convertible preferred stock converted into </w:t>
      </w:r>
      <w:r>
        <w:rPr>
          <w:rFonts w:ascii="Arial" w:cs="Arial" w:eastAsia="Arial" w:hAnsi="Arial"/>
          <w:sz w:val="18"/>
          <w:szCs w:val="18"/>
          <w:color w:val="1E1E1E"/>
        </w:rPr>
        <w:t>115.6 million shares of Class A</w:t>
      </w:r>
      <w:r>
        <w:rPr>
          <w:rFonts w:ascii="Arial" w:cs="Arial" w:eastAsia="Arial" w:hAnsi="Arial"/>
          <w:sz w:val="18"/>
          <w:szCs w:val="18"/>
          <w:color w:val="auto"/>
        </w:rPr>
        <w:t xml:space="preserve"> common stock as part of the IPO. </w:t>
      </w:r>
      <w:r>
        <w:rPr>
          <w:rFonts w:ascii="Arial" w:cs="Arial" w:eastAsia="Arial" w:hAnsi="Arial"/>
          <w:sz w:val="18"/>
          <w:szCs w:val="18"/>
          <w:color w:val="1E1E1E"/>
        </w:rPr>
        <w:t>There wa</w:t>
      </w:r>
      <w:r>
        <w:rPr>
          <w:rFonts w:ascii="Arial" w:cs="Arial" w:eastAsia="Arial" w:hAnsi="Arial"/>
          <w:sz w:val="18"/>
          <w:szCs w:val="18"/>
          <w:color w:val="auto"/>
        </w:rPr>
        <w:t xml:space="preserve">s no </w:t>
      </w:r>
      <w:r>
        <w:rPr>
          <w:rFonts w:ascii="Arial" w:cs="Arial" w:eastAsia="Arial" w:hAnsi="Arial"/>
          <w:sz w:val="18"/>
          <w:szCs w:val="18"/>
          <w:color w:val="1E1E1E"/>
        </w:rPr>
        <w:t>convertible</w:t>
      </w:r>
      <w:r>
        <w:rPr>
          <w:rFonts w:ascii="Arial" w:cs="Arial" w:eastAsia="Arial" w:hAnsi="Arial"/>
          <w:sz w:val="18"/>
          <w:szCs w:val="18"/>
          <w:color w:val="auto"/>
        </w:rPr>
        <w:t xml:space="preserve"> </w:t>
      </w:r>
      <w:r>
        <w:rPr>
          <w:rFonts w:ascii="Arial" w:cs="Arial" w:eastAsia="Arial" w:hAnsi="Arial"/>
          <w:sz w:val="18"/>
          <w:szCs w:val="18"/>
          <w:color w:val="1E1E1E"/>
        </w:rPr>
        <w:t xml:space="preserve">preferred stock outstanding as of </w:t>
      </w:r>
      <w:r>
        <w:rPr>
          <w:rFonts w:ascii="Arial" w:cs="Arial" w:eastAsia="Arial" w:hAnsi="Arial"/>
          <w:sz w:val="18"/>
          <w:szCs w:val="18"/>
          <w:color w:val="000000"/>
        </w:rPr>
        <w:t>December 31, 2023, 2022 and 2021. No convertible preferred stock was issued during the years ended</w:t>
      </w:r>
      <w:r>
        <w:rPr>
          <w:rFonts w:ascii="Arial" w:cs="Arial" w:eastAsia="Arial" w:hAnsi="Arial"/>
          <w:sz w:val="18"/>
          <w:szCs w:val="18"/>
          <w:color w:val="1E1E1E"/>
        </w:rPr>
        <w:t xml:space="preserve"> </w:t>
      </w:r>
      <w:r>
        <w:rPr>
          <w:rFonts w:ascii="Arial" w:cs="Arial" w:eastAsia="Arial" w:hAnsi="Arial"/>
          <w:sz w:val="18"/>
          <w:szCs w:val="18"/>
          <w:color w:val="000000"/>
        </w:rPr>
        <w:t>December 31, 2023, 2022 and 2021.</w:t>
      </w:r>
    </w:p>
    <w:p>
      <w:pPr>
        <w:spacing w:after="0" w:line="203"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Company’s convertible preferred stock was classified outside of stockholders’ equity on the Consolidated Balance Sheets because the holders of such shares had liquidation rights in the event of a deemed liquidation that, in certain situations, were not solely within the control of the Company and would require the redemption of the then-outstanding convertible preferred stock. The convertible preferred stock was not redeemable, except in the event of a deemed liquidation event.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 December 31, 2023, Dr. Gibson and his affiliates held outstanding shares of Class B common stock representing approximately 25%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December 31, 2023, Dr. Gibson and his affiliates would hold approximately 26%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Recursion is eligible for additional milestone payments based on performance progress of the collaboration. Each of the Phenomaps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requested by Roche and created by Recursion may be subject to either an initiation fee, acceptance fee or both. Such fees could exceed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million for 16 accepted Phenomaps. In addition, for a period of time after Roche’s acceptance of certain Phenomaps, Roche will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option to obtain, subject to payment of an exercise fee, rights to use outside the collaboration the raw images generated in the course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creating those Phenomaps. If Roche exercises its external use option for all 12 eligible Phenomaps, Roche’s associated exercise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to Recursion could exceed $250.0 million. Under the collaboration, Roche may initiate up to 40 programs, each of which,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successfully developed and commercialized, could yield more than $300.0 million in development, commercialization and net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milestones for Recursion, as well as tiered royalties on net revenue.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has determined the transaction price to be $150.0 million, for the initial performance obligations, comprised of the upfront payment. Recursion will fully constrain the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August 2020, the Company entered into a Research Collaboration and Option Agreement (the Bayer Agreement) with Bayer AG (Bayer) pursuant to which the Company and Bayer initiated research projects related to fibrosis across multiple organ systems, including the lung, liver and heart. Under the agreement, the Company contributed compounds from its proprietary library and Bayer contributed compounds from its proprietary library and contributed scientific expertise throughout the collaboration. The Company worked with Bayer to identify potential candidates for development. Under the agreement, Bayer had the first option for licenses to potential candidates.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October 2020, the Company received a $30.0 million non-refundable upfront payment. Each such license potentially could have resulted in option exercise fees and development and commercial milestone payments payable to the Company, with an aggregate value of up to approximately $100.0 million (for an option on a lead series) or up to approximately $120.0 million (for an option on a development candidate), as well as tiered royalties for each such license, ranging from low- to mid-single digit percentages of sales, depending on commercial success.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determined that it had one performance obligation under the agreement, which was to perform research and development services for Bayer. Recursion determined the transaction price to be $30.0 million, comprised of the upfront payment. The Company allocated the amount to the single performance obligation. The Company recognized revenue over time by measuring progress towards completion of the performance obligation. This method of recognizing revenue required the Company to make estimates of the total time to provide the services required under the performance obligation. For the year ended December 31, 2021, the costs of providing the services for this agreement were insignificant and were included within “Research and Development” in the Consolidated Statement of Operations. Recursion completed its performance obligation services in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Revenues from two customers exceeded 10% of total revenues and those two customers represent primarily all of Recursion’s operating revenue during the years ended December 31, 2023 and 2022. Revenues from one customer exceeded 10% of total revenues and that one customer represented all of Recursion’s operating revenue during the year ended December 31, 2021.</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 the revenue recognized during the year ended December 31, 2023, primarily all of it was included in the unearned revenue balance as of December 31, 2022. Of the revenue recognized during the year ended December 31, 2022, $10.0 million was included in the unearned revenue balance as of December 31, 2021. Revenue recognized was from upfront payments received at the inception of the related contracts, which decreased the initial unearned revenue recognized. As of December 31, 2023, the Company had $9.8 million of costs incurred to fulfill a contract on its Consolidated Balance Sheet within “Other current assets.”</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Unearned revenue was classified as short-term and long-term on the Consolidated Balance Sheets based on the Company’s estimate of revenue that will be recognized during the next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Under the 2021 Plan, 16.2 million shares of Class A common stock were reserved. Additionally, shares were reserved for all outstanding awards under the previous 2016 Plan. The Company may grant stock options, restricted stock units (RSUs), stock appreciation rights, restricted stock awards and other forms of stock-based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10.9 million shares of Class A common stock were available for grant.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21,992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10,065</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4,841</w:t>
            </w:r>
          </w:p>
        </w:tc>
      </w:tr>
      <w:tr>
        <w:trPr>
          <w:trHeight w:val="230"/>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w:t>
            </w:r>
          </w:p>
        </w:tc>
      </w:tr>
      <w:tr>
        <w:trPr>
          <w:trHeight w:val="223"/>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51,679</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26,872</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13,830</w:t>
            </w:r>
          </w:p>
        </w:tc>
      </w:tr>
      <w:tr>
        <w:trPr>
          <w:trHeight w:val="21"/>
        </w:trPr>
        <w:tc>
          <w:tcPr>
            <w:tcW w:w="6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 Stock option activity during the year ended December 31, 2023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7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ind w:left="379"/>
              <w:spacing w:after="0" w:line="149" w:lineRule="exact"/>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 Life</w:t>
            </w:r>
          </w:p>
        </w:tc>
        <w:tc>
          <w:tcPr>
            <w:tcW w:w="26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5"/>
        </w:trPr>
        <w:tc>
          <w:tcPr>
            <w:tcW w:w="432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Price</w:t>
            </w: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16,154,924</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5,083,268</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6.23</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(1,460,517)</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(4,820,058)</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14,957,617</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December 31, 2023</w:t>
            </w: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9,844,841</w:t>
            </w:r>
          </w:p>
        </w:tc>
        <w:tc>
          <w:tcPr>
            <w:tcW w:w="1100" w:type="dxa"/>
            <w:vAlign w:val="bottom"/>
            <w:tcBorders>
              <w:bottom w:val="single" w:sz="8" w:color="auto"/>
            </w:tcBorders>
          </w:tcPr>
          <w:p>
            <w:pPr>
              <w:jc w:val="right"/>
              <w:ind w:right="899"/>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5.07</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59,144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years ended December 31, 2023, 2022 and 2021 were $5.64, $6.57 and $7.66,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5.8</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right"/>
              <w:ind w:right="990"/>
              <w:spacing w:after="0"/>
              <w:rPr>
                <w:sz w:val="20"/>
                <w:szCs w:val="20"/>
                <w:color w:val="auto"/>
              </w:rPr>
            </w:pPr>
            <w:r>
              <w:rPr>
                <w:rFonts w:ascii="Arial" w:cs="Arial" w:eastAsia="Arial" w:hAnsi="Arial"/>
                <w:sz w:val="18"/>
                <w:szCs w:val="18"/>
                <w:color w:val="auto"/>
              </w:rPr>
              <w:t>66 %</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63 %</w:t>
            </w:r>
          </w:p>
        </w:tc>
        <w:tc>
          <w:tcPr>
            <w:tcW w:w="132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6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3.6 %</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1.9 %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bl>
    <w:p>
      <w:pPr>
        <w:spacing w:after="0" w:line="319"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As of December 31, 2023, $32.6 million of unrecognized compensation cost related to stock options is expected to be recognized as expense over approximately the next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year ended December 31,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2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6,894,525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14,332,216</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(3,385,863)</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(2,617,114)</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15,223,764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The fair market value of RSUs vested was $26.9 million during the year ended December 31, 2023. As of December 31, 2023, $ 119.5 million of unrecognized compensation cost related to RSUs is expected to be recognized as expense over approximately the next three years.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defined contribution benefit plans for its eligible employees. The plans generally allows employees to make contributions up to a specified percentage of their compensation. The Company generally contributes up to 4% of employee base salary, by matching 100% of the first 4% of annual base salary contributed by each employee. Additionally, the Company generally contributes a certain amount to the defined contribution plans for employees that worked at the Company during the year. Employer expenses were $3.8 million, $3.6 million and $2.1 million during the years ended December 31, 2023, 2022 and 2021,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 components (all deferred):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49"/>
        </w:trPr>
        <w:tc>
          <w:tcPr>
            <w:tcW w:w="6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5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(47,138)</w:t>
            </w:r>
          </w:p>
        </w:tc>
      </w:tr>
      <w:tr>
        <w:trPr>
          <w:trHeight w:val="252"/>
        </w:trPr>
        <w:tc>
          <w:tcPr>
            <w:tcW w:w="6620" w:type="dxa"/>
            <w:vAlign w:val="bottom"/>
          </w:tcPr>
          <w:p>
            <w:pPr>
              <w:ind w:left="2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(54,634)</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(3,188)</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6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52"/>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137,843</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64,884</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46,603</w:t>
            </w:r>
          </w:p>
        </w:tc>
      </w:tr>
      <w:tr>
        <w:trPr>
          <w:trHeight w:val="275"/>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tax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Company’s effective tax rate of 1% during the year ended December 31, 2023 and 0% during the years ended December 31, 2022 and 2021 differs from the statutory U.S. federal rate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37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160" w:type="dxa"/>
            <w:vAlign w:val="bottom"/>
            <w:tcBorders>
              <w:bottom w:val="single" w:sz="8" w:color="auto"/>
            </w:tcBorders>
          </w:tcPr>
          <w:p>
            <w:pPr>
              <w:spacing w:after="0"/>
              <w:rPr>
                <w:sz w:val="20"/>
                <w:szCs w:val="20"/>
                <w:color w:val="auto"/>
              </w:rPr>
            </w:pPr>
          </w:p>
        </w:tc>
      </w:tr>
      <w:tr>
        <w:trPr>
          <w:trHeight w:val="249"/>
        </w:trPr>
        <w:tc>
          <w:tcPr>
            <w:tcW w:w="6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18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5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1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21.0 %</w:t>
            </w:r>
          </w:p>
        </w:tc>
        <w:tc>
          <w:tcPr>
            <w:tcW w:w="1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21.0 %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52"/>
        </w:trPr>
        <w:tc>
          <w:tcPr>
            <w:tcW w:w="6340" w:type="dxa"/>
            <w:vAlign w:val="bottom"/>
          </w:tcPr>
          <w:p>
            <w:pPr>
              <w:ind w:left="20"/>
              <w:spacing w:after="0"/>
              <w:rPr>
                <w:sz w:val="20"/>
                <w:szCs w:val="20"/>
                <w:color w:val="auto"/>
              </w:rPr>
            </w:pPr>
            <w:r>
              <w:rPr>
                <w:rFonts w:ascii="Arial" w:cs="Arial" w:eastAsia="Arial" w:hAnsi="Arial"/>
                <w:sz w:val="18"/>
                <w:szCs w:val="18"/>
                <w:color w:val="auto"/>
              </w:rPr>
              <w:t>R&amp;D credit generation</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3.1 %</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3.7 %</w:t>
            </w:r>
          </w:p>
        </w:tc>
        <w:tc>
          <w:tcPr>
            <w:tcW w:w="11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Orphan drug credit generation</w:t>
            </w:r>
          </w:p>
        </w:tc>
        <w:tc>
          <w:tcPr>
            <w:tcW w:w="1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2.1 %</w:t>
            </w:r>
          </w:p>
        </w:tc>
        <w:tc>
          <w:tcPr>
            <w:tcW w:w="1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52"/>
        </w:trPr>
        <w:tc>
          <w:tcPr>
            <w:tcW w:w="634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16.4 %</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1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0.8 %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52"/>
        </w:trPr>
        <w:tc>
          <w:tcPr>
            <w:tcW w:w="634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(0.8)%</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(0.3)%</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6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1.0 %</w:t>
            </w:r>
          </w:p>
        </w:tc>
        <w:tc>
          <w:tcPr>
            <w:tcW w:w="1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(41.5)%</w:t>
            </w:r>
          </w:p>
        </w:tc>
        <w:tc>
          <w:tcPr>
            <w:tcW w:w="1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(25.5)%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80"/>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9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1.2 %</w:t>
            </w:r>
          </w:p>
        </w:tc>
        <w:tc>
          <w:tcPr>
            <w:tcW w:w="18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deferred tax assets and liabilities were as follows:</w:t>
      </w:r>
    </w:p>
    <w:p>
      <w:pPr>
        <w:spacing w:after="0" w:line="63"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26035</wp:posOffset>
            </wp:positionV>
            <wp:extent cx="19545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2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2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117,877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89,951</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capitalization</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105,503</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2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50,293</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30,965</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13,208</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11,442</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and accruals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5,080</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 lived intangibles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5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5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320,197</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178,708</w:t>
            </w:r>
          </w:p>
        </w:tc>
      </w:tr>
      <w:tr>
        <w:trPr>
          <w:trHeight w:val="25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w:t>
            </w:r>
          </w:p>
        </w:tc>
        <w:tc>
          <w:tcPr>
            <w:tcW w:w="2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(304,618)</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(166,775)</w:t>
            </w:r>
          </w:p>
        </w:tc>
      </w:tr>
      <w:tr>
        <w:trPr>
          <w:trHeight w:val="25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27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w:t>
            </w:r>
          </w:p>
        </w:tc>
      </w:tr>
      <w:tr>
        <w:trPr>
          <w:trHeight w:val="254"/>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Definite lived intangibles</w:t>
            </w:r>
          </w:p>
        </w:tc>
        <w:tc>
          <w:tcPr>
            <w:tcW w:w="2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(5,272)</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Depreciable assets</w:t>
            </w:r>
          </w:p>
        </w:tc>
        <w:tc>
          <w:tcPr>
            <w:tcW w:w="27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25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2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(11,933)</w:t>
            </w:r>
          </w:p>
        </w:tc>
      </w:tr>
      <w:tr>
        <w:trPr>
          <w:trHeight w:val="275"/>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2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Significant judgment is required in determining the Company’s provision for income taxes, recording valuation allowances against deferred tax assets and evaluating the Company’s uncertain tax positions. Due to net losses since inception and the uncertainty of realizing the deferred tax assets, the Company has a full valuation allowance against all entities in a net deferred tax asset position. To the extent that the Company generates positive income and expects, with reasonable certainty, to continue to generate positive income, the Company may release all, or a portion of, the valuation allowance in a future period. This release would result in the recognition of all, or a portion of, the Company’s deferred tax assets, resulting in a decrease to income tax expense for the period such release is made. As of December 31, 2023 and 2022, the Company’s valuation allowance was $304.6 million and $166.8 million, respectively, which increased by approximately $137.8 million and $64.7 million during the years ended December 31, 2023 and 2022, respectively.</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have occurred previously or that could occur in the future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is conducting a study to assess whether a change of ownership has occurred or whether there have been multiple ownership changes since inception. If the Company has experienced a change of ownership,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1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December 31, 2023 and 2022, the Company had federal NOL carryforwards of $412.0 million and $414.4 million, respectively, available to reduce taxable income, of which $18.6 million expire beginning 2036 and $393.4 million do not expire. The Company had state NOL carryforwards of $398.6 million and $61.5 million as of</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December 31, 2023 and 2022, respectively, available to reduce future state taxable income, of which $334.0 million expire beginning 2031 and $64.6 million do not expire. The Company had foreign NOL carryforwards of $19.5 million as of December 31, 2023, available to reduce future foreign taxable income, which expire beginning in 2032.</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2023, the Company also had federal and state research and development credit carryforwards of $30.3 million and $6.9 million respectively. As of December 31, 2022, the Company had federal and state research and development credit carryforwards of $21.3 million and $5.6 million, respectively. The federal research and development credit carryforwards expire beginning in 2036 and the state credit carryforwards expire beginning in 2030. The Company also had federal Orphan Drug credits of $17.9 million and $6.8 million as of December 31, 2023 and 2022, respectively, which will begin expiring in 2039.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Reserves for uncertain tax positions against the credit carryforwards were as follows:</w:t>
      </w:r>
    </w:p>
    <w:p>
      <w:pPr>
        <w:spacing w:after="0" w:line="306"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26035</wp:posOffset>
            </wp:positionV>
            <wp:extent cx="19716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2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Increases for positions taken in current year</w:t>
            </w:r>
          </w:p>
        </w:tc>
        <w:tc>
          <w:tcPr>
            <w:tcW w:w="2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1,726</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57"/>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Increase for positions taken in prior year</w:t>
            </w:r>
          </w:p>
        </w:tc>
        <w:tc>
          <w:tcPr>
            <w:tcW w:w="26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the end of the period</w:t>
            </w:r>
          </w:p>
        </w:tc>
        <w:tc>
          <w:tcPr>
            <w:tcW w:w="2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r>
      <w:tr>
        <w:trPr>
          <w:trHeight w:val="25"/>
        </w:trPr>
        <w:tc>
          <w:tcPr>
            <w:tcW w:w="58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It is the Company’s policy to include penalties and interest expense related to income taxes as a component of Other income (loss), net as necessary.</w:t>
      </w:r>
    </w:p>
    <w:p>
      <w:pPr>
        <w:spacing w:after="0" w:line="20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Company files income tax returns in the United States, Canada, United Kingdom, Utah, California and Massachusetts. The Company is not currently under examination in any of these jurisdictions. The Company is subject to income tax examinations on all federal returns since the 2016 tax return.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13. Net Loss Per Share</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years ended December 31, 2023, 2022 and 2021, Recursion calculated net loss per share of Class A, Class B and Exchangeable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For the years ended December 31, 2023, 2022 and 2021, the Company reported a net loss and therefore basic and diluted loss per share were the same.</w:t>
      </w: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Exchangeable common stock and the Exchangeable common shares are identical, except with respect to voting. As a result, the undistributed earnings for each period are allocated based on the contractual participation rights of the Class A and Class B common stock and the Exchangeable common shares as if the earnings for the period had been distributed. As the liquidation and dividend rights are identical, the undistributed earnings are allocated on a proportionate basis and the resulting amount per share for Class A, Class B and Exchangeable common stock was the same during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 during 2023,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Pr>
          <w:p>
            <w:pPr>
              <w:spacing w:after="0"/>
              <w:rPr>
                <w:sz w:val="21"/>
                <w:szCs w:val="21"/>
                <w:color w:val="auto"/>
              </w:rPr>
            </w:pPr>
          </w:p>
        </w:tc>
      </w:tr>
      <w:tr>
        <w:trPr>
          <w:trHeight w:val="28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w:t>
            </w:r>
            <w:r>
              <w:rPr>
                <w:rFonts w:ascii="Arial" w:cs="Arial" w:eastAsia="Arial" w:hAnsi="Arial"/>
                <w:sz w:val="14"/>
                <w:szCs w:val="14"/>
                <w:b w:val="1"/>
                <w:bCs w:val="1"/>
                <w:color w:val="1E1E1E"/>
              </w:rPr>
              <w:t>except share amounts</w:t>
            </w:r>
            <w:r>
              <w:rPr>
                <w:rFonts w:ascii="Arial" w:cs="Arial" w:eastAsia="Arial" w:hAnsi="Arial"/>
                <w:sz w:val="14"/>
                <w:szCs w:val="14"/>
                <w:b w:val="1"/>
                <w:bCs w:val="1"/>
                <w:color w:val="auto"/>
              </w:rPr>
              <w:t>)</w:t>
            </w:r>
          </w:p>
        </w:tc>
        <w:tc>
          <w:tcPr>
            <w:tcW w:w="1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(328,066)</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(239,476)</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(186,479)</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1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207,853,702</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175,537,487</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125,348,110</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1E1E1E"/>
        </w:rPr>
        <w:t>The Company excluded the following potential common shares from the computation of diluted net loss per share for the periods indicated because including them would have had an anti-dilutive effect: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40" w:type="dxa"/>
            <w:vAlign w:val="bottom"/>
          </w:tcPr>
          <w:p>
            <w:pPr>
              <w:spacing w:after="0"/>
              <w:rPr>
                <w:sz w:val="21"/>
                <w:szCs w:val="21"/>
                <w:color w:val="auto"/>
              </w:rPr>
            </w:pPr>
          </w:p>
        </w:tc>
        <w:tc>
          <w:tcPr>
            <w:tcW w:w="5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1360" w:type="dxa"/>
            <w:vAlign w:val="bottom"/>
          </w:tcPr>
          <w:p>
            <w:pPr>
              <w:spacing w:after="0"/>
              <w:rPr>
                <w:sz w:val="21"/>
                <w:szCs w:val="21"/>
                <w:color w:val="auto"/>
              </w:rPr>
            </w:pPr>
          </w:p>
        </w:tc>
      </w:tr>
      <w:tr>
        <w:trPr>
          <w:trHeight w:val="244"/>
        </w:trPr>
        <w:tc>
          <w:tcPr>
            <w:tcW w:w="43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2023</w:t>
            </w:r>
          </w:p>
        </w:tc>
        <w:tc>
          <w:tcPr>
            <w:tcW w:w="196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3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9,848,141</w:t>
            </w:r>
          </w:p>
        </w:tc>
        <w:tc>
          <w:tcPr>
            <w:tcW w:w="1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10,966,651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15,381,210</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Tempus agreement</w:t>
            </w:r>
          </w:p>
        </w:tc>
        <w:tc>
          <w:tcPr>
            <w:tcW w:w="3580" w:type="dxa"/>
            <w:vAlign w:val="bottom"/>
          </w:tcPr>
          <w:p>
            <w:pPr>
              <w:jc w:val="right"/>
              <w:ind w:right="310"/>
              <w:spacing w:after="0"/>
              <w:rPr>
                <w:sz w:val="20"/>
                <w:szCs w:val="20"/>
                <w:color w:val="auto"/>
              </w:rPr>
            </w:pPr>
            <w:r>
              <w:rPr>
                <w:rFonts w:ascii="Arial" w:cs="Arial" w:eastAsia="Arial" w:hAnsi="Arial"/>
                <w:sz w:val="18"/>
                <w:szCs w:val="18"/>
                <w:color w:val="auto"/>
              </w:rPr>
              <w:t>1,073,834</w:t>
            </w:r>
          </w:p>
        </w:tc>
        <w:tc>
          <w:tcPr>
            <w:tcW w:w="19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3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34,615,890</w:t>
            </w:r>
          </w:p>
        </w:tc>
      </w:tr>
      <w:tr>
        <w:trPr>
          <w:trHeight w:val="229"/>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Warrants</w:t>
            </w:r>
          </w:p>
        </w:tc>
        <w:tc>
          <w:tcPr>
            <w:tcW w:w="3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151,745</w:t>
            </w:r>
          </w:p>
        </w:tc>
      </w:tr>
      <w:tr>
        <w:trPr>
          <w:trHeight w:val="248"/>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10,921,975</w:t>
            </w:r>
          </w:p>
        </w:tc>
        <w:tc>
          <w:tcPr>
            <w:tcW w:w="19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10,966,651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50,148,845</w:t>
            </w: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8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322,653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322,653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ind w:left="800"/>
              <w:spacing w:after="0"/>
              <w:rPr>
                <w:sz w:val="20"/>
                <w:szCs w:val="20"/>
                <w:color w:val="auto"/>
              </w:rPr>
            </w:pPr>
            <w:r>
              <w:rPr>
                <w:rFonts w:ascii="Arial" w:cs="Arial" w:eastAsia="Arial" w:hAnsi="Arial"/>
                <w:sz w:val="18"/>
                <w:szCs w:val="18"/>
                <w:color w:val="auto"/>
              </w:rPr>
              <w:t>— $</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332,513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332,513</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8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404,613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404,613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ind w:left="800"/>
              <w:spacing w:after="0"/>
              <w:rPr>
                <w:sz w:val="20"/>
                <w:szCs w:val="20"/>
                <w:color w:val="auto"/>
              </w:rPr>
            </w:pPr>
            <w:r>
              <w:rPr>
                <w:rFonts w:ascii="Arial" w:cs="Arial" w:eastAsia="Arial" w:hAnsi="Arial"/>
                <w:sz w:val="18"/>
                <w:szCs w:val="18"/>
                <w:color w:val="auto"/>
              </w:rPr>
              <w:t>— $</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413,813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413,813</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4"/>
          </w:tcPr>
          <w:p>
            <w:pPr>
              <w:ind w:left="1300"/>
              <w:spacing w:after="0"/>
              <w:rPr>
                <w:sz w:val="20"/>
                <w:szCs w:val="20"/>
                <w:color w:val="auto"/>
              </w:rPr>
            </w:pPr>
            <w:r>
              <w:rPr>
                <w:rFonts w:ascii="Arial" w:cs="Arial" w:eastAsia="Arial" w:hAnsi="Arial"/>
                <w:sz w:val="16"/>
                <w:szCs w:val="16"/>
                <w:b w:val="1"/>
                <w:bCs w:val="1"/>
                <w:color w:val="auto"/>
              </w:rPr>
              <w:t>Book values</w:t>
            </w:r>
          </w:p>
        </w:tc>
        <w:tc>
          <w:tcPr>
            <w:tcW w:w="200" w:type="dxa"/>
            <w:vAlign w:val="bottom"/>
          </w:tcPr>
          <w:p>
            <w:pPr>
              <w:spacing w:after="0"/>
              <w:rPr>
                <w:sz w:val="18"/>
                <w:szCs w:val="18"/>
                <w:color w:val="auto"/>
              </w:rPr>
            </w:pPr>
          </w:p>
        </w:tc>
        <w:tc>
          <w:tcPr>
            <w:tcW w:w="376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r>
      <w:tr>
        <w:trPr>
          <w:trHeight w:val="20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2022</w:t>
            </w: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 of current portion</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January 2024, the Company entered into a lease agreement for office space with approximately 6,792 square feet (the “London Lease”). The London Lease term is five years. The lease includes provisions for escalating rent payments. Total fixed lease payments are expected to be approximately $7.9 million, additionally there will be variable expenses including building services charges related to the lease.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2023, our disclosure controls and procedures were ineffective due to the material weakness in internal controls related to our revenue and unearned revenue process described below. Notwithstanding this material weakness, management concluded that the consolidated financial statements included in this report present fairly, in all material respects, our financial condition, results of operations and cash flows for the periods covered by this report and our external auditors have issued an unqualified opinion on our consolidated financial statements of and for the year ended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(U.S. GAAP).</w:t>
      </w:r>
    </w:p>
    <w:p>
      <w:pPr>
        <w:spacing w:after="0" w:line="20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may deteriorate.</w:t>
      </w:r>
    </w:p>
    <w:p>
      <w:pPr>
        <w:spacing w:after="0" w:line="18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Management performed an assessment of the effectiveness of our internal control over financial reporting as of December 31, 2023. In making this assessment, management used the framework in Internal Control-Integrated Framework (2013) issued by the Committee of</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Sponsoring Organizations of the Treadway Commission. We have excluded from our evaluation of the effectiveness of our internal control over financial reporting the companies acquired in 2023, which are included in the December 31, 2023 consolidated financial statements. Total assets, total liabilities and total net loss were approximately 14%, 3% and 4% of Recursion’s Consolidated Financial Statements for the year ended December 31, 2023, respectively. Based on that assessment under the framework in Internal Control-Integrated Framework</w:t>
      </w:r>
    </w:p>
    <w:p>
      <w:pPr>
        <w:ind w:right="320"/>
        <w:spacing w:after="0" w:line="228" w:lineRule="auto"/>
        <w:rPr>
          <w:sz w:val="20"/>
          <w:szCs w:val="20"/>
          <w:color w:val="auto"/>
        </w:rPr>
      </w:pPr>
      <w:r>
        <w:rPr>
          <w:rFonts w:ascii="Arial" w:cs="Arial" w:eastAsia="Arial" w:hAnsi="Arial"/>
          <w:sz w:val="18"/>
          <w:szCs w:val="18"/>
          <w:color w:val="auto"/>
        </w:rPr>
        <w:t>(2013), management identified a material weakness in internal control over financial reporting related to the operating effectiveness of management review controls over the estimated costs and time to completion and controls to validate the completeness and accuracy of information produced by the entity (“IPE”) used to calculate revenue and unearned revenue related to its license agreement as of December 31, 2023. This resulted in no revisions to our previously-reported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audited the effectiveness of our internal controls over financial reporting as of December 31, 2023 and has issued an adverse report thereon as stated in their report which is included herein in Part II Item 8, “Financial Statements and Supplementary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w:t>
      </w:r>
    </w:p>
    <w:p>
      <w:pPr>
        <w:spacing w:after="0" w:line="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discussed above, the material weakness related to the ineffective controls related to the revenue and unearned revenue process was identified in connection with the audit of our financial statements for the year ended December 31, 2023. We will take comprehensive actions to remediate the material weakness in internal control over financial reporting. We are in the process of identifying all issues contributing to this material weakness and developing a remediation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December 31, 2023, management is in the process of integrating the internal controls of the acquired businesses into Recursion's existing operations as part of planned integration activities. There were no other changes in financial reporting (as defined in Rules 13a-15(f) and 15d-15(f) under the Exchange Act) that occurred during the year ended December 31, 2023 that has materially affected, or is reasonably likely to materially affect, our internal control over financial reporting, other than the identification of the material weakness discussed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December 27, 2023, Christopher Gibson, Chief Executive Officer and a member of our Board of Directors, adopted a Rule 10b5-1 trading arrangement that is intended to satisfy the affirmative defense of Rule 10b5-1(c) for the sale of up to 620,015 shares of the Company’s Class A common stock until March 6,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05" w:name="page206"/>
    <w:bookmarkEnd w:id="205"/>
    <w:p>
      <w:pPr>
        <w:ind w:left="528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 pursuant.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public accounting firm is Ernst &amp; Young LLP, Salt Lake City, Utah, PCAOB Auditor ID 00042.</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15. Exhibits and Financial Statement Schedules.</w:t>
      </w:r>
    </w:p>
    <w:p>
      <w:pPr>
        <w:spacing w:after="0" w:line="234"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Documents filed as part of this Form 10-K.</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Financial Statements: See Item 8, “Financial Statements and Supplementary Data” for a list of financial statements.</w:t>
      </w:r>
    </w:p>
    <w:p>
      <w:pPr>
        <w:spacing w:after="0" w:line="252" w:lineRule="exact"/>
        <w:rPr>
          <w:rFonts w:ascii="Arial" w:cs="Arial" w:eastAsia="Arial" w:hAnsi="Arial"/>
          <w:sz w:val="18"/>
          <w:szCs w:val="18"/>
          <w:color w:val="auto"/>
        </w:rPr>
      </w:pPr>
    </w:p>
    <w:p>
      <w:pPr>
        <w:ind w:left="340" w:right="580" w:hanging="8"/>
        <w:spacing w:after="0" w:line="287" w:lineRule="auto"/>
        <w:tabs>
          <w:tab w:leader="none" w:pos="61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Financial Statement Schedules: All schedules omitted are inapplicable or the information required is shown in the consolidated financial statements or notes thereto.</w:t>
      </w:r>
    </w:p>
    <w:p>
      <w:pPr>
        <w:spacing w:after="0" w:line="179" w:lineRule="exact"/>
        <w:rPr>
          <w:rFonts w:ascii="Arial" w:cs="Arial" w:eastAsia="Arial" w:hAnsi="Arial"/>
          <w:sz w:val="18"/>
          <w:szCs w:val="18"/>
          <w:color w:val="auto"/>
        </w:rPr>
      </w:pPr>
    </w:p>
    <w:p>
      <w:pPr>
        <w:ind w:left="600" w:hanging="268"/>
        <w:spacing w:after="0"/>
        <w:tabs>
          <w:tab w:leader="none" w:pos="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Exhibits Required by Item 601 of Regulation S-K: The information called for by this paragraph is set forth in Item 15(b) below.</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101"/>
        </w:numPr>
        <w:rPr>
          <w:rFonts w:ascii="Arial" w:cs="Arial" w:eastAsia="Arial" w:hAnsi="Arial"/>
          <w:sz w:val="18"/>
          <w:szCs w:val="18"/>
          <w:color w:val="1E1E1E"/>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Incorporated by Reference</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23"/>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File No.</w:t>
            </w:r>
          </w:p>
        </w:tc>
        <w:tc>
          <w:tcPr>
            <w:tcW w:w="760" w:type="dxa"/>
            <w:vAlign w:val="bottom"/>
            <w:vMerge w:val="continue"/>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3"/>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4780" w:type="dxa"/>
            <w:vAlign w:val="bottom"/>
            <w:gridSpan w:val="32"/>
          </w:tcPr>
          <w:p>
            <w:pPr>
              <w:spacing w:after="0" w:line="169" w:lineRule="exact"/>
              <w:rPr>
                <w:rFonts w:ascii="Arial" w:cs="Arial" w:eastAsia="Arial" w:hAnsi="Arial"/>
                <w:sz w:val="16"/>
                <w:szCs w:val="16"/>
                <w:color w:val="0000FF"/>
              </w:rPr>
            </w:pPr>
            <w:hyperlink r:id="rId333">
              <w:r>
                <w:rPr>
                  <w:rFonts w:ascii="Arial" w:cs="Arial" w:eastAsia="Arial" w:hAnsi="Arial"/>
                  <w:sz w:val="16"/>
                  <w:szCs w:val="16"/>
                  <w:color w:val="0000FF"/>
                </w:rPr>
                <w:t>Amended and Restated Certificate of Incorporation of Recursion</w:t>
              </w:r>
            </w:hyperlink>
          </w:p>
        </w:tc>
        <w:tc>
          <w:tcPr>
            <w:tcW w:w="820" w:type="dxa"/>
            <w:vAlign w:val="bottom"/>
          </w:tcPr>
          <w:p>
            <w:pPr>
              <w:jc w:val="center"/>
              <w:spacing w:after="0" w:line="169" w:lineRule="exact"/>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line="169" w:lineRule="exact"/>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600" w:type="dxa"/>
            <w:vAlign w:val="bottom"/>
          </w:tcPr>
          <w:p>
            <w:pPr>
              <w:jc w:val="center"/>
              <w:spacing w:after="0" w:line="169" w:lineRule="exact"/>
              <w:rPr>
                <w:sz w:val="20"/>
                <w:szCs w:val="20"/>
                <w:color w:val="auto"/>
              </w:rPr>
            </w:pPr>
            <w:r>
              <w:rPr>
                <w:rFonts w:ascii="Arial" w:cs="Arial" w:eastAsia="Arial" w:hAnsi="Arial"/>
                <w:sz w:val="16"/>
                <w:szCs w:val="16"/>
                <w:color w:val="auto"/>
              </w:rPr>
              <w:t>April 21, 2021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5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333">
              <w:r>
                <w:rPr>
                  <w:rFonts w:ascii="Arial" w:cs="Arial" w:eastAsia="Arial" w:hAnsi="Arial"/>
                  <w:sz w:val="16"/>
                  <w:szCs w:val="16"/>
                  <w:color w:val="0000FF"/>
                </w:rPr>
                <w:t>Pharmaceuticals, Inc.</w:t>
              </w:r>
            </w:hyperlink>
          </w:p>
        </w:tc>
        <w:tc>
          <w:tcPr>
            <w:tcW w:w="306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780" w:type="dxa"/>
            <w:vAlign w:val="bottom"/>
            <w:gridSpan w:val="32"/>
          </w:tcPr>
          <w:p>
            <w:pPr>
              <w:spacing w:after="0"/>
              <w:rPr>
                <w:rFonts w:ascii="Arial" w:cs="Arial" w:eastAsia="Arial" w:hAnsi="Arial"/>
                <w:sz w:val="16"/>
                <w:szCs w:val="16"/>
                <w:color w:val="0000FF"/>
              </w:rPr>
            </w:pPr>
            <w:hyperlink r:id="rId334">
              <w:r>
                <w:rPr>
                  <w:rFonts w:ascii="Arial" w:cs="Arial" w:eastAsia="Arial" w:hAnsi="Arial"/>
                  <w:sz w:val="16"/>
                  <w:szCs w:val="16"/>
                  <w:color w:val="0000FF"/>
                </w:rPr>
                <w:t>Amended and Restated Bylaws of Recursion Pharmaceuticals,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60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5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334">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440" w:type="dxa"/>
            <w:vAlign w:val="bottom"/>
            <w:tcBorders>
              <w:bottom w:val="single" w:sz="8" w:color="0000FF"/>
            </w:tcBorders>
            <w:gridSpan w:val="19"/>
          </w:tcPr>
          <w:p>
            <w:pPr>
              <w:spacing w:after="0"/>
              <w:rPr>
                <w:rFonts w:ascii="Arial" w:cs="Arial" w:eastAsia="Arial" w:hAnsi="Arial"/>
                <w:sz w:val="16"/>
                <w:szCs w:val="16"/>
                <w:color w:val="0000FF"/>
              </w:rPr>
            </w:pPr>
            <w:hyperlink r:id="rId335">
              <w:r>
                <w:rPr>
                  <w:rFonts w:ascii="Arial" w:cs="Arial" w:eastAsia="Arial" w:hAnsi="Arial"/>
                  <w:sz w:val="16"/>
                  <w:szCs w:val="16"/>
                  <w:color w:val="0000FF"/>
                </w:rPr>
                <w:t>Specimen Class A common stock certificate of the Registrant.</w:t>
              </w:r>
            </w:hyperlink>
          </w:p>
        </w:tc>
        <w:tc>
          <w:tcPr>
            <w:tcW w:w="340" w:type="dxa"/>
            <w:vAlign w:val="bottom"/>
            <w:gridSpan w:val="13"/>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8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Description of Securities.</w:t>
            </w:r>
          </w:p>
        </w:tc>
        <w:tc>
          <w:tcPr>
            <w:tcW w:w="298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440" w:type="dxa"/>
            <w:vAlign w:val="bottom"/>
            <w:tcBorders>
              <w:bottom w:val="single" w:sz="8" w:color="0000FF"/>
            </w:tcBorders>
            <w:gridSpan w:val="19"/>
          </w:tcPr>
          <w:p>
            <w:pPr>
              <w:spacing w:after="0"/>
              <w:rPr>
                <w:rFonts w:ascii="Arial" w:cs="Arial" w:eastAsia="Arial" w:hAnsi="Arial"/>
                <w:sz w:val="16"/>
                <w:szCs w:val="16"/>
                <w:color w:val="0000FF"/>
              </w:rPr>
            </w:pPr>
            <w:hyperlink r:id="rId336">
              <w:r>
                <w:rPr>
                  <w:rFonts w:ascii="Arial" w:cs="Arial" w:eastAsia="Arial" w:hAnsi="Arial"/>
                  <w:sz w:val="16"/>
                  <w:szCs w:val="16"/>
                  <w:color w:val="0000FF"/>
                </w:rPr>
                <w:t>Exchangeable Share Support Agreement, dated May 8, 2023.</w:t>
              </w:r>
            </w:hyperlink>
          </w:p>
        </w:tc>
        <w:tc>
          <w:tcPr>
            <w:tcW w:w="340" w:type="dxa"/>
            <w:vAlign w:val="bottom"/>
            <w:gridSpan w:val="13"/>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S-3ASR</w:t>
            </w:r>
          </w:p>
        </w:tc>
        <w:tc>
          <w:tcPr>
            <w:tcW w:w="124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0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780" w:type="dxa"/>
            <w:vAlign w:val="bottom"/>
            <w:gridSpan w:val="32"/>
          </w:tcPr>
          <w:p>
            <w:pPr>
              <w:spacing w:after="0"/>
              <w:rPr>
                <w:rFonts w:ascii="Arial" w:cs="Arial" w:eastAsia="Arial" w:hAnsi="Arial"/>
                <w:sz w:val="16"/>
                <w:szCs w:val="16"/>
                <w:color w:val="0000FF"/>
              </w:rPr>
            </w:pPr>
            <w:hyperlink r:id="rId337">
              <w:r>
                <w:rPr>
                  <w:rFonts w:ascii="Arial" w:cs="Arial" w:eastAsia="Arial" w:hAnsi="Arial"/>
                  <w:sz w:val="16"/>
                  <w:szCs w:val="16"/>
                  <w:color w:val="0000FF"/>
                </w:rPr>
                <w:t>Registration Rights Agreement, dated October 24, 2022,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Oct. 25, 2022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337">
              <w:r>
                <w:rPr>
                  <w:rFonts w:ascii="Arial" w:cs="Arial" w:eastAsia="Arial" w:hAnsi="Arial"/>
                  <w:sz w:val="16"/>
                  <w:szCs w:val="16"/>
                  <w:color w:val="0000FF"/>
                </w:rPr>
                <w:t>among the Company and the Purchasers.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780" w:type="dxa"/>
            <w:vAlign w:val="bottom"/>
            <w:gridSpan w:val="32"/>
          </w:tcPr>
          <w:p>
            <w:pPr>
              <w:spacing w:after="0"/>
              <w:rPr>
                <w:rFonts w:ascii="Arial" w:cs="Arial" w:eastAsia="Arial" w:hAnsi="Arial"/>
                <w:sz w:val="16"/>
                <w:szCs w:val="16"/>
                <w:color w:val="0000FF"/>
              </w:rPr>
            </w:pPr>
            <w:hyperlink r:id="rId338">
              <w:r>
                <w:rPr>
                  <w:rFonts w:ascii="Arial" w:cs="Arial" w:eastAsia="Arial" w:hAnsi="Arial"/>
                  <w:sz w:val="16"/>
                  <w:szCs w:val="16"/>
                  <w:color w:val="0000FF"/>
                </w:rPr>
                <w:t>Registration Agreement, dated May 16, 2023, by and among the</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S-3ASR</w:t>
            </w:r>
          </w:p>
        </w:tc>
        <w:tc>
          <w:tcPr>
            <w:tcW w:w="124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60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338">
              <w:r>
                <w:rPr>
                  <w:rFonts w:ascii="Arial" w:cs="Arial" w:eastAsia="Arial" w:hAnsi="Arial"/>
                  <w:sz w:val="16"/>
                  <w:szCs w:val="16"/>
                  <w:color w:val="0000FF"/>
                </w:rPr>
                <w:t>Registrant, Valence Discovery, Inc., and certain shareholders of</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6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9"/>
              </w:rPr>
            </w:pPr>
            <w:hyperlink r:id="rId338">
              <w:r>
                <w:rPr>
                  <w:rFonts w:ascii="Arial" w:cs="Arial" w:eastAsia="Arial" w:hAnsi="Arial"/>
                  <w:sz w:val="16"/>
                  <w:szCs w:val="16"/>
                  <w:color w:val="0000FF"/>
                  <w:w w:val="99"/>
                </w:rPr>
                <w:t>Valence Discovery, Inc.</w:t>
              </w:r>
            </w:hyperlink>
          </w:p>
        </w:tc>
        <w:tc>
          <w:tcPr>
            <w:tcW w:w="28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4780" w:type="dxa"/>
            <w:vAlign w:val="bottom"/>
            <w:gridSpan w:val="32"/>
          </w:tcPr>
          <w:p>
            <w:pPr>
              <w:spacing w:after="0"/>
              <w:rPr>
                <w:rFonts w:ascii="Arial" w:cs="Arial" w:eastAsia="Arial" w:hAnsi="Arial"/>
                <w:sz w:val="16"/>
                <w:szCs w:val="16"/>
                <w:color w:val="0000FF"/>
              </w:rPr>
            </w:pPr>
            <w:hyperlink r:id="rId339">
              <w:r>
                <w:rPr>
                  <w:rFonts w:ascii="Arial" w:cs="Arial" w:eastAsia="Arial" w:hAnsi="Arial"/>
                  <w:sz w:val="16"/>
                  <w:szCs w:val="16"/>
                  <w:color w:val="0000FF"/>
                </w:rPr>
                <w:t>Registration Agreement, dated May 25, 2023, by and among the</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0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339">
              <w:r>
                <w:rPr>
                  <w:rFonts w:ascii="Arial" w:cs="Arial" w:eastAsia="Arial" w:hAnsi="Arial"/>
                  <w:sz w:val="16"/>
                  <w:szCs w:val="16"/>
                  <w:color w:val="0000FF"/>
                </w:rPr>
                <w:t>Registrant, Recursion Canada Inc., and certain shareholders of</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339">
              <w:r>
                <w:rPr>
                  <w:rFonts w:ascii="Arial" w:cs="Arial" w:eastAsia="Arial" w:hAnsi="Arial"/>
                  <w:sz w:val="16"/>
                  <w:szCs w:val="16"/>
                  <w:color w:val="0000FF"/>
                </w:rPr>
                <w:t>Cyclica Inc.</w:t>
              </w:r>
            </w:hyperlink>
          </w:p>
        </w:tc>
        <w:tc>
          <w:tcPr>
            <w:tcW w:w="3700" w:type="dxa"/>
            <w:vAlign w:val="bottom"/>
            <w:tcBorders>
              <w:top w:val="single" w:sz="8" w:color="0000FF"/>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4780" w:type="dxa"/>
            <w:vAlign w:val="bottom"/>
            <w:gridSpan w:val="32"/>
          </w:tcPr>
          <w:p>
            <w:pPr>
              <w:spacing w:after="0"/>
              <w:rPr>
                <w:rFonts w:ascii="Arial" w:cs="Arial" w:eastAsia="Arial" w:hAnsi="Arial"/>
                <w:sz w:val="16"/>
                <w:szCs w:val="16"/>
                <w:color w:val="0000FF"/>
              </w:rPr>
            </w:pPr>
            <w:hyperlink r:id="rId340">
              <w:r>
                <w:rPr>
                  <w:rFonts w:ascii="Arial" w:cs="Arial" w:eastAsia="Arial" w:hAnsi="Arial"/>
                  <w:sz w:val="16"/>
                  <w:szCs w:val="16"/>
                  <w:color w:val="0000FF"/>
                </w:rPr>
                <w:t>Registration Rights Agreement, dated July 11, 2023,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0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340">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4780" w:type="dxa"/>
            <w:vAlign w:val="bottom"/>
            <w:gridSpan w:val="32"/>
          </w:tcPr>
          <w:p>
            <w:pPr>
              <w:spacing w:after="0"/>
              <w:rPr>
                <w:rFonts w:ascii="Arial" w:cs="Arial" w:eastAsia="Arial" w:hAnsi="Arial"/>
                <w:sz w:val="16"/>
                <w:szCs w:val="16"/>
                <w:color w:val="0000FF"/>
              </w:rPr>
            </w:pPr>
            <w:hyperlink r:id="rId341">
              <w:r>
                <w:rPr>
                  <w:rFonts w:ascii="Arial" w:cs="Arial" w:eastAsia="Arial" w:hAnsi="Arial"/>
                  <w:sz w:val="16"/>
                  <w:szCs w:val="16"/>
                  <w:color w:val="0000FF"/>
                </w:rPr>
                <w:t>Form of Indemnification Agreement between the Registrant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5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341">
              <w:r>
                <w:rPr>
                  <w:rFonts w:ascii="Arial" w:cs="Arial" w:eastAsia="Arial" w:hAnsi="Arial"/>
                  <w:sz w:val="16"/>
                  <w:szCs w:val="16"/>
                  <w:color w:val="0000FF"/>
                </w:rPr>
                <w:t>each of its directors and executive officers.</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10.2+</w:t>
            </w:r>
          </w:p>
        </w:tc>
        <w:tc>
          <w:tcPr>
            <w:tcW w:w="4780" w:type="dxa"/>
            <w:vAlign w:val="bottom"/>
            <w:gridSpan w:val="32"/>
          </w:tcPr>
          <w:p>
            <w:pPr>
              <w:spacing w:after="0"/>
              <w:rPr>
                <w:rFonts w:ascii="Arial" w:cs="Arial" w:eastAsia="Arial" w:hAnsi="Arial"/>
                <w:sz w:val="16"/>
                <w:szCs w:val="16"/>
                <w:color w:val="0000FF"/>
              </w:rPr>
            </w:pPr>
            <w:hyperlink r:id="rId342">
              <w:r>
                <w:rPr>
                  <w:rFonts w:ascii="Arial" w:cs="Arial" w:eastAsia="Arial" w:hAnsi="Arial"/>
                  <w:sz w:val="16"/>
                  <w:szCs w:val="16"/>
                  <w:color w:val="0000FF"/>
                </w:rPr>
                <w:t>2016 Equity Incentive Plan, as amended, and forms of agreement</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72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342">
              <w:r>
                <w:rPr>
                  <w:rFonts w:ascii="Arial" w:cs="Arial" w:eastAsia="Arial" w:hAnsi="Arial"/>
                  <w:sz w:val="16"/>
                  <w:szCs w:val="16"/>
                  <w:color w:val="0000FF"/>
                </w:rPr>
                <w:t>thereunder.</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10.3+</w:t>
            </w:r>
          </w:p>
        </w:tc>
        <w:tc>
          <w:tcPr>
            <w:tcW w:w="4660" w:type="dxa"/>
            <w:vAlign w:val="bottom"/>
            <w:tcBorders>
              <w:bottom w:val="single" w:sz="8" w:color="0000FF"/>
            </w:tcBorders>
            <w:gridSpan w:val="28"/>
          </w:tcPr>
          <w:p>
            <w:pPr>
              <w:spacing w:after="0"/>
              <w:rPr>
                <w:rFonts w:ascii="Arial" w:cs="Arial" w:eastAsia="Arial" w:hAnsi="Arial"/>
                <w:sz w:val="16"/>
                <w:szCs w:val="16"/>
                <w:color w:val="0000FF"/>
              </w:rPr>
            </w:pPr>
            <w:hyperlink r:id="rId343">
              <w:r>
                <w:rPr>
                  <w:rFonts w:ascii="Arial" w:cs="Arial" w:eastAsia="Arial" w:hAnsi="Arial"/>
                  <w:sz w:val="16"/>
                  <w:szCs w:val="16"/>
                  <w:color w:val="0000FF"/>
                </w:rPr>
                <w:t>2021 Equity Incentive Plan and forms of agreements thereunder.</w:t>
              </w:r>
            </w:hyperlink>
          </w:p>
        </w:tc>
        <w:tc>
          <w:tcPr>
            <w:tcW w:w="120" w:type="dxa"/>
            <w:vAlign w:val="bottom"/>
            <w:gridSpan w:val="4"/>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600" w:type="dxa"/>
            <w:vAlign w:val="bottom"/>
          </w:tcPr>
          <w:p>
            <w:pPr>
              <w:jc w:val="center"/>
              <w:spacing w:after="0"/>
              <w:rPr>
                <w:sz w:val="20"/>
                <w:szCs w:val="20"/>
                <w:color w:val="auto"/>
              </w:rPr>
            </w:pPr>
            <w:r>
              <w:rPr>
                <w:rFonts w:ascii="Arial" w:cs="Arial" w:eastAsia="Arial" w:hAnsi="Arial"/>
                <w:sz w:val="16"/>
                <w:szCs w:val="16"/>
                <w:color w:val="auto"/>
              </w:rPr>
              <w:t>February 27, 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10.4+</w:t>
            </w:r>
          </w:p>
        </w:tc>
        <w:tc>
          <w:tcPr>
            <w:tcW w:w="4780" w:type="dxa"/>
            <w:vAlign w:val="bottom"/>
            <w:gridSpan w:val="32"/>
          </w:tcPr>
          <w:p>
            <w:pPr>
              <w:spacing w:after="0"/>
              <w:rPr>
                <w:rFonts w:ascii="Arial" w:cs="Arial" w:eastAsia="Arial" w:hAnsi="Arial"/>
                <w:sz w:val="16"/>
                <w:szCs w:val="16"/>
                <w:color w:val="0000FF"/>
              </w:rPr>
            </w:pPr>
            <w:hyperlink r:id="rId344">
              <w:r>
                <w:rPr>
                  <w:rFonts w:ascii="Arial" w:cs="Arial" w:eastAsia="Arial" w:hAnsi="Arial"/>
                  <w:sz w:val="16"/>
                  <w:szCs w:val="16"/>
                  <w:color w:val="0000FF"/>
                </w:rPr>
                <w:t>2021 Employee Stock Purchase Plan and forms of agreements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5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344">
              <w:r>
                <w:rPr>
                  <w:rFonts w:ascii="Arial" w:cs="Arial" w:eastAsia="Arial" w:hAnsi="Arial"/>
                  <w:sz w:val="16"/>
                  <w:szCs w:val="16"/>
                  <w:color w:val="0000FF"/>
                </w:rPr>
                <w:t>thereunder.</w:t>
              </w:r>
            </w:hyperlink>
          </w:p>
        </w:tc>
        <w:tc>
          <w:tcPr>
            <w:tcW w:w="14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4580" w:type="dxa"/>
            <w:vAlign w:val="bottom"/>
            <w:tcBorders>
              <w:bottom w:val="single" w:sz="8" w:color="0000FF"/>
            </w:tcBorders>
            <w:gridSpan w:val="24"/>
          </w:tcPr>
          <w:p>
            <w:pPr>
              <w:spacing w:after="0"/>
              <w:rPr>
                <w:rFonts w:ascii="Arial" w:cs="Arial" w:eastAsia="Arial" w:hAnsi="Arial"/>
                <w:sz w:val="16"/>
                <w:szCs w:val="16"/>
                <w:color w:val="0000FF"/>
              </w:rPr>
            </w:pPr>
            <w:hyperlink r:id="rId345">
              <w:r>
                <w:rPr>
                  <w:rFonts w:ascii="Arial" w:cs="Arial" w:eastAsia="Arial" w:hAnsi="Arial"/>
                  <w:sz w:val="16"/>
                  <w:szCs w:val="16"/>
                  <w:color w:val="0000FF"/>
                </w:rPr>
                <w:t>Cyclica Inc. Second Amended and Restated Stock Option Plan.</w:t>
              </w:r>
            </w:hyperlink>
          </w:p>
        </w:tc>
        <w:tc>
          <w:tcPr>
            <w:tcW w:w="200" w:type="dxa"/>
            <w:vAlign w:val="bottom"/>
            <w:gridSpan w:val="8"/>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S-8</w:t>
            </w:r>
          </w:p>
        </w:tc>
        <w:tc>
          <w:tcPr>
            <w:tcW w:w="1240" w:type="dxa"/>
            <w:vAlign w:val="bottom"/>
          </w:tcPr>
          <w:p>
            <w:pPr>
              <w:jc w:val="right"/>
              <w:ind w:right="180"/>
              <w:spacing w:after="0"/>
              <w:rPr>
                <w:sz w:val="20"/>
                <w:szCs w:val="20"/>
                <w:color w:val="auto"/>
              </w:rPr>
            </w:pPr>
            <w:r>
              <w:rPr>
                <w:rFonts w:ascii="Arial" w:cs="Arial" w:eastAsia="Arial" w:hAnsi="Arial"/>
                <w:sz w:val="16"/>
                <w:szCs w:val="16"/>
                <w:color w:val="auto"/>
              </w:rPr>
              <w:t>333-272282</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60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4780" w:type="dxa"/>
            <w:vAlign w:val="bottom"/>
            <w:gridSpan w:val="32"/>
          </w:tcPr>
          <w:p>
            <w:pPr>
              <w:spacing w:after="0"/>
              <w:rPr>
                <w:rFonts w:ascii="Arial" w:cs="Arial" w:eastAsia="Arial" w:hAnsi="Arial"/>
                <w:sz w:val="16"/>
                <w:szCs w:val="16"/>
                <w:color w:val="0000FF"/>
              </w:rPr>
            </w:pPr>
            <w:hyperlink r:id="rId346">
              <w:r>
                <w:rPr>
                  <w:rFonts w:ascii="Arial" w:cs="Arial" w:eastAsia="Arial" w:hAnsi="Arial"/>
                  <w:sz w:val="16"/>
                  <w:szCs w:val="16"/>
                  <w:color w:val="0000FF"/>
                </w:rPr>
                <w:t>Valence Discovery Inc. Stock Option Plan dated April 17, 2018 as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6"/>
              </w:rPr>
              <w:t>S-8</w:t>
            </w:r>
          </w:p>
        </w:tc>
        <w:tc>
          <w:tcPr>
            <w:tcW w:w="1240" w:type="dxa"/>
            <w:vAlign w:val="bottom"/>
          </w:tcPr>
          <w:p>
            <w:pPr>
              <w:jc w:val="center"/>
              <w:spacing w:after="0"/>
              <w:rPr>
                <w:sz w:val="20"/>
                <w:szCs w:val="20"/>
                <w:color w:val="auto"/>
              </w:rPr>
            </w:pPr>
            <w:r>
              <w:rPr>
                <w:rFonts w:ascii="Arial" w:cs="Arial" w:eastAsia="Arial" w:hAnsi="Arial"/>
                <w:sz w:val="16"/>
                <w:szCs w:val="16"/>
                <w:color w:val="auto"/>
              </w:rPr>
              <w:t>333-272027</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600" w:type="dxa"/>
            <w:vAlign w:val="bottom"/>
          </w:tcPr>
          <w:p>
            <w:pPr>
              <w:jc w:val="center"/>
              <w:spacing w:after="0"/>
              <w:rPr>
                <w:sz w:val="20"/>
                <w:szCs w:val="20"/>
                <w:color w:val="auto"/>
              </w:rPr>
            </w:pPr>
            <w:r>
              <w:rPr>
                <w:rFonts w:ascii="Arial" w:cs="Arial" w:eastAsia="Arial" w:hAnsi="Arial"/>
                <w:sz w:val="16"/>
                <w:szCs w:val="16"/>
                <w:color w:val="auto"/>
              </w:rPr>
              <w:t>May 18, 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7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346">
              <w:r>
                <w:rPr>
                  <w:rFonts w:ascii="Arial" w:cs="Arial" w:eastAsia="Arial" w:hAnsi="Arial"/>
                  <w:sz w:val="16"/>
                  <w:szCs w:val="16"/>
                  <w:color w:val="0000FF"/>
                </w:rPr>
                <w:t>amended and restated on November 16, 2021.</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3360" w:type="dxa"/>
            <w:vAlign w:val="bottom"/>
            <w:tcBorders>
              <w:top w:val="single" w:sz="8" w:color="0000FF"/>
            </w:tcBorders>
            <w:gridSpan w:val="16"/>
          </w:tcPr>
          <w:p>
            <w:pPr>
              <w:spacing w:after="0"/>
              <w:rPr>
                <w:rFonts w:ascii="Arial" w:cs="Arial" w:eastAsia="Arial" w:hAnsi="Arial"/>
                <w:sz w:val="16"/>
                <w:szCs w:val="16"/>
                <w:color w:val="0000FF"/>
              </w:rPr>
            </w:pPr>
            <w:hyperlink r:id="rId347">
              <w:r>
                <w:rPr>
                  <w:rFonts w:ascii="Arial" w:cs="Arial" w:eastAsia="Arial" w:hAnsi="Arial"/>
                  <w:sz w:val="16"/>
                  <w:szCs w:val="16"/>
                  <w:color w:val="0000FF"/>
                </w:rPr>
                <w:t>Executive Incentive Compensation Plan.</w:t>
              </w:r>
            </w:hyperlink>
          </w:p>
        </w:tc>
        <w:tc>
          <w:tcPr>
            <w:tcW w:w="1420" w:type="dxa"/>
            <w:vAlign w:val="bottom"/>
            <w:gridSpan w:val="16"/>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rPr>
              <w:t>10.20</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10.8+</w:t>
            </w:r>
          </w:p>
        </w:tc>
        <w:tc>
          <w:tcPr>
            <w:tcW w:w="3320" w:type="dxa"/>
            <w:vAlign w:val="bottom"/>
            <w:tcBorders>
              <w:bottom w:val="single" w:sz="8" w:color="0000FF"/>
            </w:tcBorders>
            <w:gridSpan w:val="15"/>
          </w:tcPr>
          <w:p>
            <w:pPr>
              <w:spacing w:after="0"/>
              <w:rPr>
                <w:rFonts w:ascii="Arial" w:cs="Arial" w:eastAsia="Arial" w:hAnsi="Arial"/>
                <w:sz w:val="16"/>
                <w:szCs w:val="16"/>
                <w:color w:val="0000FF"/>
              </w:rPr>
            </w:pPr>
            <w:hyperlink r:id="rId348">
              <w:r>
                <w:rPr>
                  <w:rFonts w:ascii="Arial" w:cs="Arial" w:eastAsia="Arial" w:hAnsi="Arial"/>
                  <w:sz w:val="16"/>
                  <w:szCs w:val="16"/>
                  <w:color w:val="0000FF"/>
                </w:rPr>
                <w:t>CEO Change in Control and Severance Policy</w:t>
              </w:r>
            </w:hyperlink>
          </w:p>
        </w:tc>
        <w:tc>
          <w:tcPr>
            <w:tcW w:w="1460" w:type="dxa"/>
            <w:vAlign w:val="bottom"/>
            <w:gridSpan w:val="17"/>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rPr>
              <w:t>10.21</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10.9+</w:t>
            </w:r>
          </w:p>
        </w:tc>
        <w:tc>
          <w:tcPr>
            <w:tcW w:w="4780" w:type="dxa"/>
            <w:vAlign w:val="bottom"/>
            <w:gridSpan w:val="32"/>
          </w:tcPr>
          <w:p>
            <w:pPr>
              <w:spacing w:after="0"/>
              <w:rPr>
                <w:rFonts w:ascii="Arial" w:cs="Arial" w:eastAsia="Arial" w:hAnsi="Arial"/>
                <w:sz w:val="16"/>
                <w:szCs w:val="16"/>
                <w:color w:val="0000FF"/>
              </w:rPr>
            </w:pPr>
            <w:hyperlink r:id="rId349">
              <w:r>
                <w:rPr>
                  <w:rFonts w:ascii="Arial" w:cs="Arial" w:eastAsia="Arial" w:hAnsi="Arial"/>
                  <w:sz w:val="16"/>
                  <w:szCs w:val="16"/>
                  <w:color w:val="0000FF"/>
                </w:rPr>
                <w:t>Executive Change in Control and Severance Plan (for executives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rPr>
              <w:t>10.10</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349">
              <w:r>
                <w:rPr>
                  <w:rFonts w:ascii="Arial" w:cs="Arial" w:eastAsia="Arial" w:hAnsi="Arial"/>
                  <w:sz w:val="16"/>
                  <w:szCs w:val="16"/>
                  <w:color w:val="0000FF"/>
                </w:rPr>
                <w:t>other than the CEO).</w:t>
              </w:r>
            </w:hyperlink>
          </w:p>
        </w:tc>
        <w:tc>
          <w:tcPr>
            <w:tcW w:w="3160" w:type="dxa"/>
            <w:vAlign w:val="bottom"/>
            <w:tcBorders>
              <w:top w:val="single" w:sz="8" w:color="0000FF"/>
            </w:tcBorders>
            <w:gridSpan w:val="23"/>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10.10+</w:t>
            </w:r>
          </w:p>
        </w:tc>
        <w:tc>
          <w:tcPr>
            <w:tcW w:w="2780" w:type="dxa"/>
            <w:vAlign w:val="bottom"/>
            <w:tcBorders>
              <w:bottom w:val="single" w:sz="8" w:color="0000FF"/>
            </w:tcBorders>
            <w:gridSpan w:val="11"/>
          </w:tcPr>
          <w:p>
            <w:pPr>
              <w:spacing w:after="0"/>
              <w:rPr>
                <w:rFonts w:ascii="Arial" w:cs="Arial" w:eastAsia="Arial" w:hAnsi="Arial"/>
                <w:sz w:val="16"/>
                <w:szCs w:val="16"/>
                <w:color w:val="0000FF"/>
              </w:rPr>
            </w:pPr>
            <w:hyperlink r:id="rId350">
              <w:r>
                <w:rPr>
                  <w:rFonts w:ascii="Arial" w:cs="Arial" w:eastAsia="Arial" w:hAnsi="Arial"/>
                  <w:sz w:val="16"/>
                  <w:szCs w:val="16"/>
                  <w:color w:val="0000FF"/>
                </w:rPr>
                <w:t>Outside Director Compensation Policy.</w:t>
              </w:r>
            </w:hyperlink>
          </w:p>
        </w:tc>
        <w:tc>
          <w:tcPr>
            <w:tcW w:w="2000" w:type="dxa"/>
            <w:vAlign w:val="bottom"/>
            <w:gridSpan w:val="21"/>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10.11</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10.11+</w:t>
            </w:r>
          </w:p>
        </w:tc>
        <w:tc>
          <w:tcPr>
            <w:tcW w:w="4780" w:type="dxa"/>
            <w:vAlign w:val="bottom"/>
            <w:gridSpan w:val="32"/>
          </w:tcPr>
          <w:p>
            <w:pPr>
              <w:spacing w:after="0"/>
              <w:rPr>
                <w:rFonts w:ascii="Arial" w:cs="Arial" w:eastAsia="Arial" w:hAnsi="Arial"/>
                <w:sz w:val="16"/>
                <w:szCs w:val="16"/>
                <w:color w:val="0000FF"/>
              </w:rPr>
            </w:pPr>
            <w:hyperlink r:id="rId351">
              <w:r>
                <w:rPr>
                  <w:rFonts w:ascii="Arial" w:cs="Arial" w:eastAsia="Arial" w:hAnsi="Arial"/>
                  <w:sz w:val="16"/>
                  <w:szCs w:val="16"/>
                  <w:color w:val="0000FF"/>
                </w:rPr>
                <w:t>Confirmatory Employment Letter between the Registrant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9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351">
              <w:r>
                <w:rPr>
                  <w:rFonts w:ascii="Arial" w:cs="Arial" w:eastAsia="Arial" w:hAnsi="Arial"/>
                  <w:sz w:val="16"/>
                  <w:szCs w:val="16"/>
                  <w:color w:val="0000FF"/>
                </w:rPr>
                <w:t>Christopher Gibson, Ph.D.</w:t>
              </w:r>
            </w:hyperlink>
          </w:p>
        </w:tc>
        <w:tc>
          <w:tcPr>
            <w:tcW w:w="2460" w:type="dxa"/>
            <w:vAlign w:val="bottom"/>
            <w:tcBorders>
              <w:top w:val="single" w:sz="8" w:color="0000FF"/>
            </w:tcBorders>
            <w:gridSpan w:val="9"/>
          </w:tcPr>
          <w:p>
            <w:pPr>
              <w:spacing w:after="0"/>
              <w:rPr>
                <w:sz w:val="12"/>
                <w:szCs w:val="12"/>
                <w:color w:val="auto"/>
              </w:rPr>
            </w:pPr>
          </w:p>
        </w:tc>
        <w:tc>
          <w:tcPr>
            <w:tcW w:w="380" w:type="dxa"/>
            <w:vAlign w:val="bottom"/>
            <w:gridSpan w:val="13"/>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10.12+</w:t>
            </w:r>
          </w:p>
        </w:tc>
        <w:tc>
          <w:tcPr>
            <w:tcW w:w="4780" w:type="dxa"/>
            <w:vAlign w:val="bottom"/>
            <w:gridSpan w:val="32"/>
          </w:tcPr>
          <w:p>
            <w:pPr>
              <w:spacing w:after="0"/>
              <w:rPr>
                <w:rFonts w:ascii="Arial" w:cs="Arial" w:eastAsia="Arial" w:hAnsi="Arial"/>
                <w:sz w:val="16"/>
                <w:szCs w:val="16"/>
                <w:color w:val="0000FF"/>
              </w:rPr>
            </w:pPr>
            <w:hyperlink r:id="rId352">
              <w:r>
                <w:rPr>
                  <w:rFonts w:ascii="Arial" w:cs="Arial" w:eastAsia="Arial" w:hAnsi="Arial"/>
                  <w:sz w:val="16"/>
                  <w:szCs w:val="16"/>
                  <w:color w:val="0000FF"/>
                </w:rPr>
                <w:t>Confirmatory Employment Letter between the Registrant and Tina</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7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352">
              <w:r>
                <w:rPr>
                  <w:rFonts w:ascii="Arial" w:cs="Arial" w:eastAsia="Arial" w:hAnsi="Arial"/>
                  <w:sz w:val="16"/>
                  <w:szCs w:val="16"/>
                  <w:color w:val="0000FF"/>
                </w:rPr>
                <w:t>Marriott Larson.</w:t>
              </w:r>
            </w:hyperlink>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4"/>
        </w:trPr>
        <w:tc>
          <w:tcPr>
            <w:tcW w:w="10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84"/>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10.13+</w:t>
            </w:r>
          </w:p>
        </w:tc>
        <w:tc>
          <w:tcPr>
            <w:tcW w:w="4740" w:type="dxa"/>
            <w:vAlign w:val="bottom"/>
            <w:gridSpan w:val="40"/>
          </w:tcPr>
          <w:p>
            <w:pPr>
              <w:spacing w:after="0"/>
              <w:rPr>
                <w:rFonts w:ascii="Arial" w:cs="Arial" w:eastAsia="Arial" w:hAnsi="Arial"/>
                <w:sz w:val="16"/>
                <w:szCs w:val="16"/>
                <w:color w:val="0000FF"/>
              </w:rPr>
            </w:pPr>
            <w:hyperlink r:id="rId355">
              <w:r>
                <w:rPr>
                  <w:rFonts w:ascii="Arial" w:cs="Arial" w:eastAsia="Arial" w:hAnsi="Arial"/>
                  <w:sz w:val="16"/>
                  <w:szCs w:val="16"/>
                  <w:color w:val="0000FF"/>
                </w:rPr>
                <w:t>Confirmatory Employment Letter between the Registrant and</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S-1/A</w:t>
            </w:r>
          </w:p>
        </w:tc>
      </w:tr>
      <w:tr>
        <w:trPr>
          <w:trHeight w:val="142"/>
        </w:trPr>
        <w:tc>
          <w:tcPr>
            <w:tcW w:w="840" w:type="dxa"/>
            <w:vAlign w:val="bottom"/>
          </w:tcPr>
          <w:p>
            <w:pPr>
              <w:spacing w:after="0"/>
              <w:rPr>
                <w:sz w:val="12"/>
                <w:szCs w:val="12"/>
                <w:color w:val="auto"/>
              </w:rPr>
            </w:pPr>
          </w:p>
        </w:tc>
        <w:tc>
          <w:tcPr>
            <w:tcW w:w="43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355">
              <w:r>
                <w:rPr>
                  <w:rFonts w:ascii="Arial" w:cs="Arial" w:eastAsia="Arial" w:hAnsi="Arial"/>
                  <w:sz w:val="16"/>
                  <w:szCs w:val="16"/>
                  <w:color w:val="0000FF"/>
                </w:rPr>
                <w:t>Michael Secora.</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10.14+</w:t>
            </w:r>
          </w:p>
        </w:tc>
        <w:tc>
          <w:tcPr>
            <w:tcW w:w="4740" w:type="dxa"/>
            <w:vAlign w:val="bottom"/>
            <w:gridSpan w:val="40"/>
          </w:tcPr>
          <w:p>
            <w:pPr>
              <w:spacing w:after="0"/>
              <w:rPr>
                <w:rFonts w:ascii="Arial" w:cs="Arial" w:eastAsia="Arial" w:hAnsi="Arial"/>
                <w:sz w:val="16"/>
                <w:szCs w:val="16"/>
                <w:color w:val="0000FF"/>
              </w:rPr>
            </w:pPr>
            <w:hyperlink r:id="rId356">
              <w:r>
                <w:rPr>
                  <w:rFonts w:ascii="Arial" w:cs="Arial" w:eastAsia="Arial" w:hAnsi="Arial"/>
                  <w:sz w:val="16"/>
                  <w:szCs w:val="16"/>
                  <w:color w:val="0000FF"/>
                </w:rPr>
                <w:t>Employment Offer Letter, dated May 19, 2023, between the</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rPr>
              <w:t>10-Q</w:t>
            </w:r>
          </w:p>
        </w:tc>
      </w:tr>
      <w:tr>
        <w:trPr>
          <w:trHeight w:val="142"/>
        </w:trPr>
        <w:tc>
          <w:tcPr>
            <w:tcW w:w="840" w:type="dxa"/>
            <w:vAlign w:val="bottom"/>
          </w:tcPr>
          <w:p>
            <w:pPr>
              <w:spacing w:after="0"/>
              <w:rPr>
                <w:sz w:val="12"/>
                <w:szCs w:val="12"/>
                <w:color w:val="auto"/>
              </w:rPr>
            </w:pPr>
          </w:p>
        </w:tc>
        <w:tc>
          <w:tcPr>
            <w:tcW w:w="42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356">
              <w:r>
                <w:rPr>
                  <w:rFonts w:ascii="Arial" w:cs="Arial" w:eastAsia="Arial" w:hAnsi="Arial"/>
                  <w:sz w:val="16"/>
                  <w:szCs w:val="16"/>
                  <w:color w:val="0000FF"/>
                </w:rPr>
                <w:t>Registrant and Dr. David Mauro, M.D., Ph.D.</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10.15+</w:t>
            </w:r>
          </w:p>
        </w:tc>
        <w:tc>
          <w:tcPr>
            <w:tcW w:w="4740" w:type="dxa"/>
            <w:vAlign w:val="bottom"/>
            <w:gridSpan w:val="40"/>
          </w:tcPr>
          <w:p>
            <w:pPr>
              <w:spacing w:after="0"/>
              <w:rPr>
                <w:rFonts w:ascii="Arial" w:cs="Arial" w:eastAsia="Arial" w:hAnsi="Arial"/>
                <w:sz w:val="16"/>
                <w:szCs w:val="16"/>
                <w:color w:val="0000FF"/>
              </w:rPr>
            </w:pPr>
            <w:hyperlink r:id="rId357">
              <w:r>
                <w:rPr>
                  <w:rFonts w:ascii="Arial" w:cs="Arial" w:eastAsia="Arial" w:hAnsi="Arial"/>
                  <w:sz w:val="16"/>
                  <w:szCs w:val="16"/>
                  <w:color w:val="0000FF"/>
                </w:rPr>
                <w:t>Confirmatory Employment Letter between the Registrant and</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S-1/A</w:t>
            </w:r>
          </w:p>
        </w:tc>
      </w:tr>
      <w:tr>
        <w:trPr>
          <w:trHeight w:val="142"/>
        </w:trPr>
        <w:tc>
          <w:tcPr>
            <w:tcW w:w="840" w:type="dxa"/>
            <w:vAlign w:val="bottom"/>
          </w:tcPr>
          <w:p>
            <w:pPr>
              <w:spacing w:after="0"/>
              <w:rPr>
                <w:sz w:val="12"/>
                <w:szCs w:val="12"/>
                <w:color w:val="auto"/>
              </w:rPr>
            </w:pPr>
          </w:p>
        </w:tc>
        <w:tc>
          <w:tcPr>
            <w:tcW w:w="43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357">
              <w:r>
                <w:rPr>
                  <w:rFonts w:ascii="Arial" w:cs="Arial" w:eastAsia="Arial" w:hAnsi="Arial"/>
                  <w:sz w:val="16"/>
                  <w:szCs w:val="16"/>
                  <w:color w:val="0000FF"/>
                </w:rPr>
                <w:t>Shafique Virani.</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10.16+</w:t>
            </w:r>
          </w:p>
        </w:tc>
        <w:tc>
          <w:tcPr>
            <w:tcW w:w="4740" w:type="dxa"/>
            <w:vAlign w:val="bottom"/>
            <w:gridSpan w:val="40"/>
          </w:tcPr>
          <w:p>
            <w:pPr>
              <w:spacing w:after="0"/>
              <w:rPr>
                <w:rFonts w:ascii="Arial" w:cs="Arial" w:eastAsia="Arial" w:hAnsi="Arial"/>
                <w:sz w:val="16"/>
                <w:szCs w:val="16"/>
                <w:color w:val="0000FF"/>
              </w:rPr>
            </w:pPr>
            <w:hyperlink r:id="rId358">
              <w:r>
                <w:rPr>
                  <w:rFonts w:ascii="Arial" w:cs="Arial" w:eastAsia="Arial" w:hAnsi="Arial"/>
                  <w:sz w:val="16"/>
                  <w:szCs w:val="16"/>
                  <w:color w:val="0000FF"/>
                </w:rPr>
                <w:t>Form of Exchange Agreement among the Registrant, Christopher</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S-1/A</w:t>
            </w:r>
          </w:p>
        </w:tc>
      </w:tr>
      <w:tr>
        <w:trPr>
          <w:trHeight w:val="142"/>
        </w:trPr>
        <w:tc>
          <w:tcPr>
            <w:tcW w:w="840" w:type="dxa"/>
            <w:vAlign w:val="bottom"/>
          </w:tcPr>
          <w:p>
            <w:pPr>
              <w:spacing w:after="0"/>
              <w:rPr>
                <w:sz w:val="12"/>
                <w:szCs w:val="12"/>
                <w:color w:val="auto"/>
              </w:rPr>
            </w:pPr>
          </w:p>
        </w:tc>
        <w:tc>
          <w:tcPr>
            <w:tcW w:w="47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358">
              <w:r>
                <w:rPr>
                  <w:rFonts w:ascii="Arial" w:cs="Arial" w:eastAsia="Arial" w:hAnsi="Arial"/>
                  <w:sz w:val="16"/>
                  <w:szCs w:val="16"/>
                  <w:color w:val="0000FF"/>
                </w:rPr>
                <w:t>Gibson, Ph.D., and entities affiliated with Dr. Gibson.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10.17+</w:t>
            </w:r>
          </w:p>
        </w:tc>
        <w:tc>
          <w:tcPr>
            <w:tcW w:w="4740" w:type="dxa"/>
            <w:vAlign w:val="bottom"/>
            <w:tcBorders>
              <w:bottom w:val="single" w:sz="8" w:color="0000FF"/>
            </w:tcBorders>
            <w:gridSpan w:val="40"/>
          </w:tcPr>
          <w:p>
            <w:pPr>
              <w:spacing w:after="0"/>
              <w:rPr>
                <w:rFonts w:ascii="Arial" w:cs="Arial" w:eastAsia="Arial" w:hAnsi="Arial"/>
                <w:sz w:val="16"/>
                <w:szCs w:val="16"/>
                <w:color w:val="0000FF"/>
              </w:rPr>
            </w:pPr>
            <w:hyperlink r:id="rId359">
              <w:r>
                <w:rPr>
                  <w:rFonts w:ascii="Arial" w:cs="Arial" w:eastAsia="Arial" w:hAnsi="Arial"/>
                  <w:sz w:val="16"/>
                  <w:szCs w:val="16"/>
                  <w:color w:val="0000FF"/>
                </w:rPr>
                <w:t>Form of Equity Exchange Right Agreement among the Registrant,</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S-1/A</w:t>
            </w:r>
          </w:p>
        </w:tc>
      </w:tr>
      <w:tr>
        <w:trPr>
          <w:trHeight w:val="142"/>
        </w:trPr>
        <w:tc>
          <w:tcPr>
            <w:tcW w:w="840" w:type="dxa"/>
            <w:vAlign w:val="bottom"/>
          </w:tcPr>
          <w:p>
            <w:pPr>
              <w:spacing w:after="0"/>
              <w:rPr>
                <w:sz w:val="12"/>
                <w:szCs w:val="12"/>
                <w:color w:val="auto"/>
              </w:rPr>
            </w:pPr>
          </w:p>
        </w:tc>
        <w:tc>
          <w:tcPr>
            <w:tcW w:w="4680" w:type="dxa"/>
            <w:vAlign w:val="bottom"/>
            <w:tcBorders>
              <w:bottom w:val="single" w:sz="8" w:color="0000FF"/>
            </w:tcBorders>
            <w:gridSpan w:val="37"/>
          </w:tcPr>
          <w:p>
            <w:pPr>
              <w:spacing w:after="0" w:line="142" w:lineRule="exact"/>
              <w:rPr>
                <w:rFonts w:ascii="Arial" w:cs="Arial" w:eastAsia="Arial" w:hAnsi="Arial"/>
                <w:sz w:val="16"/>
                <w:szCs w:val="16"/>
                <w:color w:val="0000FF"/>
              </w:rPr>
            </w:pPr>
            <w:hyperlink r:id="rId359">
              <w:r>
                <w:rPr>
                  <w:rFonts w:ascii="Arial" w:cs="Arial" w:eastAsia="Arial" w:hAnsi="Arial"/>
                  <w:sz w:val="16"/>
                  <w:szCs w:val="16"/>
                  <w:color w:val="0000FF"/>
                </w:rPr>
                <w:t>Christopher Gibson, Ph.D., and entities affiliated with Dr. Gibson.</w:t>
              </w:r>
            </w:hyperlink>
          </w:p>
        </w:tc>
        <w:tc>
          <w:tcPr>
            <w:tcW w:w="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10.18</w:t>
            </w:r>
          </w:p>
        </w:tc>
        <w:tc>
          <w:tcPr>
            <w:tcW w:w="3980" w:type="dxa"/>
            <w:vAlign w:val="bottom"/>
            <w:tcBorders>
              <w:bottom w:val="single" w:sz="8" w:color="0000FF"/>
            </w:tcBorders>
            <w:gridSpan w:val="18"/>
          </w:tcPr>
          <w:p>
            <w:pPr>
              <w:spacing w:after="0"/>
              <w:rPr>
                <w:rFonts w:ascii="Arial" w:cs="Arial" w:eastAsia="Arial" w:hAnsi="Arial"/>
                <w:sz w:val="16"/>
                <w:szCs w:val="16"/>
                <w:color w:val="0000FF"/>
              </w:rPr>
            </w:pPr>
            <w:hyperlink r:id="rId360">
              <w:r>
                <w:rPr>
                  <w:rFonts w:ascii="Arial" w:cs="Arial" w:eastAsia="Arial" w:hAnsi="Arial"/>
                  <w:sz w:val="16"/>
                  <w:szCs w:val="16"/>
                  <w:color w:val="0000FF"/>
                </w:rPr>
                <w:t>Office Lease by and between Vestar Gateway, LLC and</w:t>
              </w:r>
            </w:hyperlink>
          </w:p>
        </w:tc>
        <w:tc>
          <w:tcPr>
            <w:tcW w:w="760" w:type="dxa"/>
            <w:vAlign w:val="bottom"/>
            <w:gridSpan w:val="22"/>
          </w:tcPr>
          <w:p>
            <w:pPr>
              <w:spacing w:after="0"/>
              <w:rPr>
                <w:sz w:val="17"/>
                <w:szCs w:val="17"/>
                <w:color w:val="auto"/>
              </w:rPr>
            </w:pPr>
          </w:p>
        </w:tc>
        <w:tc>
          <w:tcPr>
            <w:tcW w:w="660" w:type="dxa"/>
            <w:vAlign w:val="bottom"/>
          </w:tcPr>
          <w:p>
            <w:pPr>
              <w:jc w:val="center"/>
              <w:ind w:left="159"/>
              <w:spacing w:after="0"/>
              <w:rPr>
                <w:sz w:val="20"/>
                <w:szCs w:val="20"/>
                <w:color w:val="auto"/>
              </w:rPr>
            </w:pPr>
            <w:r>
              <w:rPr>
                <w:rFonts w:ascii="Arial" w:cs="Arial" w:eastAsia="Arial" w:hAnsi="Arial"/>
                <w:sz w:val="16"/>
                <w:szCs w:val="16"/>
                <w:color w:val="auto"/>
              </w:rPr>
              <w:t>10-K</w:t>
            </w:r>
          </w:p>
        </w:tc>
      </w:tr>
      <w:tr>
        <w:trPr>
          <w:trHeight w:val="142"/>
        </w:trPr>
        <w:tc>
          <w:tcPr>
            <w:tcW w:w="840" w:type="dxa"/>
            <w:vAlign w:val="bottom"/>
          </w:tcPr>
          <w:p>
            <w:pPr>
              <w:spacing w:after="0"/>
              <w:rPr>
                <w:sz w:val="12"/>
                <w:szCs w:val="12"/>
                <w:color w:val="auto"/>
              </w:rPr>
            </w:pPr>
          </w:p>
        </w:tc>
        <w:tc>
          <w:tcPr>
            <w:tcW w:w="4740" w:type="dxa"/>
            <w:vAlign w:val="bottom"/>
            <w:gridSpan w:val="40"/>
          </w:tcPr>
          <w:p>
            <w:pPr>
              <w:spacing w:after="0" w:line="142" w:lineRule="exact"/>
              <w:rPr>
                <w:rFonts w:ascii="Arial" w:cs="Arial" w:eastAsia="Arial" w:hAnsi="Arial"/>
                <w:sz w:val="16"/>
                <w:szCs w:val="16"/>
                <w:color w:val="0000FF"/>
              </w:rPr>
            </w:pPr>
            <w:hyperlink r:id="rId360">
              <w:r>
                <w:rPr>
                  <w:rFonts w:ascii="Arial" w:cs="Arial" w:eastAsia="Arial" w:hAnsi="Arial"/>
                  <w:sz w:val="16"/>
                  <w:szCs w:val="16"/>
                  <w:color w:val="0000FF"/>
                </w:rPr>
                <w:t>Registrant, dated November 13, 2017, as amended through</w:t>
              </w:r>
            </w:hyperlink>
          </w:p>
        </w:tc>
        <w:tc>
          <w:tcPr>
            <w:tcW w:w="6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2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360">
              <w:r>
                <w:rPr>
                  <w:rFonts w:ascii="Arial" w:cs="Arial" w:eastAsia="Arial" w:hAnsi="Arial"/>
                  <w:sz w:val="16"/>
                  <w:szCs w:val="16"/>
                  <w:color w:val="0000FF"/>
                </w:rPr>
                <w:t>December 2022.</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10.19#</w:t>
            </w:r>
          </w:p>
        </w:tc>
        <w:tc>
          <w:tcPr>
            <w:tcW w:w="4740" w:type="dxa"/>
            <w:vAlign w:val="bottom"/>
            <w:gridSpan w:val="40"/>
          </w:tcPr>
          <w:p>
            <w:pPr>
              <w:spacing w:after="0"/>
              <w:rPr>
                <w:rFonts w:ascii="Arial" w:cs="Arial" w:eastAsia="Arial" w:hAnsi="Arial"/>
                <w:sz w:val="16"/>
                <w:szCs w:val="16"/>
                <w:color w:val="0000FF"/>
              </w:rPr>
            </w:pPr>
            <w:hyperlink r:id="rId361">
              <w:r>
                <w:rPr>
                  <w:rFonts w:ascii="Arial" w:cs="Arial" w:eastAsia="Arial" w:hAnsi="Arial"/>
                  <w:sz w:val="16"/>
                  <w:szCs w:val="16"/>
                  <w:color w:val="0000FF"/>
                </w:rPr>
                <w:t>Research Collaboration and Option Agreement by and between</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S-1/A</w:t>
            </w:r>
          </w:p>
        </w:tc>
      </w:tr>
      <w:tr>
        <w:trPr>
          <w:trHeight w:val="142"/>
        </w:trPr>
        <w:tc>
          <w:tcPr>
            <w:tcW w:w="84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361">
              <w:r>
                <w:rPr>
                  <w:rFonts w:ascii="Arial" w:cs="Arial" w:eastAsia="Arial" w:hAnsi="Arial"/>
                  <w:sz w:val="16"/>
                  <w:szCs w:val="16"/>
                  <w:color w:val="0000FF"/>
                </w:rPr>
                <w:t>Bayer AG and the Registrant, dated August 28, 2020.</w:t>
              </w:r>
            </w:hyperlink>
          </w:p>
        </w:tc>
        <w:tc>
          <w:tcPr>
            <w:tcW w:w="7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10.20#</w:t>
            </w:r>
          </w:p>
        </w:tc>
        <w:tc>
          <w:tcPr>
            <w:tcW w:w="4740" w:type="dxa"/>
            <w:vAlign w:val="bottom"/>
            <w:gridSpan w:val="40"/>
          </w:tcPr>
          <w:p>
            <w:pPr>
              <w:spacing w:after="0"/>
              <w:rPr>
                <w:rFonts w:ascii="Arial" w:cs="Arial" w:eastAsia="Arial" w:hAnsi="Arial"/>
                <w:sz w:val="16"/>
                <w:szCs w:val="16"/>
                <w:color w:val="0000FF"/>
              </w:rPr>
            </w:pPr>
            <w:hyperlink r:id="rId362">
              <w:r>
                <w:rPr>
                  <w:rFonts w:ascii="Arial" w:cs="Arial" w:eastAsia="Arial" w:hAnsi="Arial"/>
                  <w:sz w:val="16"/>
                  <w:szCs w:val="16"/>
                  <w:color w:val="0000FF"/>
                </w:rPr>
                <w:t>Bayer Collaboration Expansion Agreement, dated December 1,</w:t>
              </w:r>
            </w:hyperlink>
          </w:p>
        </w:tc>
        <w:tc>
          <w:tcPr>
            <w:tcW w:w="660" w:type="dxa"/>
            <w:vAlign w:val="bottom"/>
          </w:tcPr>
          <w:p>
            <w:pPr>
              <w:jc w:val="center"/>
              <w:ind w:left="159"/>
              <w:spacing w:after="0"/>
              <w:rPr>
                <w:sz w:val="20"/>
                <w:szCs w:val="20"/>
                <w:color w:val="auto"/>
              </w:rPr>
            </w:pPr>
            <w:r>
              <w:rPr>
                <w:rFonts w:ascii="Arial" w:cs="Arial" w:eastAsia="Arial" w:hAnsi="Arial"/>
                <w:sz w:val="16"/>
                <w:szCs w:val="16"/>
                <w:color w:val="auto"/>
              </w:rPr>
              <w:t>10-K</w:t>
            </w:r>
          </w:p>
        </w:tc>
      </w:tr>
      <w:tr>
        <w:trPr>
          <w:trHeight w:val="142"/>
        </w:trPr>
        <w:tc>
          <w:tcPr>
            <w:tcW w:w="84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362">
              <w:r>
                <w:rPr>
                  <w:rFonts w:ascii="Arial" w:cs="Arial" w:eastAsia="Arial" w:hAnsi="Arial"/>
                  <w:sz w:val="16"/>
                  <w:szCs w:val="16"/>
                  <w:color w:val="0000FF"/>
                  <w:w w:val="99"/>
                </w:rPr>
                <w:t>2021.</w:t>
              </w:r>
            </w:hyperlink>
          </w:p>
        </w:tc>
        <w:tc>
          <w:tcPr>
            <w:tcW w:w="7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10.21#</w:t>
            </w:r>
          </w:p>
        </w:tc>
        <w:tc>
          <w:tcPr>
            <w:tcW w:w="4740" w:type="dxa"/>
            <w:vAlign w:val="bottom"/>
            <w:gridSpan w:val="40"/>
          </w:tcPr>
          <w:p>
            <w:pPr>
              <w:spacing w:after="0"/>
              <w:rPr>
                <w:sz w:val="20"/>
                <w:szCs w:val="20"/>
                <w:color w:val="auto"/>
              </w:rPr>
            </w:pPr>
            <w:r>
              <w:rPr>
                <w:rFonts w:ascii="Arial" w:cs="Arial" w:eastAsia="Arial" w:hAnsi="Arial"/>
                <w:sz w:val="16"/>
                <w:szCs w:val="16"/>
                <w:color w:val="0000FF"/>
              </w:rPr>
              <w:t>Amended and Restated Research Collaboration and Option</w:t>
            </w:r>
          </w:p>
        </w:tc>
        <w:tc>
          <w:tcPr>
            <w:tcW w:w="660" w:type="dxa"/>
            <w:vAlign w:val="bottom"/>
          </w:tcPr>
          <w:p>
            <w:pPr>
              <w:spacing w:after="0"/>
              <w:rPr>
                <w:sz w:val="17"/>
                <w:szCs w:val="17"/>
                <w:color w:val="auto"/>
              </w:rPr>
            </w:pPr>
          </w:p>
        </w:tc>
      </w:tr>
      <w:tr>
        <w:trPr>
          <w:trHeight w:val="142"/>
        </w:trPr>
        <w:tc>
          <w:tcPr>
            <w:tcW w:w="840" w:type="dxa"/>
            <w:vAlign w:val="bottom"/>
          </w:tcPr>
          <w:p>
            <w:pPr>
              <w:spacing w:after="0"/>
              <w:rPr>
                <w:sz w:val="12"/>
                <w:szCs w:val="12"/>
                <w:color w:val="auto"/>
              </w:rPr>
            </w:pPr>
          </w:p>
        </w:tc>
        <w:tc>
          <w:tcPr>
            <w:tcW w:w="428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Agreement by and between Bayer AG and the Registrant,</w:t>
            </w:r>
          </w:p>
        </w:tc>
        <w:tc>
          <w:tcPr>
            <w:tcW w:w="460" w:type="dxa"/>
            <w:vAlign w:val="bottom"/>
            <w:gridSpan w:val="19"/>
          </w:tcPr>
          <w:p>
            <w:pPr>
              <w:spacing w:after="0" w:line="142" w:lineRule="exact"/>
              <w:rPr>
                <w:sz w:val="20"/>
                <w:szCs w:val="20"/>
                <w:color w:val="auto"/>
              </w:rPr>
            </w:pPr>
            <w:r>
              <w:rPr>
                <w:rFonts w:ascii="Arial" w:cs="Arial" w:eastAsia="Arial" w:hAnsi="Arial"/>
                <w:sz w:val="16"/>
                <w:szCs w:val="16"/>
                <w:color w:val="0000FF"/>
              </w:rPr>
              <w:t>dated</w:t>
            </w:r>
          </w:p>
        </w:tc>
        <w:tc>
          <w:tcPr>
            <w:tcW w:w="6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600" w:type="dxa"/>
            <w:vAlign w:val="bottom"/>
            <w:tcBorders>
              <w:top w:val="single" w:sz="8" w:color="0000FF"/>
            </w:tcBorders>
            <w:gridSpan w:val="31"/>
          </w:tcPr>
          <w:p>
            <w:pPr>
              <w:spacing w:after="0" w:line="142" w:lineRule="exact"/>
              <w:rPr>
                <w:sz w:val="20"/>
                <w:szCs w:val="20"/>
                <w:color w:val="auto"/>
              </w:rPr>
            </w:pPr>
            <w:r>
              <w:rPr>
                <w:rFonts w:ascii="Arial" w:cs="Arial" w:eastAsia="Arial" w:hAnsi="Arial"/>
                <w:sz w:val="16"/>
                <w:szCs w:val="16"/>
                <w:color w:val="0000FF"/>
              </w:rPr>
              <w:t>November 8, 2023.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10.22#</w:t>
            </w:r>
          </w:p>
        </w:tc>
        <w:tc>
          <w:tcPr>
            <w:tcW w:w="4740" w:type="dxa"/>
            <w:vAlign w:val="bottom"/>
            <w:gridSpan w:val="40"/>
          </w:tcPr>
          <w:p>
            <w:pPr>
              <w:spacing w:after="0"/>
              <w:rPr>
                <w:rFonts w:ascii="Arial" w:cs="Arial" w:eastAsia="Arial" w:hAnsi="Arial"/>
                <w:sz w:val="16"/>
                <w:szCs w:val="16"/>
                <w:color w:val="0000FF"/>
              </w:rPr>
            </w:pPr>
            <w:hyperlink r:id="rId363">
              <w:r>
                <w:rPr>
                  <w:rFonts w:ascii="Arial" w:cs="Arial" w:eastAsia="Arial" w:hAnsi="Arial"/>
                  <w:sz w:val="16"/>
                  <w:szCs w:val="16"/>
                  <w:color w:val="0000FF"/>
                </w:rPr>
                <w:t>Amended and Restated License Agreement between the</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S-1/A</w:t>
            </w:r>
          </w:p>
        </w:tc>
      </w:tr>
      <w:tr>
        <w:trPr>
          <w:trHeight w:val="142"/>
        </w:trPr>
        <w:tc>
          <w:tcPr>
            <w:tcW w:w="840" w:type="dxa"/>
            <w:vAlign w:val="bottom"/>
          </w:tcPr>
          <w:p>
            <w:pPr>
              <w:spacing w:after="0"/>
              <w:rPr>
                <w:sz w:val="12"/>
                <w:szCs w:val="12"/>
                <w:color w:val="auto"/>
              </w:rPr>
            </w:pPr>
          </w:p>
        </w:tc>
        <w:tc>
          <w:tcPr>
            <w:tcW w:w="40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363">
              <w:r>
                <w:rPr>
                  <w:rFonts w:ascii="Arial" w:cs="Arial" w:eastAsia="Arial" w:hAnsi="Arial"/>
                  <w:sz w:val="16"/>
                  <w:szCs w:val="16"/>
                  <w:color w:val="0000FF"/>
                </w:rPr>
                <w:t>Registrant and University of Utah Research Foundation,</w:t>
              </w:r>
            </w:hyperlink>
          </w:p>
        </w:tc>
        <w:tc>
          <w:tcPr>
            <w:tcW w:w="660" w:type="dxa"/>
            <w:vAlign w:val="bottom"/>
            <w:gridSpan w:val="21"/>
          </w:tcPr>
          <w:p>
            <w:pPr>
              <w:spacing w:after="0" w:line="142" w:lineRule="exact"/>
              <w:rPr>
                <w:rFonts w:ascii="Arial" w:cs="Arial" w:eastAsia="Arial" w:hAnsi="Arial"/>
                <w:sz w:val="16"/>
                <w:szCs w:val="16"/>
                <w:color w:val="0000FF"/>
              </w:rPr>
            </w:pPr>
            <w:hyperlink r:id="rId363">
              <w:r>
                <w:rPr>
                  <w:rFonts w:ascii="Arial" w:cs="Arial" w:eastAsia="Arial" w:hAnsi="Arial"/>
                  <w:sz w:val="16"/>
                  <w:szCs w:val="16"/>
                  <w:color w:val="0000FF"/>
                </w:rPr>
                <w:t>dated</w:t>
              </w:r>
            </w:hyperlink>
          </w:p>
        </w:tc>
        <w:tc>
          <w:tcPr>
            <w:tcW w:w="6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4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363">
              <w:r>
                <w:rPr>
                  <w:rFonts w:ascii="Arial" w:cs="Arial" w:eastAsia="Arial" w:hAnsi="Arial"/>
                  <w:sz w:val="16"/>
                  <w:szCs w:val="16"/>
                  <w:color w:val="0000FF"/>
                </w:rPr>
                <w:t>February 9, 2016.</w:t>
              </w:r>
            </w:hyperlink>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10.23#</w:t>
            </w:r>
          </w:p>
        </w:tc>
        <w:tc>
          <w:tcPr>
            <w:tcW w:w="4740" w:type="dxa"/>
            <w:vAlign w:val="bottom"/>
            <w:gridSpan w:val="40"/>
          </w:tcPr>
          <w:p>
            <w:pPr>
              <w:spacing w:after="0"/>
              <w:rPr>
                <w:rFonts w:ascii="Arial" w:cs="Arial" w:eastAsia="Arial" w:hAnsi="Arial"/>
                <w:sz w:val="16"/>
                <w:szCs w:val="16"/>
                <w:color w:val="0000FF"/>
              </w:rPr>
            </w:pPr>
            <w:hyperlink r:id="rId364">
              <w:r>
                <w:rPr>
                  <w:rFonts w:ascii="Arial" w:cs="Arial" w:eastAsia="Arial" w:hAnsi="Arial"/>
                  <w:sz w:val="16"/>
                  <w:szCs w:val="16"/>
                  <w:color w:val="0000FF"/>
                </w:rPr>
                <w:t>Exclusive License Agreement between Ohio State Innovation</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S-1/A</w:t>
            </w:r>
          </w:p>
        </w:tc>
      </w:tr>
      <w:tr>
        <w:trPr>
          <w:trHeight w:val="142"/>
        </w:trPr>
        <w:tc>
          <w:tcPr>
            <w:tcW w:w="840" w:type="dxa"/>
            <w:vAlign w:val="bottom"/>
          </w:tcPr>
          <w:p>
            <w:pPr>
              <w:spacing w:after="0"/>
              <w:rPr>
                <w:sz w:val="12"/>
                <w:szCs w:val="12"/>
                <w:color w:val="auto"/>
              </w:rPr>
            </w:pPr>
          </w:p>
        </w:tc>
        <w:tc>
          <w:tcPr>
            <w:tcW w:w="44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364">
              <w:r>
                <w:rPr>
                  <w:rFonts w:ascii="Arial" w:cs="Arial" w:eastAsia="Arial" w:hAnsi="Arial"/>
                  <w:sz w:val="16"/>
                  <w:szCs w:val="16"/>
                  <w:color w:val="0000FF"/>
                </w:rPr>
                <w:t>Foundation and Registrant, dated December 21, 2018.</w:t>
              </w:r>
            </w:hyperlink>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10.24#</w:t>
            </w:r>
          </w:p>
        </w:tc>
        <w:tc>
          <w:tcPr>
            <w:tcW w:w="4740" w:type="dxa"/>
            <w:vAlign w:val="bottom"/>
            <w:gridSpan w:val="40"/>
          </w:tcPr>
          <w:p>
            <w:pPr>
              <w:spacing w:after="0"/>
              <w:rPr>
                <w:rFonts w:ascii="Arial" w:cs="Arial" w:eastAsia="Arial" w:hAnsi="Arial"/>
                <w:sz w:val="16"/>
                <w:szCs w:val="16"/>
                <w:color w:val="0000FF"/>
              </w:rPr>
            </w:pPr>
            <w:hyperlink r:id="rId365">
              <w:r>
                <w:rPr>
                  <w:rFonts w:ascii="Arial" w:cs="Arial" w:eastAsia="Arial" w:hAnsi="Arial"/>
                  <w:sz w:val="16"/>
                  <w:szCs w:val="16"/>
                  <w:color w:val="0000FF"/>
                </w:rPr>
                <w:t>License Agreement by and between Takeda Pharmaceutical</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9"/>
              </w:rPr>
              <w:t>S-1/A</w:t>
            </w:r>
          </w:p>
        </w:tc>
      </w:tr>
      <w:tr>
        <w:trPr>
          <w:trHeight w:val="142"/>
        </w:trPr>
        <w:tc>
          <w:tcPr>
            <w:tcW w:w="840" w:type="dxa"/>
            <w:vAlign w:val="bottom"/>
          </w:tcPr>
          <w:p>
            <w:pPr>
              <w:spacing w:after="0"/>
              <w:rPr>
                <w:sz w:val="12"/>
                <w:szCs w:val="12"/>
                <w:color w:val="auto"/>
              </w:rPr>
            </w:pPr>
          </w:p>
        </w:tc>
        <w:tc>
          <w:tcPr>
            <w:tcW w:w="43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365">
              <w:r>
                <w:rPr>
                  <w:rFonts w:ascii="Arial" w:cs="Arial" w:eastAsia="Arial" w:hAnsi="Arial"/>
                  <w:sz w:val="16"/>
                  <w:szCs w:val="16"/>
                  <w:color w:val="0000FF"/>
                </w:rPr>
                <w:t>Company Limited and Registrant, dated May 1,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10.25#</w:t>
            </w:r>
          </w:p>
        </w:tc>
        <w:tc>
          <w:tcPr>
            <w:tcW w:w="4740" w:type="dxa"/>
            <w:vAlign w:val="bottom"/>
            <w:tcBorders>
              <w:bottom w:val="single" w:sz="8" w:color="0000FF"/>
            </w:tcBorders>
            <w:gridSpan w:val="40"/>
          </w:tcPr>
          <w:p>
            <w:pPr>
              <w:spacing w:after="0"/>
              <w:rPr>
                <w:rFonts w:ascii="Arial" w:cs="Arial" w:eastAsia="Arial" w:hAnsi="Arial"/>
                <w:sz w:val="16"/>
                <w:szCs w:val="16"/>
                <w:color w:val="0000FF"/>
              </w:rPr>
            </w:pPr>
            <w:hyperlink r:id="rId366">
              <w:r>
                <w:rPr>
                  <w:rFonts w:ascii="Arial" w:cs="Arial" w:eastAsia="Arial" w:hAnsi="Arial"/>
                  <w:sz w:val="16"/>
                  <w:szCs w:val="16"/>
                  <w:color w:val="0000FF"/>
                </w:rPr>
                <w:t>Roche Collaboration and License Agreement, dated December 5,</w:t>
              </w:r>
            </w:hyperlink>
          </w:p>
        </w:tc>
        <w:tc>
          <w:tcPr>
            <w:tcW w:w="660" w:type="dxa"/>
            <w:vAlign w:val="bottom"/>
          </w:tcPr>
          <w:p>
            <w:pPr>
              <w:jc w:val="center"/>
              <w:ind w:left="159"/>
              <w:spacing w:after="0"/>
              <w:rPr>
                <w:sz w:val="20"/>
                <w:szCs w:val="20"/>
                <w:color w:val="auto"/>
              </w:rPr>
            </w:pPr>
            <w:r>
              <w:rPr>
                <w:rFonts w:ascii="Arial" w:cs="Arial" w:eastAsia="Arial" w:hAnsi="Arial"/>
                <w:sz w:val="16"/>
                <w:szCs w:val="16"/>
                <w:color w:val="auto"/>
              </w:rPr>
              <w:t>10-K</w:t>
            </w:r>
          </w:p>
        </w:tc>
      </w:tr>
      <w:tr>
        <w:trPr>
          <w:trHeight w:val="142"/>
        </w:trPr>
        <w:tc>
          <w:tcPr>
            <w:tcW w:w="84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366">
              <w:r>
                <w:rPr>
                  <w:rFonts w:ascii="Arial" w:cs="Arial" w:eastAsia="Arial" w:hAnsi="Arial"/>
                  <w:sz w:val="16"/>
                  <w:szCs w:val="16"/>
                  <w:color w:val="0000FF"/>
                  <w:w w:val="99"/>
                </w:rPr>
                <w:t>2021.</w:t>
              </w:r>
            </w:hyperlink>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10.26#</w:t>
            </w:r>
          </w:p>
        </w:tc>
        <w:tc>
          <w:tcPr>
            <w:tcW w:w="4740" w:type="dxa"/>
            <w:vAlign w:val="bottom"/>
            <w:gridSpan w:val="40"/>
          </w:tcPr>
          <w:p>
            <w:pPr>
              <w:spacing w:after="0"/>
              <w:rPr>
                <w:rFonts w:ascii="Arial" w:cs="Arial" w:eastAsia="Arial" w:hAnsi="Arial"/>
                <w:sz w:val="16"/>
                <w:szCs w:val="16"/>
                <w:color w:val="0000FF"/>
              </w:rPr>
            </w:pPr>
            <w:hyperlink r:id="rId367">
              <w:r>
                <w:rPr>
                  <w:rFonts w:ascii="Arial" w:cs="Arial" w:eastAsia="Arial" w:hAnsi="Arial"/>
                  <w:sz w:val="16"/>
                  <w:szCs w:val="16"/>
                  <w:color w:val="0000FF"/>
                </w:rPr>
                <w:t>Master Agreement between the Company and Tempus Labs, Inc</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rPr>
              <w:t>10-Q</w:t>
            </w:r>
          </w:p>
        </w:tc>
      </w:tr>
      <w:tr>
        <w:trPr>
          <w:trHeight w:val="142"/>
        </w:trPr>
        <w:tc>
          <w:tcPr>
            <w:tcW w:w="84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367">
              <w:r>
                <w:rPr>
                  <w:rFonts w:ascii="Arial" w:cs="Arial" w:eastAsia="Arial" w:hAnsi="Arial"/>
                  <w:sz w:val="16"/>
                  <w:szCs w:val="16"/>
                  <w:color w:val="0000FF"/>
                </w:rPr>
                <w:t>dated November 3, 2023.</w:t>
              </w:r>
            </w:hyperlink>
          </w:p>
        </w:tc>
        <w:tc>
          <w:tcPr>
            <w:tcW w:w="2840" w:type="dxa"/>
            <w:vAlign w:val="bottom"/>
            <w:tcBorders>
              <w:top w:val="single" w:sz="8" w:color="0000FF"/>
            </w:tcBorders>
            <w:gridSpan w:val="27"/>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119"/>
              <w:spacing w:after="0"/>
              <w:rPr>
                <w:sz w:val="20"/>
                <w:szCs w:val="20"/>
                <w:color w:val="auto"/>
              </w:rPr>
            </w:pPr>
            <w:r>
              <w:rPr>
                <w:rFonts w:ascii="Arial" w:cs="Arial" w:eastAsia="Arial" w:hAnsi="Arial"/>
                <w:sz w:val="16"/>
                <w:szCs w:val="16"/>
                <w:color w:val="auto"/>
              </w:rPr>
              <w:t>10.27^</w:t>
            </w:r>
          </w:p>
        </w:tc>
        <w:tc>
          <w:tcPr>
            <w:tcW w:w="4740" w:type="dxa"/>
            <w:vAlign w:val="bottom"/>
            <w:gridSpan w:val="40"/>
          </w:tcPr>
          <w:p>
            <w:pPr>
              <w:spacing w:after="0"/>
              <w:rPr>
                <w:rFonts w:ascii="Arial" w:cs="Arial" w:eastAsia="Arial" w:hAnsi="Arial"/>
                <w:sz w:val="16"/>
                <w:szCs w:val="16"/>
                <w:color w:val="0000FF"/>
              </w:rPr>
            </w:pPr>
            <w:hyperlink r:id="rId368">
              <w:r>
                <w:rPr>
                  <w:rFonts w:ascii="Arial" w:cs="Arial" w:eastAsia="Arial" w:hAnsi="Arial"/>
                  <w:sz w:val="16"/>
                  <w:szCs w:val="16"/>
                  <w:color w:val="0000FF"/>
                </w:rPr>
                <w:t>Stock Purchase Agreement, dated October 24, 2022, by and</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6"/>
              </w:rPr>
              <w:t>8-K</w:t>
            </w:r>
          </w:p>
        </w:tc>
      </w:tr>
      <w:tr>
        <w:trPr>
          <w:trHeight w:val="142"/>
        </w:trPr>
        <w:tc>
          <w:tcPr>
            <w:tcW w:w="840" w:type="dxa"/>
            <w:vAlign w:val="bottom"/>
          </w:tcPr>
          <w:p>
            <w:pPr>
              <w:spacing w:after="0"/>
              <w:rPr>
                <w:sz w:val="12"/>
                <w:szCs w:val="12"/>
                <w:color w:val="auto"/>
              </w:rPr>
            </w:pPr>
          </w:p>
        </w:tc>
        <w:tc>
          <w:tcPr>
            <w:tcW w:w="43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368">
              <w:r>
                <w:rPr>
                  <w:rFonts w:ascii="Arial" w:cs="Arial" w:eastAsia="Arial" w:hAnsi="Arial"/>
                  <w:sz w:val="16"/>
                  <w:szCs w:val="16"/>
                  <w:color w:val="0000FF"/>
                </w:rPr>
                <w:t>among the Company and the Purchasers.</w:t>
              </w:r>
            </w:hyperlink>
          </w:p>
        </w:tc>
        <w:tc>
          <w:tcPr>
            <w:tcW w:w="40" w:type="dxa"/>
            <w:vAlign w:val="bottom"/>
            <w:gridSpan w:val="2"/>
          </w:tcPr>
          <w:p>
            <w:pPr>
              <w:spacing w:after="0"/>
              <w:rPr>
                <w:sz w:val="12"/>
                <w:szCs w:val="12"/>
                <w:color w:val="auto"/>
              </w:rPr>
            </w:pPr>
          </w:p>
        </w:tc>
        <w:tc>
          <w:tcPr>
            <w:tcW w:w="2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119"/>
              <w:spacing w:after="0"/>
              <w:rPr>
                <w:sz w:val="20"/>
                <w:szCs w:val="20"/>
                <w:color w:val="auto"/>
              </w:rPr>
            </w:pPr>
            <w:r>
              <w:rPr>
                <w:rFonts w:ascii="Arial" w:cs="Arial" w:eastAsia="Arial" w:hAnsi="Arial"/>
                <w:sz w:val="16"/>
                <w:szCs w:val="16"/>
                <w:color w:val="auto"/>
              </w:rPr>
              <w:t>10.28^</w:t>
            </w:r>
          </w:p>
        </w:tc>
        <w:tc>
          <w:tcPr>
            <w:tcW w:w="4740" w:type="dxa"/>
            <w:vAlign w:val="bottom"/>
            <w:gridSpan w:val="40"/>
          </w:tcPr>
          <w:p>
            <w:pPr>
              <w:spacing w:after="0"/>
              <w:rPr>
                <w:rFonts w:ascii="Arial" w:cs="Arial" w:eastAsia="Arial" w:hAnsi="Arial"/>
                <w:sz w:val="16"/>
                <w:szCs w:val="16"/>
                <w:color w:val="0000FF"/>
              </w:rPr>
            </w:pPr>
            <w:hyperlink r:id="rId369">
              <w:r>
                <w:rPr>
                  <w:rFonts w:ascii="Arial" w:cs="Arial" w:eastAsia="Arial" w:hAnsi="Arial"/>
                  <w:sz w:val="16"/>
                  <w:szCs w:val="16"/>
                  <w:color w:val="0000FF"/>
                </w:rPr>
                <w:t>Stock Purchase Agreement, dated July 11, 2023, by and among</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w w:val="96"/>
              </w:rPr>
              <w:t>8-K</w:t>
            </w:r>
          </w:p>
        </w:tc>
      </w:tr>
      <w:tr>
        <w:trPr>
          <w:trHeight w:val="142"/>
        </w:trPr>
        <w:tc>
          <w:tcPr>
            <w:tcW w:w="84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369">
              <w:r>
                <w:rPr>
                  <w:rFonts w:ascii="Arial" w:cs="Arial" w:eastAsia="Arial" w:hAnsi="Arial"/>
                  <w:sz w:val="16"/>
                  <w:szCs w:val="16"/>
                  <w:color w:val="0000FF"/>
                </w:rPr>
                <w:t>the Registrant and NVIDIA.</w:t>
              </w:r>
            </w:hyperlink>
          </w:p>
        </w:tc>
        <w:tc>
          <w:tcPr>
            <w:tcW w:w="262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119"/>
              <w:spacing w:after="0"/>
              <w:rPr>
                <w:sz w:val="20"/>
                <w:szCs w:val="20"/>
                <w:color w:val="auto"/>
              </w:rPr>
            </w:pPr>
            <w:r>
              <w:rPr>
                <w:rFonts w:ascii="Arial" w:cs="Arial" w:eastAsia="Arial" w:hAnsi="Arial"/>
                <w:sz w:val="16"/>
                <w:szCs w:val="16"/>
                <w:color w:val="auto"/>
              </w:rPr>
              <w:t>10.29^</w:t>
            </w:r>
          </w:p>
        </w:tc>
        <w:tc>
          <w:tcPr>
            <w:tcW w:w="4740" w:type="dxa"/>
            <w:vAlign w:val="bottom"/>
            <w:gridSpan w:val="40"/>
          </w:tcPr>
          <w:p>
            <w:pPr>
              <w:spacing w:after="0"/>
              <w:rPr>
                <w:rFonts w:ascii="Arial" w:cs="Arial" w:eastAsia="Arial" w:hAnsi="Arial"/>
                <w:sz w:val="16"/>
                <w:szCs w:val="16"/>
                <w:color w:val="0000FF"/>
              </w:rPr>
            </w:pPr>
            <w:hyperlink r:id="rId370">
              <w:r>
                <w:rPr>
                  <w:rFonts w:ascii="Arial" w:cs="Arial" w:eastAsia="Arial" w:hAnsi="Arial"/>
                  <w:sz w:val="16"/>
                  <w:szCs w:val="16"/>
                  <w:color w:val="0000FF"/>
                </w:rPr>
                <w:t>Open Market Sales Agreement dated August 8, 2023 by and</w:t>
              </w:r>
            </w:hyperlink>
          </w:p>
        </w:tc>
        <w:tc>
          <w:tcPr>
            <w:tcW w:w="660" w:type="dxa"/>
            <w:vAlign w:val="bottom"/>
          </w:tcPr>
          <w:p>
            <w:pPr>
              <w:jc w:val="center"/>
              <w:ind w:left="179"/>
              <w:spacing w:after="0"/>
              <w:rPr>
                <w:sz w:val="20"/>
                <w:szCs w:val="20"/>
                <w:color w:val="auto"/>
              </w:rPr>
            </w:pPr>
            <w:r>
              <w:rPr>
                <w:rFonts w:ascii="Arial" w:cs="Arial" w:eastAsia="Arial" w:hAnsi="Arial"/>
                <w:sz w:val="16"/>
                <w:szCs w:val="16"/>
                <w:color w:val="auto"/>
              </w:rPr>
              <w:t>10-Q</w:t>
            </w:r>
          </w:p>
        </w:tc>
      </w:tr>
      <w:tr>
        <w:trPr>
          <w:trHeight w:val="142"/>
        </w:trPr>
        <w:tc>
          <w:tcPr>
            <w:tcW w:w="840" w:type="dxa"/>
            <w:vAlign w:val="bottom"/>
          </w:tcPr>
          <w:p>
            <w:pPr>
              <w:spacing w:after="0"/>
              <w:rPr>
                <w:sz w:val="12"/>
                <w:szCs w:val="12"/>
                <w:color w:val="auto"/>
              </w:rPr>
            </w:pPr>
          </w:p>
        </w:tc>
        <w:tc>
          <w:tcPr>
            <w:tcW w:w="43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370">
              <w:r>
                <w:rPr>
                  <w:rFonts w:ascii="Arial" w:cs="Arial" w:eastAsia="Arial" w:hAnsi="Arial"/>
                  <w:sz w:val="16"/>
                  <w:szCs w:val="16"/>
                  <w:color w:val="0000FF"/>
                </w:rPr>
                <w:t>between the Registrant and Jefferies LLC</w:t>
              </w:r>
              <w:r>
                <w:rPr>
                  <w:rFonts w:ascii="Arial" w:cs="Arial" w:eastAsia="Arial" w:hAnsi="Arial"/>
                  <w:sz w:val="16"/>
                  <w:szCs w:val="16"/>
                  <w:color w:val="000000"/>
                </w:rPr>
                <w:t>.</w:t>
              </w:r>
            </w:hyperlink>
          </w:p>
        </w:tc>
        <w:tc>
          <w:tcPr>
            <w:tcW w:w="40" w:type="dxa"/>
            <w:vAlign w:val="bottom"/>
            <w:gridSpan w:val="2"/>
          </w:tcPr>
          <w:p>
            <w:pPr>
              <w:spacing w:after="0"/>
              <w:rPr>
                <w:sz w:val="12"/>
                <w:szCs w:val="12"/>
                <w:color w:val="auto"/>
              </w:rPr>
            </w:pPr>
          </w:p>
        </w:tc>
        <w:tc>
          <w:tcPr>
            <w:tcW w:w="2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21.1</w:t>
            </w:r>
          </w:p>
        </w:tc>
        <w:tc>
          <w:tcPr>
            <w:tcW w:w="300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List of Subsidiaries.</w:t>
            </w:r>
          </w:p>
        </w:tc>
        <w:tc>
          <w:tcPr>
            <w:tcW w:w="1740" w:type="dxa"/>
            <w:vAlign w:val="bottom"/>
            <w:gridSpan w:val="29"/>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23.1</w:t>
            </w:r>
          </w:p>
        </w:tc>
        <w:tc>
          <w:tcPr>
            <w:tcW w:w="4740" w:type="dxa"/>
            <w:vAlign w:val="bottom"/>
            <w:gridSpan w:val="40"/>
          </w:tcPr>
          <w:p>
            <w:pPr>
              <w:spacing w:after="0"/>
              <w:rPr>
                <w:sz w:val="20"/>
                <w:szCs w:val="20"/>
                <w:color w:val="auto"/>
              </w:rPr>
            </w:pPr>
            <w:r>
              <w:rPr>
                <w:rFonts w:ascii="Arial" w:cs="Arial" w:eastAsia="Arial" w:hAnsi="Arial"/>
                <w:sz w:val="16"/>
                <w:szCs w:val="16"/>
                <w:color w:val="0000FF"/>
              </w:rPr>
              <w:t>Consent of Ernst and Young</w:t>
            </w: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24.1</w:t>
            </w:r>
          </w:p>
        </w:tc>
        <w:tc>
          <w:tcPr>
            <w:tcW w:w="4740" w:type="dxa"/>
            <w:vAlign w:val="bottom"/>
            <w:gridSpan w:val="40"/>
          </w:tcPr>
          <w:p>
            <w:pPr>
              <w:spacing w:after="0"/>
              <w:rPr>
                <w:sz w:val="20"/>
                <w:szCs w:val="20"/>
                <w:color w:val="auto"/>
              </w:rPr>
            </w:pPr>
            <w:r>
              <w:rPr>
                <w:rFonts w:ascii="Arial" w:cs="Arial" w:eastAsia="Arial" w:hAnsi="Arial"/>
                <w:sz w:val="16"/>
                <w:szCs w:val="16"/>
                <w:color w:val="0000FF"/>
              </w:rPr>
              <w:t>Power of Attorney (included on signature page to this Annual</w:t>
            </w:r>
          </w:p>
        </w:tc>
        <w:tc>
          <w:tcPr>
            <w:tcW w:w="660" w:type="dxa"/>
            <w:vAlign w:val="bottom"/>
          </w:tcPr>
          <w:p>
            <w:pPr>
              <w:spacing w:after="0"/>
              <w:rPr>
                <w:sz w:val="18"/>
                <w:szCs w:val="18"/>
                <w:color w:val="auto"/>
              </w:rPr>
            </w:pPr>
          </w:p>
        </w:tc>
      </w:tr>
      <w:tr>
        <w:trPr>
          <w:trHeight w:val="142"/>
        </w:trPr>
        <w:tc>
          <w:tcPr>
            <w:tcW w:w="840" w:type="dxa"/>
            <w:vAlign w:val="bottom"/>
          </w:tcPr>
          <w:p>
            <w:pPr>
              <w:spacing w:after="0"/>
              <w:rPr>
                <w:sz w:val="12"/>
                <w:szCs w:val="12"/>
                <w:color w:val="auto"/>
              </w:rPr>
            </w:pPr>
          </w:p>
        </w:tc>
        <w:tc>
          <w:tcPr>
            <w:tcW w:w="4380" w:type="dxa"/>
            <w:vAlign w:val="bottom"/>
            <w:tcBorders>
              <w:top w:val="single" w:sz="8" w:color="0000FF"/>
            </w:tcBorders>
            <w:gridSpan w:val="25"/>
          </w:tcPr>
          <w:p>
            <w:pPr>
              <w:spacing w:after="0" w:line="142" w:lineRule="exact"/>
              <w:rPr>
                <w:sz w:val="20"/>
                <w:szCs w:val="20"/>
                <w:color w:val="auto"/>
              </w:rPr>
            </w:pPr>
            <w:r>
              <w:rPr>
                <w:rFonts w:ascii="Arial" w:cs="Arial" w:eastAsia="Arial" w:hAnsi="Arial"/>
                <w:sz w:val="16"/>
                <w:szCs w:val="16"/>
                <w:color w:val="0000FF"/>
              </w:rPr>
              <w:t>Report on Form 10-K)</w:t>
            </w:r>
          </w:p>
        </w:tc>
        <w:tc>
          <w:tcPr>
            <w:tcW w:w="2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106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31.1</w:t>
            </w:r>
          </w:p>
        </w:tc>
        <w:tc>
          <w:tcPr>
            <w:tcW w:w="4740" w:type="dxa"/>
            <w:vAlign w:val="bottom"/>
            <w:gridSpan w:val="40"/>
          </w:tcPr>
          <w:p>
            <w:pPr>
              <w:spacing w:after="0"/>
              <w:rPr>
                <w:sz w:val="20"/>
                <w:szCs w:val="20"/>
                <w:color w:val="auto"/>
              </w:rPr>
            </w:pPr>
            <w:r>
              <w:rPr>
                <w:rFonts w:ascii="Arial" w:cs="Arial" w:eastAsia="Arial" w:hAnsi="Arial"/>
                <w:sz w:val="16"/>
                <w:szCs w:val="16"/>
                <w:color w:val="0000FF"/>
              </w:rPr>
              <w:t>Certification of Principal Executive Officer Pursuant to Rules 13a-</w:t>
            </w:r>
          </w:p>
        </w:tc>
        <w:tc>
          <w:tcPr>
            <w:tcW w:w="660" w:type="dxa"/>
            <w:vAlign w:val="bottom"/>
          </w:tcPr>
          <w:p>
            <w:pPr>
              <w:spacing w:after="0"/>
              <w:rPr>
                <w:sz w:val="17"/>
                <w:szCs w:val="17"/>
                <w:color w:val="auto"/>
              </w:rPr>
            </w:pPr>
          </w:p>
        </w:tc>
      </w:tr>
      <w:tr>
        <w:trPr>
          <w:trHeight w:val="142"/>
        </w:trPr>
        <w:tc>
          <w:tcPr>
            <w:tcW w:w="840" w:type="dxa"/>
            <w:vAlign w:val="bottom"/>
          </w:tcPr>
          <w:p>
            <w:pPr>
              <w:spacing w:after="0"/>
              <w:rPr>
                <w:sz w:val="12"/>
                <w:szCs w:val="12"/>
                <w:color w:val="auto"/>
              </w:rPr>
            </w:pPr>
          </w:p>
        </w:tc>
        <w:tc>
          <w:tcPr>
            <w:tcW w:w="4680" w:type="dxa"/>
            <w:vAlign w:val="bottom"/>
            <w:tcBorders>
              <w:top w:val="single" w:sz="8" w:color="0000FF"/>
            </w:tcBorders>
            <w:gridSpan w:val="37"/>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620" w:type="dxa"/>
            <w:vAlign w:val="bottom"/>
            <w:tcBorders>
              <w:top w:val="single" w:sz="8" w:color="0000FF"/>
              <w:bottom w:val="single" w:sz="8" w:color="0000FF"/>
            </w:tcBorders>
            <w:gridSpan w:val="32"/>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20" w:type="dxa"/>
            <w:vAlign w:val="bottom"/>
            <w:tcBorders>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w w:val="74"/>
              </w:rPr>
              <w:t>of</w:t>
            </w:r>
          </w:p>
        </w:tc>
        <w:tc>
          <w:tcPr>
            <w:tcW w:w="6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2002.</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31.2</w:t>
            </w:r>
          </w:p>
        </w:tc>
        <w:tc>
          <w:tcPr>
            <w:tcW w:w="4740" w:type="dxa"/>
            <w:vAlign w:val="bottom"/>
            <w:gridSpan w:val="40"/>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660" w:type="dxa"/>
            <w:vAlign w:val="bottom"/>
          </w:tcPr>
          <w:p>
            <w:pPr>
              <w:spacing w:after="0"/>
              <w:rPr>
                <w:sz w:val="17"/>
                <w:szCs w:val="17"/>
                <w:color w:val="auto"/>
              </w:rPr>
            </w:pPr>
          </w:p>
        </w:tc>
      </w:tr>
      <w:tr>
        <w:trPr>
          <w:trHeight w:val="142"/>
        </w:trPr>
        <w:tc>
          <w:tcPr>
            <w:tcW w:w="840" w:type="dxa"/>
            <w:vAlign w:val="bottom"/>
          </w:tcPr>
          <w:p>
            <w:pPr>
              <w:spacing w:after="0"/>
              <w:rPr>
                <w:sz w:val="12"/>
                <w:szCs w:val="12"/>
                <w:color w:val="auto"/>
              </w:rPr>
            </w:pPr>
          </w:p>
        </w:tc>
        <w:tc>
          <w:tcPr>
            <w:tcW w:w="4640" w:type="dxa"/>
            <w:vAlign w:val="bottom"/>
            <w:tcBorders>
              <w:top w:val="single" w:sz="8" w:color="0000FF"/>
            </w:tcBorders>
            <w:gridSpan w:val="33"/>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620" w:type="dxa"/>
            <w:vAlign w:val="bottom"/>
            <w:tcBorders>
              <w:top w:val="single" w:sz="8" w:color="0000FF"/>
              <w:bottom w:val="single" w:sz="8" w:color="0000FF"/>
            </w:tcBorders>
            <w:gridSpan w:val="32"/>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20" w:type="dxa"/>
            <w:vAlign w:val="bottom"/>
            <w:tcBorders>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w w:val="74"/>
              </w:rPr>
              <w:t>of</w:t>
            </w:r>
          </w:p>
        </w:tc>
        <w:tc>
          <w:tcPr>
            <w:tcW w:w="6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2002.</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32.1*</w:t>
            </w:r>
          </w:p>
        </w:tc>
        <w:tc>
          <w:tcPr>
            <w:tcW w:w="4740" w:type="dxa"/>
            <w:vAlign w:val="bottom"/>
            <w:gridSpan w:val="40"/>
          </w:tcPr>
          <w:p>
            <w:pPr>
              <w:spacing w:after="0"/>
              <w:rPr>
                <w:sz w:val="20"/>
                <w:szCs w:val="20"/>
                <w:color w:val="auto"/>
              </w:rPr>
            </w:pPr>
            <w:r>
              <w:rPr>
                <w:rFonts w:ascii="Arial" w:cs="Arial" w:eastAsia="Arial" w:hAnsi="Arial"/>
                <w:sz w:val="16"/>
                <w:szCs w:val="16"/>
                <w:color w:val="0000FF"/>
              </w:rPr>
              <w:t>Certification of Principal Executive Officer and Principal Financial</w:t>
            </w:r>
          </w:p>
        </w:tc>
        <w:tc>
          <w:tcPr>
            <w:tcW w:w="660" w:type="dxa"/>
            <w:vAlign w:val="bottom"/>
          </w:tcPr>
          <w:p>
            <w:pPr>
              <w:spacing w:after="0"/>
              <w:rPr>
                <w:sz w:val="17"/>
                <w:szCs w:val="17"/>
                <w:color w:val="auto"/>
              </w:rPr>
            </w:pPr>
          </w:p>
        </w:tc>
      </w:tr>
      <w:tr>
        <w:trPr>
          <w:trHeight w:val="142"/>
        </w:trPr>
        <w:tc>
          <w:tcPr>
            <w:tcW w:w="840" w:type="dxa"/>
            <w:vAlign w:val="bottom"/>
          </w:tcPr>
          <w:p>
            <w:pPr>
              <w:spacing w:after="0"/>
              <w:rPr>
                <w:sz w:val="12"/>
                <w:szCs w:val="12"/>
                <w:color w:val="auto"/>
              </w:rPr>
            </w:pPr>
          </w:p>
        </w:tc>
        <w:tc>
          <w:tcPr>
            <w:tcW w:w="4700" w:type="dxa"/>
            <w:vAlign w:val="bottom"/>
            <w:tcBorders>
              <w:top w:val="single" w:sz="8" w:color="0000FF"/>
              <w:bottom w:val="single" w:sz="8" w:color="0000FF"/>
            </w:tcBorders>
            <w:gridSpan w:val="36"/>
          </w:tcPr>
          <w:p>
            <w:pPr>
              <w:spacing w:after="0" w:line="142" w:lineRule="exact"/>
              <w:rPr>
                <w:sz w:val="20"/>
                <w:szCs w:val="20"/>
                <w:color w:val="auto"/>
              </w:rPr>
            </w:pPr>
            <w:r>
              <w:rPr>
                <w:rFonts w:ascii="Arial" w:cs="Arial" w:eastAsia="Arial" w:hAnsi="Arial"/>
                <w:sz w:val="16"/>
                <w:szCs w:val="16"/>
                <w:color w:val="0000FF"/>
              </w:rPr>
              <w:t>Officer Pursuant to 18 U.S.C. Section 1350, as Adopted Pursuant</w:t>
            </w:r>
          </w:p>
        </w:tc>
        <w:tc>
          <w:tcPr>
            <w:tcW w:w="2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720" w:type="dxa"/>
            <w:vAlign w:val="bottom"/>
            <w:gridSpan w:val="39"/>
          </w:tcPr>
          <w:p>
            <w:pPr>
              <w:spacing w:after="0" w:line="142" w:lineRule="exact"/>
              <w:rPr>
                <w:sz w:val="20"/>
                <w:szCs w:val="20"/>
                <w:color w:val="auto"/>
              </w:rPr>
            </w:pPr>
            <w:r>
              <w:rPr>
                <w:rFonts w:ascii="Arial" w:cs="Arial" w:eastAsia="Arial" w:hAnsi="Arial"/>
                <w:sz w:val="16"/>
                <w:szCs w:val="16"/>
                <w:color w:val="0000FF"/>
              </w:rPr>
              <w:t>to Section 906 of the Sarbanes-Oxley Act of 2002</w:t>
            </w:r>
            <w:r>
              <w:rPr>
                <w:rFonts w:ascii="Arial" w:cs="Arial" w:eastAsia="Arial" w:hAnsi="Arial"/>
                <w:sz w:val="16"/>
                <w:szCs w:val="16"/>
                <w:color w:val="000000"/>
              </w:rPr>
              <w:t>.</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gridSpan w:val="13"/>
            <w:shd w:val="clear" w:color="auto" w:fill="0000FF"/>
          </w:tcPr>
          <w:p>
            <w:pPr>
              <w:spacing w:after="0" w:line="20" w:lineRule="exact"/>
              <w:rPr>
                <w:sz w:val="1"/>
                <w:szCs w:val="1"/>
                <w:color w:val="auto"/>
              </w:rPr>
            </w:pPr>
          </w:p>
        </w:tc>
        <w:tc>
          <w:tcPr>
            <w:tcW w:w="1100" w:type="dxa"/>
            <w:vAlign w:val="bottom"/>
            <w:gridSpan w:val="21"/>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97.1</w:t>
            </w:r>
          </w:p>
        </w:tc>
        <w:tc>
          <w:tcPr>
            <w:tcW w:w="4660" w:type="dxa"/>
            <w:vAlign w:val="bottom"/>
            <w:tcBorders>
              <w:bottom w:val="single" w:sz="8" w:color="0000FF"/>
            </w:tcBorders>
            <w:gridSpan w:val="34"/>
          </w:tcPr>
          <w:p>
            <w:pPr>
              <w:spacing w:after="0"/>
              <w:rPr>
                <w:sz w:val="20"/>
                <w:szCs w:val="20"/>
                <w:color w:val="auto"/>
              </w:rPr>
            </w:pPr>
            <w:r>
              <w:rPr>
                <w:rFonts w:ascii="Arial" w:cs="Arial" w:eastAsia="Arial" w:hAnsi="Arial"/>
                <w:sz w:val="16"/>
                <w:szCs w:val="16"/>
                <w:color w:val="0000FF"/>
              </w:rPr>
              <w:t>Recursion Pharmaceuticals, Inc. Compensation Recovery Policy</w:t>
            </w:r>
          </w:p>
        </w:tc>
        <w:tc>
          <w:tcPr>
            <w:tcW w:w="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r>
      <w:tr>
        <w:trPr>
          <w:trHeight w:val="235"/>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101.INS</w:t>
            </w:r>
          </w:p>
        </w:tc>
        <w:tc>
          <w:tcPr>
            <w:tcW w:w="4740" w:type="dxa"/>
            <w:vAlign w:val="bottom"/>
            <w:gridSpan w:val="40"/>
          </w:tcPr>
          <w:p>
            <w:pPr>
              <w:spacing w:after="0"/>
              <w:rPr>
                <w:sz w:val="20"/>
                <w:szCs w:val="20"/>
                <w:color w:val="auto"/>
              </w:rPr>
            </w:pPr>
            <w:r>
              <w:rPr>
                <w:rFonts w:ascii="Arial" w:cs="Arial" w:eastAsia="Arial" w:hAnsi="Arial"/>
                <w:sz w:val="16"/>
                <w:szCs w:val="16"/>
                <w:color w:val="auto"/>
              </w:rPr>
              <w:t>XBRL Instance Document</w:t>
            </w:r>
          </w:p>
        </w:tc>
        <w:tc>
          <w:tcPr>
            <w:tcW w:w="660" w:type="dxa"/>
            <w:vAlign w:val="bottom"/>
          </w:tcPr>
          <w:p>
            <w:pPr>
              <w:spacing w:after="0"/>
              <w:rPr>
                <w:sz w:val="20"/>
                <w:szCs w:val="20"/>
                <w:color w:val="auto"/>
              </w:rPr>
            </w:pPr>
          </w:p>
        </w:tc>
      </w:tr>
      <w:tr>
        <w:trPr>
          <w:trHeight w:val="21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101.SCH</w:t>
            </w:r>
          </w:p>
        </w:tc>
        <w:tc>
          <w:tcPr>
            <w:tcW w:w="4740" w:type="dxa"/>
            <w:vAlign w:val="bottom"/>
            <w:gridSpan w:val="40"/>
          </w:tcPr>
          <w:p>
            <w:pPr>
              <w:spacing w:after="0"/>
              <w:rPr>
                <w:sz w:val="20"/>
                <w:szCs w:val="20"/>
                <w:color w:val="auto"/>
              </w:rPr>
            </w:pPr>
            <w:r>
              <w:rPr>
                <w:rFonts w:ascii="Arial" w:cs="Arial" w:eastAsia="Arial" w:hAnsi="Arial"/>
                <w:sz w:val="16"/>
                <w:szCs w:val="16"/>
                <w:color w:val="auto"/>
              </w:rPr>
              <w:t>XBRL Taxonomy Extension Schema Document</w:t>
            </w:r>
          </w:p>
        </w:tc>
        <w:tc>
          <w:tcPr>
            <w:tcW w:w="660" w:type="dxa"/>
            <w:vAlign w:val="bottom"/>
          </w:tcPr>
          <w:p>
            <w:pPr>
              <w:spacing w:after="0"/>
              <w:rPr>
                <w:sz w:val="18"/>
                <w:szCs w:val="18"/>
                <w:color w:val="auto"/>
              </w:rPr>
            </w:pPr>
          </w:p>
        </w:tc>
      </w:tr>
      <w:tr>
        <w:trPr>
          <w:trHeight w:val="21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9"/>
              </w:rPr>
              <w:t>101.CAL</w:t>
            </w:r>
          </w:p>
        </w:tc>
        <w:tc>
          <w:tcPr>
            <w:tcW w:w="4740" w:type="dxa"/>
            <w:vAlign w:val="bottom"/>
            <w:gridSpan w:val="40"/>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665480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April 15, 2021</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August 8, 2023</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April 15, 2021</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rPr>
              <w:t>10.22</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April 15, 2021</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rPr>
              <w:t>10.23</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April 15, 2021</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February 27, 2023</w:t>
            </w:r>
          </w:p>
        </w:tc>
      </w:tr>
      <w:tr>
        <w:trPr>
          <w:trHeight w:val="540"/>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rPr>
              <w:t>10.14</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April 15, 2021</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10.11</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March 23, 2022</w:t>
            </w:r>
          </w:p>
        </w:tc>
      </w:tr>
      <w:tr>
        <w:trPr>
          <w:trHeight w:val="378"/>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540"/>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rPr>
              <w:t>10.15</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April 15, 2021</w:t>
            </w:r>
          </w:p>
        </w:tc>
      </w:tr>
      <w:tr>
        <w:trPr>
          <w:trHeight w:val="540"/>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rPr>
              <w:t>10.16</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April 15, 2021</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rPr>
              <w:t>10.17</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April 15, 2021</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rPr>
              <w:t>10.25</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March 23, 2022</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November 9, 2023</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w w:val="99"/>
              </w:rPr>
              <w:t>Oct. 25, 2022</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July 12, 2023</w:t>
            </w:r>
          </w:p>
        </w:tc>
      </w:tr>
      <w:tr>
        <w:trPr>
          <w:trHeight w:val="378"/>
        </w:trPr>
        <w:tc>
          <w:tcPr>
            <w:tcW w:w="1040" w:type="dxa"/>
            <w:vAlign w:val="bottom"/>
          </w:tcPr>
          <w:p>
            <w:pPr>
              <w:jc w:val="center"/>
              <w:ind w:right="99"/>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August 8, 2023</w:t>
            </w:r>
          </w:p>
        </w:tc>
      </w:tr>
    </w:tbl>
    <w:p>
      <w:pPr>
        <w:spacing w:after="0" w:line="1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240" w:space="420"/>
            <w:col w:w="3920"/>
          </w:cols>
          <w:pgMar w:left="500" w:top="968" w:right="819" w:bottom="1440" w:gutter="0" w:footer="0" w:header="0"/>
        </w:sectPr>
      </w:pPr>
    </w:p>
    <w:bookmarkStart w:id="208" w:name="page209"/>
    <w:bookmarkEnd w:id="208"/>
    <w:tbl>
      <w:tblPr>
        <w:tblLayout w:type="fixed"/>
        <w:tblInd w:w="180" w:type="dxa"/>
        <w:tblCellMar>
          <w:top w:w="0" w:type="dxa"/>
          <w:left w:w="0" w:type="dxa"/>
          <w:bottom w:w="0" w:type="dxa"/>
          <w:right w:w="0" w:type="dxa"/>
        </w:tblCellMar>
      </w:tblPr>
      <w:tr>
        <w:trPr>
          <w:trHeight w:val="215"/>
        </w:trPr>
        <w:tc>
          <w:tcPr>
            <w:tcW w:w="760" w:type="dxa"/>
            <w:vAlign w:val="bottom"/>
          </w:tcPr>
          <w:p>
            <w:pPr>
              <w:jc w:val="center"/>
              <w:ind w:right="39"/>
              <w:spacing w:after="0"/>
              <w:rPr>
                <w:sz w:val="20"/>
                <w:szCs w:val="20"/>
                <w:color w:val="auto"/>
              </w:rPr>
            </w:pPr>
            <w:r>
              <w:rPr>
                <w:rFonts w:ascii="Arial" w:cs="Arial" w:eastAsia="Arial" w:hAnsi="Arial"/>
                <w:sz w:val="16"/>
                <w:szCs w:val="16"/>
                <w:color w:val="auto"/>
              </w:rPr>
              <w:t>101.DEF</w:t>
            </w:r>
          </w:p>
        </w:tc>
        <w:tc>
          <w:tcPr>
            <w:tcW w:w="7180" w:type="dxa"/>
            <w:vAlign w:val="bottom"/>
          </w:tcPr>
          <w:p>
            <w:pPr>
              <w:ind w:left="80"/>
              <w:spacing w:after="0"/>
              <w:rPr>
                <w:sz w:val="20"/>
                <w:szCs w:val="20"/>
                <w:color w:val="auto"/>
              </w:rPr>
            </w:pPr>
            <w:r>
              <w:rPr>
                <w:rFonts w:ascii="Arial" w:cs="Arial" w:eastAsia="Arial" w:hAnsi="Arial"/>
                <w:sz w:val="16"/>
                <w:szCs w:val="16"/>
                <w:color w:val="auto"/>
              </w:rPr>
              <w:t>XBRL Taxonomy Extension Definition Linkbase Document</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216"/>
        </w:trPr>
        <w:tc>
          <w:tcPr>
            <w:tcW w:w="760" w:type="dxa"/>
            <w:vAlign w:val="bottom"/>
          </w:tcPr>
          <w:p>
            <w:pPr>
              <w:jc w:val="center"/>
              <w:ind w:right="19"/>
              <w:spacing w:after="0"/>
              <w:rPr>
                <w:sz w:val="20"/>
                <w:szCs w:val="20"/>
                <w:color w:val="auto"/>
              </w:rPr>
            </w:pPr>
            <w:r>
              <w:rPr>
                <w:rFonts w:ascii="Arial" w:cs="Arial" w:eastAsia="Arial" w:hAnsi="Arial"/>
                <w:sz w:val="16"/>
                <w:szCs w:val="16"/>
                <w:color w:val="auto"/>
              </w:rPr>
              <w:t>101.LAB</w:t>
            </w:r>
          </w:p>
        </w:tc>
        <w:tc>
          <w:tcPr>
            <w:tcW w:w="7180" w:type="dxa"/>
            <w:vAlign w:val="bottom"/>
          </w:tcPr>
          <w:p>
            <w:pPr>
              <w:ind w:left="80"/>
              <w:spacing w:after="0"/>
              <w:rPr>
                <w:sz w:val="20"/>
                <w:szCs w:val="20"/>
                <w:color w:val="auto"/>
              </w:rPr>
            </w:pPr>
            <w:r>
              <w:rPr>
                <w:rFonts w:ascii="Arial" w:cs="Arial" w:eastAsia="Arial" w:hAnsi="Arial"/>
                <w:sz w:val="16"/>
                <w:szCs w:val="16"/>
                <w:color w:val="auto"/>
              </w:rPr>
              <w:t>XBRL Taxonomy Extension Label Linkbase Document</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216"/>
        </w:trPr>
        <w:tc>
          <w:tcPr>
            <w:tcW w:w="760" w:type="dxa"/>
            <w:vAlign w:val="bottom"/>
          </w:tcPr>
          <w:p>
            <w:pPr>
              <w:jc w:val="center"/>
              <w:spacing w:after="0"/>
              <w:rPr>
                <w:sz w:val="20"/>
                <w:szCs w:val="20"/>
                <w:color w:val="auto"/>
              </w:rPr>
            </w:pPr>
            <w:r>
              <w:rPr>
                <w:rFonts w:ascii="Arial" w:cs="Arial" w:eastAsia="Arial" w:hAnsi="Arial"/>
                <w:sz w:val="16"/>
                <w:szCs w:val="16"/>
                <w:color w:val="auto"/>
              </w:rPr>
              <w:t>101.PRE</w:t>
            </w:r>
          </w:p>
        </w:tc>
        <w:tc>
          <w:tcPr>
            <w:tcW w:w="7180" w:type="dxa"/>
            <w:vAlign w:val="bottom"/>
          </w:tcPr>
          <w:p>
            <w:pPr>
              <w:ind w:left="80"/>
              <w:spacing w:after="0"/>
              <w:rPr>
                <w:sz w:val="20"/>
                <w:szCs w:val="20"/>
                <w:color w:val="auto"/>
              </w:rPr>
            </w:pPr>
            <w:r>
              <w:rPr>
                <w:rFonts w:ascii="Arial" w:cs="Arial" w:eastAsia="Arial" w:hAnsi="Arial"/>
                <w:sz w:val="16"/>
                <w:szCs w:val="16"/>
                <w:color w:val="auto"/>
              </w:rPr>
              <w:t>XBRL Taxonomy Extension Presentation Linkbase Document</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164"/>
        </w:trPr>
        <w:tc>
          <w:tcPr>
            <w:tcW w:w="760" w:type="dxa"/>
            <w:vAlign w:val="bottom"/>
          </w:tcPr>
          <w:p>
            <w:pPr>
              <w:jc w:val="center"/>
              <w:ind w:right="19"/>
              <w:spacing w:after="0" w:line="164" w:lineRule="exact"/>
              <w:rPr>
                <w:sz w:val="20"/>
                <w:szCs w:val="20"/>
                <w:color w:val="auto"/>
              </w:rPr>
            </w:pPr>
            <w:r>
              <w:rPr>
                <w:rFonts w:ascii="Arial" w:cs="Arial" w:eastAsia="Arial" w:hAnsi="Arial"/>
                <w:sz w:val="16"/>
                <w:szCs w:val="16"/>
                <w:color w:val="auto"/>
                <w:w w:val="97"/>
              </w:rPr>
              <w:t>104</w:t>
            </w:r>
          </w:p>
        </w:tc>
        <w:tc>
          <w:tcPr>
            <w:tcW w:w="7180" w:type="dxa"/>
            <w:vAlign w:val="bottom"/>
          </w:tcPr>
          <w:p>
            <w:pPr>
              <w:ind w:left="80"/>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2640" w:type="dxa"/>
            <w:vAlign w:val="bottom"/>
          </w:tcPr>
          <w:p>
            <w:pPr>
              <w:ind w:left="2540"/>
              <w:spacing w:after="0" w:line="164" w:lineRule="exact"/>
              <w:rPr>
                <w:sz w:val="20"/>
                <w:szCs w:val="20"/>
                <w:color w:val="auto"/>
              </w:rPr>
            </w:pPr>
            <w:r>
              <w:rPr>
                <w:rFonts w:ascii="Arial" w:cs="Arial" w:eastAsia="Arial" w:hAnsi="Arial"/>
                <w:sz w:val="16"/>
                <w:szCs w:val="16"/>
                <w:color w:val="auto"/>
                <w:w w:val="74"/>
              </w:rPr>
              <w:t>X</w:t>
            </w:r>
          </w:p>
        </w:tc>
      </w:tr>
      <w:tr>
        <w:trPr>
          <w:trHeight w:val="215"/>
        </w:trPr>
        <w:tc>
          <w:tcPr>
            <w:tcW w:w="760" w:type="dxa"/>
            <w:vAlign w:val="bottom"/>
          </w:tcPr>
          <w:p>
            <w:pPr>
              <w:spacing w:after="0"/>
              <w:rPr>
                <w:sz w:val="18"/>
                <w:szCs w:val="18"/>
                <w:color w:val="auto"/>
              </w:rPr>
            </w:pPr>
          </w:p>
        </w:tc>
        <w:tc>
          <w:tcPr>
            <w:tcW w:w="7180" w:type="dxa"/>
            <w:vAlign w:val="bottom"/>
          </w:tcPr>
          <w:p>
            <w:pPr>
              <w:ind w:left="80"/>
              <w:spacing w:after="0"/>
              <w:rPr>
                <w:sz w:val="20"/>
                <w:szCs w:val="20"/>
                <w:color w:val="auto"/>
              </w:rPr>
            </w:pPr>
            <w:r>
              <w:rPr>
                <w:rFonts w:ascii="Arial" w:cs="Arial" w:eastAsia="Arial" w:hAnsi="Arial"/>
                <w:sz w:val="16"/>
                <w:szCs w:val="16"/>
                <w:color w:val="auto"/>
              </w:rPr>
              <w:t>contained in Exhibit 101)</w:t>
            </w:r>
          </w:p>
        </w:tc>
        <w:tc>
          <w:tcPr>
            <w:tcW w:w="2640" w:type="dxa"/>
            <w:vAlign w:val="bottom"/>
          </w:tcPr>
          <w:p>
            <w:pPr>
              <w:spacing w:after="0"/>
              <w:rPr>
                <w:sz w:val="18"/>
                <w:szCs w:val="18"/>
                <w:color w:val="auto"/>
              </w:rPr>
            </w:pPr>
          </w:p>
        </w:tc>
      </w:tr>
    </w:tbl>
    <w:p>
      <w:pPr>
        <w:spacing w:after="0" w:line="203" w:lineRule="exact"/>
        <w:rPr>
          <w:sz w:val="20"/>
          <w:szCs w:val="20"/>
          <w:color w:val="auto"/>
        </w:rPr>
      </w:pPr>
    </w:p>
    <w:p>
      <w:pPr>
        <w:ind w:left="1020" w:hanging="560"/>
        <w:spacing w:after="0"/>
        <w:tabs>
          <w:tab w:leader="none" w:pos="10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32" w:lineRule="exact"/>
        <w:rPr>
          <w:sz w:val="20"/>
          <w:szCs w:val="20"/>
          <w:color w:val="auto"/>
        </w:rPr>
      </w:pPr>
    </w:p>
    <w:p>
      <w:pPr>
        <w:ind w:left="1020" w:hanging="558"/>
        <w:spacing w:after="0" w:line="246" w:lineRule="auto"/>
        <w:tabs>
          <w:tab w:leader="none" w:pos="10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Portions of the exhibit, marked by brackets and asterisks [***], have been omitted because the omitted information is not material and (i) would likely cause competitive harm to the registrant if publicly disclosed or (ii) is information that the registrant treats as private or confidential.</w:t>
      </w:r>
    </w:p>
    <w:p>
      <w:pPr>
        <w:spacing w:after="0" w:line="1" w:lineRule="exact"/>
        <w:rPr>
          <w:sz w:val="20"/>
          <w:szCs w:val="20"/>
          <w:color w:val="auto"/>
        </w:rPr>
      </w:pPr>
    </w:p>
    <w:p>
      <w:pPr>
        <w:ind w:left="1020" w:hanging="550"/>
        <w:spacing w:after="0" w:line="246" w:lineRule="auto"/>
        <w:tabs>
          <w:tab w:leader="none" w:pos="10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Certain schedules and exhibits have been omitted pursuant to Item 601(a)(5) of Regulation S-K. A copy of any omitted schedule and/or exhibit will be furnished to the SEC upon request.</w:t>
      </w:r>
    </w:p>
    <w:p>
      <w:pPr>
        <w:spacing w:after="0" w:line="1" w:lineRule="exact"/>
        <w:rPr>
          <w:sz w:val="20"/>
          <w:szCs w:val="20"/>
          <w:color w:val="auto"/>
        </w:rPr>
      </w:pPr>
    </w:p>
    <w:p>
      <w:pPr>
        <w:ind w:left="1020" w:right="100" w:hanging="544"/>
        <w:spacing w:after="0" w:line="228" w:lineRule="auto"/>
        <w:tabs>
          <w:tab w:leader="none" w:pos="10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Pursuant to the requirements of Section 13 or 15(d) of the Securities Act of 1934, Recursion Pharmaceuticals Inc. has duly caused this report to be signed on its behalf by the undersigned, thereunto duly authorized, in the City of Salt Lake City, Utah, on February 29, 2024.</w:t>
      </w:r>
    </w:p>
    <w:p>
      <w:pPr>
        <w:spacing w:after="0" w:line="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RECURSION PHARMACEUTICALS, INC.</w:t>
      </w:r>
    </w:p>
    <w:p>
      <w:pPr>
        <w:spacing w:after="0" w:line="320" w:lineRule="exact"/>
        <w:rPr>
          <w:sz w:val="20"/>
          <w:szCs w:val="20"/>
          <w:color w:val="auto"/>
        </w:rPr>
      </w:pPr>
    </w:p>
    <w:p>
      <w:pPr>
        <w:ind w:left="7120"/>
        <w:spacing w:after="0"/>
        <w:tabs>
          <w:tab w:leader="none" w:pos="9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26035</wp:posOffset>
            </wp:positionV>
            <wp:extent cx="24345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Christopher Gibson</w:t>
      </w:r>
    </w:p>
    <w:p>
      <w:pPr>
        <w:spacing w:after="0" w:line="50"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Christopher Gibson and Michael Secora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his/her name.</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0" w:name="page211"/>
    <w:bookmarkEnd w:id="210"/>
    <w:p>
      <w:pPr>
        <w:ind w:left="1960"/>
        <w:spacing w:after="0"/>
        <w:tabs>
          <w:tab w:leader="none" w:pos="6520" w:val="left"/>
          <w:tab w:leader="none" w:pos="96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84911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ectPr>
          <w:pgSz w:w="11900" w:h="16838" w:orient="portrait"/>
          <w:cols w:equalWidth="0" w:num="1">
            <w:col w:w="10280"/>
          </w:cols>
          <w:pgMar w:left="340" w:top="994" w:right="1279" w:bottom="1440" w:gutter="0" w:footer="0" w:header="0"/>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 Christopher Gibson</w:t>
            </w:r>
          </w:p>
        </w:tc>
        <w:tc>
          <w:tcPr>
            <w:tcW w:w="5360" w:type="dxa"/>
            <w:vAlign w:val="bottom"/>
          </w:tcPr>
          <w:p>
            <w:pPr>
              <w:ind w:left="148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Christopher Gibson</w:t>
            </w:r>
          </w:p>
        </w:tc>
        <w:tc>
          <w:tcPr>
            <w:tcW w:w="5360" w:type="dxa"/>
            <w:vAlign w:val="bottom"/>
          </w:tcPr>
          <w:p>
            <w:pPr>
              <w:ind w:left="1480"/>
              <w:spacing w:after="0"/>
              <w:rPr>
                <w:sz w:val="20"/>
                <w:szCs w:val="20"/>
                <w:color w:val="auto"/>
              </w:rPr>
            </w:pPr>
            <w:r>
              <w:rPr>
                <w:rFonts w:ascii="Arial" w:cs="Arial" w:eastAsia="Arial" w:hAnsi="Arial"/>
                <w:sz w:val="18"/>
                <w:szCs w:val="18"/>
                <w:i w:val="1"/>
                <w:iCs w:val="1"/>
                <w:color w:val="auto"/>
              </w:rPr>
              <w:t>Executive Officer)</w:t>
            </w: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Michael Secora</w:t>
            </w:r>
          </w:p>
        </w:tc>
        <w:tc>
          <w:tcPr>
            <w:tcW w:w="5360" w:type="dxa"/>
            <w:vAlign w:val="bottom"/>
          </w:tcPr>
          <w:p>
            <w:pPr>
              <w:ind w:left="148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and</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Michael Secora</w:t>
            </w:r>
          </w:p>
        </w:tc>
        <w:tc>
          <w:tcPr>
            <w:tcW w:w="5360" w:type="dxa"/>
            <w:vAlign w:val="bottom"/>
          </w:tcPr>
          <w:p>
            <w:pPr>
              <w:ind w:left="1480"/>
              <w:spacing w:after="0"/>
              <w:rPr>
                <w:sz w:val="20"/>
                <w:szCs w:val="20"/>
                <w:color w:val="auto"/>
              </w:rPr>
            </w:pPr>
            <w:r>
              <w:rPr>
                <w:rFonts w:ascii="Arial" w:cs="Arial" w:eastAsia="Arial" w:hAnsi="Arial"/>
                <w:sz w:val="18"/>
                <w:szCs w:val="18"/>
                <w:i w:val="1"/>
                <w:iCs w:val="1"/>
                <w:color w:val="auto"/>
              </w:rPr>
              <w:t>Accounting Officer)</w:t>
            </w: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Zachary Bogue</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Zachary Bogue</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Blake Borgeson</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Blake Borgeson</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Terry-Ann Burrell</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Terry-Ann Burrell</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R. Martin Chavez</w:t>
            </w:r>
          </w:p>
        </w:tc>
        <w:tc>
          <w:tcPr>
            <w:tcW w:w="5360" w:type="dxa"/>
            <w:vAlign w:val="bottom"/>
          </w:tcPr>
          <w:p>
            <w:pPr>
              <w:ind w:left="1480"/>
              <w:spacing w:after="0"/>
              <w:rPr>
                <w:sz w:val="20"/>
                <w:szCs w:val="20"/>
                <w:color w:val="auto"/>
              </w:rPr>
            </w:pPr>
            <w:r>
              <w:rPr>
                <w:rFonts w:ascii="Arial" w:cs="Arial" w:eastAsia="Arial" w:hAnsi="Arial"/>
                <w:sz w:val="18"/>
                <w:szCs w:val="18"/>
                <w:color w:val="auto"/>
              </w:rPr>
              <w:t>Chair of the Board</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R. Martin Chavez</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Zavain Dar</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Zavain Dar</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Robert Hershberg</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Robert Hershberg</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Dean Li</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29, 2024</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Dean Li</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1">
            <w:col w:w="10280"/>
          </w:cols>
          <w:pgMar w:left="340" w:top="994" w:right="1279" w:bottom="1440" w:gutter="0" w:footer="0" w:header="0"/>
          <w:type w:val="continuous"/>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jc w:val="center"/>
        <w:spacing w:after="0" w:line="219"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94" w:lineRule="exact"/>
        <w:rPr>
          <w:sz w:val="20"/>
          <w:szCs w:val="20"/>
          <w:color w:val="auto"/>
        </w:rPr>
      </w:pPr>
    </w:p>
    <w:p>
      <w:pPr>
        <w:ind w:right="180" w:firstLine="200"/>
        <w:spacing w:after="0" w:line="221" w:lineRule="auto"/>
        <w:rPr>
          <w:sz w:val="20"/>
          <w:szCs w:val="20"/>
          <w:color w:val="auto"/>
        </w:rPr>
      </w:pPr>
      <w:r>
        <w:rPr>
          <w:rFonts w:ascii="Arial" w:cs="Arial" w:eastAsia="Arial" w:hAnsi="Arial"/>
          <w:sz w:val="18"/>
          <w:szCs w:val="18"/>
          <w:color w:val="auto"/>
        </w:rPr>
        <w:t>Recursion Pharmaceuticals, Inc. (the “Company”) has one class of securities registered under Section 12 of the Securities Exchange Act of 1934, as amended: our Class A common stock, par value $0.00001 per share. As used in this summary, the terms “Recursion,”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“we,” “our” and “us” refer to Recursion Pharmaceuticals, Inc.</w:t>
      </w:r>
    </w:p>
    <w:p>
      <w:pPr>
        <w:spacing w:after="0" w:line="194" w:lineRule="exact"/>
        <w:rPr>
          <w:sz w:val="20"/>
          <w:szCs w:val="20"/>
          <w:color w:val="auto"/>
        </w:rPr>
      </w:pPr>
    </w:p>
    <w:p>
      <w:pPr>
        <w:ind w:right="780" w:firstLine="648"/>
        <w:spacing w:after="0" w:line="221" w:lineRule="auto"/>
        <w:rPr>
          <w:sz w:val="20"/>
          <w:szCs w:val="20"/>
          <w:color w:val="auto"/>
        </w:rPr>
      </w:pPr>
      <w:r>
        <w:rPr>
          <w:rFonts w:ascii="Arial" w:cs="Arial" w:eastAsia="Arial" w:hAnsi="Arial"/>
          <w:sz w:val="18"/>
          <w:szCs w:val="18"/>
          <w:color w:val="auto"/>
        </w:rPr>
        <w:t>The following is a description of the material terms and provisions relating to our capital stock. The following description is a summary that is not complete and is subject to and qualified in its entirety by reference to our amended and restated certificate of</w:t>
      </w:r>
    </w:p>
    <w:p>
      <w:pPr>
        <w:spacing w:after="0" w:line="1" w:lineRule="exact"/>
        <w:rPr>
          <w:sz w:val="20"/>
          <w:szCs w:val="20"/>
          <w:color w:val="auto"/>
        </w:rPr>
      </w:pPr>
    </w:p>
    <w:p>
      <w:pPr>
        <w:ind w:right="280"/>
        <w:spacing w:after="0" w:line="221" w:lineRule="auto"/>
        <w:rPr>
          <w:sz w:val="20"/>
          <w:szCs w:val="20"/>
          <w:color w:val="auto"/>
        </w:rPr>
      </w:pPr>
      <w:r>
        <w:rPr>
          <w:rFonts w:ascii="Arial" w:cs="Arial" w:eastAsia="Arial" w:hAnsi="Arial"/>
          <w:sz w:val="18"/>
          <w:szCs w:val="18"/>
          <w:color w:val="auto"/>
        </w:rPr>
        <w:t>incorporation and our amended and restated bylaws, and to provisions of the Delaware General Corporation Law. Copies of our amended and restated certificate of incorporation and our amended and restated bylaws, each of which may be amended from time to time, are included as exhibits to the Annual Report on Form 10-K to which this description is an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Our authorized capital stock consists of 2,200,000,000 shares of capital stock, $0.00001 par value per share, of which 200,000,000 shares are designated preferred stock and 2,000,000,000 shares are designated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We have two series of authorized common stock, Class A common stock and Class B common stock. 1,989,032,117 shares are designated as Class A common stock and 10,967,883 shares are designated as Class B common stock. The rights of the holders of Class A common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and Class B common stock are identical, except with respect to voting and conversion.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Class A common stock is entitled to one vote for each share on all matters submitted to a vote of the stockholders, including</w:t>
      </w:r>
    </w:p>
    <w:p>
      <w:pPr>
        <w:ind w:right="20"/>
        <w:spacing w:after="0" w:line="208" w:lineRule="auto"/>
        <w:rPr>
          <w:sz w:val="20"/>
          <w:szCs w:val="20"/>
          <w:color w:val="auto"/>
        </w:rPr>
      </w:pPr>
      <w:r>
        <w:rPr>
          <w:rFonts w:ascii="Arial" w:cs="Arial" w:eastAsia="Arial" w:hAnsi="Arial"/>
          <w:sz w:val="18"/>
          <w:szCs w:val="18"/>
          <w:color w:val="auto"/>
        </w:rPr>
        <w:t>the election of directors, and each holder of Class B common stock is entitled to ten votes for each share on all matters submitted to a vote of the stockholders, including the election of directors. The holders of Class A common stock and Class B common stock vote together as a single class, unless otherwise required by law. Under our amended and restated certificate of incorporation, approval of the holders of a</w:t>
      </w:r>
    </w:p>
    <w:p>
      <w:pPr>
        <w:spacing w:after="0" w:line="2"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majority of the outstanding shares of our Class B common stock voting as a separate class is required to increase the number of authorized shares of our Class B common stock. In addition, Delaware law could require either the holders of our Class A common stock or Class B common stock to vote separately as a single class in the following circumstances:</w:t>
      </w:r>
    </w:p>
    <w:p>
      <w:pPr>
        <w:spacing w:after="0" w:line="193" w:lineRule="exact"/>
        <w:rPr>
          <w:sz w:val="20"/>
          <w:szCs w:val="20"/>
          <w:color w:val="auto"/>
        </w:rPr>
      </w:pPr>
    </w:p>
    <w:p>
      <w:pPr>
        <w:ind w:left="660" w:right="40" w:hanging="328"/>
        <w:spacing w:after="0" w:line="239" w:lineRule="auto"/>
        <w:tabs>
          <w:tab w:leader="none" w:pos="655"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80" w:lineRule="exact"/>
        <w:rPr>
          <w:rFonts w:ascii="Times New Roman" w:cs="Times New Roman" w:eastAsia="Times New Roman" w:hAnsi="Times New Roman"/>
          <w:sz w:val="18"/>
          <w:szCs w:val="18"/>
          <w:color w:val="auto"/>
        </w:rPr>
      </w:pPr>
    </w:p>
    <w:p>
      <w:pPr>
        <w:ind w:left="660" w:right="180" w:hanging="328"/>
        <w:spacing w:after="0" w:line="232" w:lineRule="auto"/>
        <w:tabs>
          <w:tab w:leader="none" w:pos="655"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Until the Final Conversion Date (described below), approval of the holders of at least two-thirds of the outstanding shares of our Class B</w:t>
      </w:r>
    </w:p>
    <w:p>
      <w:pPr>
        <w:spacing w:after="0" w:line="207" w:lineRule="auto"/>
        <w:rPr>
          <w:sz w:val="20"/>
          <w:szCs w:val="20"/>
          <w:color w:val="auto"/>
        </w:rPr>
      </w:pPr>
      <w:r>
        <w:rPr>
          <w:rFonts w:ascii="Arial" w:cs="Arial" w:eastAsia="Arial" w:hAnsi="Arial"/>
          <w:sz w:val="18"/>
          <w:szCs w:val="18"/>
          <w:color w:val="auto"/>
        </w:rPr>
        <w:t>common stock voting as a separate class is required to amend, repeal or adopt any provision of the amended and restated certificate of incorporation inconsistent with, or otherwise alter, any provision of the amended and restated certificate of incorporation relating to the voting, conversion, or other rights, powers, preferences privileges, or restrictions of our Class B common stock so as to affect them adversely or to reclassify any outstanding shares of Class A common stock into shares having rights as to dividends or liquidation that are senior to the</w:t>
      </w:r>
    </w:p>
    <w:p>
      <w:pPr>
        <w:spacing w:after="0" w:line="205" w:lineRule="auto"/>
        <w:rPr>
          <w:sz w:val="20"/>
          <w:szCs w:val="20"/>
          <w:color w:val="auto"/>
        </w:rPr>
      </w:pPr>
      <w:r>
        <w:rPr>
          <w:rFonts w:ascii="Arial" w:cs="Arial" w:eastAsia="Arial" w:hAnsi="Arial"/>
          <w:sz w:val="18"/>
          <w:szCs w:val="18"/>
          <w:color w:val="auto"/>
        </w:rPr>
        <w:t>Class B common stock or the right to have more than one vote for each share thereof, except as required by law.</w:t>
      </w:r>
    </w:p>
    <w:p>
      <w:pPr>
        <w:ind w:right="180"/>
        <w:spacing w:after="0" w:line="223" w:lineRule="auto"/>
        <w:rPr>
          <w:sz w:val="20"/>
          <w:szCs w:val="20"/>
          <w:color w:val="auto"/>
        </w:rPr>
      </w:pPr>
      <w:r>
        <w:rPr>
          <w:rFonts w:ascii="Arial" w:cs="Arial" w:eastAsia="Arial" w:hAnsi="Arial"/>
          <w:sz w:val="17"/>
          <w:szCs w:val="17"/>
          <w:color w:val="auto"/>
        </w:rPr>
        <w:t>Our amended and restated certificate of incorporation and amended and restated bylaws do not provide for cumulative voting rights. Because of this, the holders of a plurality of the shares of Class A common stock and Class B common stock entitled to vote in any election</w:t>
      </w:r>
    </w:p>
    <w:p>
      <w:pPr>
        <w:spacing w:after="0" w:line="1"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auto"/>
        </w:rPr>
        <w:t>of directors can elect all of the directors standing for election, if they should so choose. With respect to matters other than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Normal.dotm</w:t>
      </w:r>
    </w:p>
    <w:p>
      <w:pPr>
        <w:sectPr>
          <w:pgSz w:w="11900" w:h="16838" w:orient="portrait"/>
          <w:cols w:equalWidth="0" w:num="1">
            <w:col w:w="11240"/>
          </w:cols>
          <w:pgMar w:left="320" w:top="104" w:right="339" w:bottom="1440" w:gutter="0" w:footer="0" w:header="0"/>
        </w:sectPr>
      </w:pPr>
    </w:p>
    <w:bookmarkStart w:id="212" w:name="page213"/>
    <w:bookmarkEnd w:id="212"/>
    <w:p>
      <w:pPr>
        <w:ind w:right="200"/>
        <w:spacing w:after="0" w:line="221" w:lineRule="auto"/>
        <w:rPr>
          <w:sz w:val="20"/>
          <w:szCs w:val="20"/>
          <w:color w:val="auto"/>
        </w:rPr>
      </w:pPr>
      <w:r>
        <w:rPr>
          <w:rFonts w:ascii="Arial" w:cs="Arial" w:eastAsia="Arial" w:hAnsi="Arial"/>
          <w:sz w:val="18"/>
          <w:szCs w:val="18"/>
          <w:color w:val="auto"/>
        </w:rPr>
        <w:t>at any meeting of the stockholders at which a quorum is present or represented, the affirmative vote of a majority of the voting power of the shares present in person or represented by proxy at such meeting and entitled to vote on the subject matter shall be the act of the</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3"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Class A common stock and Class B common stock are entitled to receive dividends, if any, as may be declared from time to time by our board of directors out of legally available funds.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10"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the event of our liquidation, dissolution, or winding up, holders of our Class A common stock and Class B common stock are entitled to share ratably in the net assets legally available for distribution to stockholders after the payment of all of our debts and other liabilities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satisfaction of any liquidation preference granted to the holders of any then-outstanding shares of preferred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B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Shares</w:t>
      </w:r>
    </w:p>
    <w:p>
      <w:pPr>
        <w:ind w:right="580"/>
        <w:spacing w:after="0" w:line="229" w:lineRule="auto"/>
        <w:rPr>
          <w:sz w:val="20"/>
          <w:szCs w:val="20"/>
          <w:color w:val="auto"/>
        </w:rPr>
      </w:pPr>
      <w:r>
        <w:rPr>
          <w:rFonts w:ascii="Arial" w:cs="Arial" w:eastAsia="Arial" w:hAnsi="Arial"/>
          <w:sz w:val="18"/>
          <w:szCs w:val="18"/>
          <w:color w:val="auto"/>
        </w:rPr>
        <w:t>of Class B common stock automatically convert into shares of Class A common stock upon sale or transfer except for certain transfers described in our amended and restated certificate of incorporation, including transfers for estate planning.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each share of Class B common stock will convert automatically into one share of Class A common stock upon the earliest of (i)</w:t>
      </w:r>
    </w:p>
    <w:p>
      <w:pPr>
        <w:ind w:right="60"/>
        <w:spacing w:after="0" w:line="221" w:lineRule="auto"/>
        <w:rPr>
          <w:sz w:val="20"/>
          <w:szCs w:val="20"/>
          <w:color w:val="auto"/>
        </w:rPr>
      </w:pPr>
      <w:r>
        <w:rPr>
          <w:rFonts w:ascii="Arial" w:cs="Arial" w:eastAsia="Arial" w:hAnsi="Arial"/>
          <w:sz w:val="17"/>
          <w:szCs w:val="17"/>
          <w:color w:val="auto"/>
        </w:rPr>
        <w:t>the seven year anniversary of the first day of trading on Nasdaq of our Class A common stock, (ii) the date specified by written consent or agreement of the holders of at least 66 2/3% of our then outstanding shares of Class B common Stock, (iii) nine months after Dr. Christopher Gibson, our co-founder and Chief Executive Officer, ceases to hold any positions as an officer or director with us or (iv) nine months after the</w:t>
      </w:r>
    </w:p>
    <w:p>
      <w:pPr>
        <w:ind w:right="480"/>
        <w:spacing w:after="0" w:line="229" w:lineRule="auto"/>
        <w:rPr>
          <w:sz w:val="20"/>
          <w:szCs w:val="20"/>
          <w:color w:val="auto"/>
        </w:rPr>
      </w:pPr>
      <w:r>
        <w:rPr>
          <w:rFonts w:ascii="Arial" w:cs="Arial" w:eastAsia="Arial" w:hAnsi="Arial"/>
          <w:sz w:val="18"/>
          <w:szCs w:val="18"/>
          <w:color w:val="auto"/>
        </w:rPr>
        <w:t>death or disability of Dr. Gibson. We refer to the date on which such final conversion of all outstanding shares of Class B common stock pursuant to the terms of our amended and restated certificate of incorporation occurs as the Final Conversion Date.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3" w:lineRule="exact"/>
        <w:rPr>
          <w:sz w:val="20"/>
          <w:szCs w:val="20"/>
          <w:color w:val="auto"/>
        </w:rPr>
      </w:pPr>
    </w:p>
    <w:p>
      <w:pPr>
        <w:ind w:right="160"/>
        <w:spacing w:after="0" w:line="215" w:lineRule="auto"/>
        <w:rPr>
          <w:sz w:val="20"/>
          <w:szCs w:val="20"/>
          <w:color w:val="auto"/>
        </w:rPr>
      </w:pPr>
      <w:r>
        <w:rPr>
          <w:rFonts w:ascii="Arial" w:cs="Arial" w:eastAsia="Arial" w:hAnsi="Arial"/>
          <w:sz w:val="18"/>
          <w:szCs w:val="18"/>
          <w:color w:val="auto"/>
        </w:rPr>
        <w:t>Holders of our Class A common stock have no preemptive, conversion, subscription, or other rights, and there are no redemption or sinking fund provisions applicable to our Class A common stock. Holders of our Class B common stock have no preemptive or subscription rights, but have conversion rights. There are no redemption or sinking fund provisions applicable to our Class B common stock. The rights,</w:t>
      </w:r>
    </w:p>
    <w:p>
      <w:pPr>
        <w:spacing w:after="0" w:line="2"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preferences and privileges of the holders of our Class A common stock and Class B common stock are subject to and may be adversely affected by the rights of the holders of shares of any series of our preferred stock that we may designate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5" w:lineRule="exact"/>
        <w:rPr>
          <w:sz w:val="20"/>
          <w:szCs w:val="20"/>
          <w:color w:val="auto"/>
        </w:rPr>
      </w:pPr>
    </w:p>
    <w:p>
      <w:pPr>
        <w:jc w:val="both"/>
        <w:ind w:right="100"/>
        <w:spacing w:after="0" w:line="228"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up to 200,000,000 shares of preferred stock in one or more series and to fix the rights, preferences, privileges and restrictions thereof. These rights, preferences and privileges could include dividend rights, conversion rights, voting rights, redemption</w:t>
      </w:r>
    </w:p>
    <w:p>
      <w:pPr>
        <w:spacing w:after="0" w:line="1"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rights, liquidation preferences, sinking fund terms and the number of shares constituting any series or the designation of such series, any or all of which may be greater than the rights of Class A common stock and Class B common stock. The issuance of preferred stock could adversely affect the voting power of holders of Class A common stock and Class B common stock and the likelihood that such holders will</w:t>
      </w:r>
    </w:p>
    <w:p>
      <w:pPr>
        <w:ind w:right="440"/>
        <w:spacing w:after="0" w:line="245" w:lineRule="auto"/>
        <w:rPr>
          <w:sz w:val="20"/>
          <w:szCs w:val="20"/>
          <w:color w:val="auto"/>
        </w:rPr>
      </w:pPr>
      <w:r>
        <w:rPr>
          <w:rFonts w:ascii="Arial" w:cs="Arial" w:eastAsia="Arial" w:hAnsi="Arial"/>
          <w:sz w:val="18"/>
          <w:szCs w:val="18"/>
          <w:color w:val="auto"/>
        </w:rPr>
        <w:t>receive dividend payments and payments upon liquidation. In addition, the issuance of preferred stock could have the effect of delaying, deferring or preventing a change in our control or other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3" w:right="339" w:bottom="1440" w:gutter="0" w:footer="0" w:header="0"/>
        </w:sectPr>
      </w:pPr>
    </w:p>
    <w:bookmarkStart w:id="213" w:name="page214"/>
    <w:bookmarkEnd w:id="213"/>
    <w:p>
      <w:pPr>
        <w:ind w:right="520"/>
        <w:spacing w:after="0" w:line="249"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78" w:lineRule="exact"/>
        <w:rPr>
          <w:sz w:val="20"/>
          <w:szCs w:val="20"/>
          <w:color w:val="auto"/>
        </w:rPr>
      </w:pPr>
    </w:p>
    <w:p>
      <w:pPr>
        <w:jc w:val="both"/>
        <w:ind w:right="280"/>
        <w:spacing w:after="0" w:line="215" w:lineRule="auto"/>
        <w:rPr>
          <w:sz w:val="20"/>
          <w:szCs w:val="20"/>
          <w:color w:val="auto"/>
        </w:rPr>
      </w:pPr>
      <w:r>
        <w:rPr>
          <w:rFonts w:ascii="Arial" w:cs="Arial" w:eastAsia="Arial" w:hAnsi="Arial"/>
          <w:sz w:val="18"/>
          <w:szCs w:val="18"/>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over the market price for the shares held by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w:t>
      </w:r>
    </w:p>
    <w:p>
      <w:pPr>
        <w:jc w:val="both"/>
        <w:ind w:right="100"/>
        <w:spacing w:after="0" w:line="208" w:lineRule="auto"/>
        <w:rPr>
          <w:sz w:val="20"/>
          <w:szCs w:val="20"/>
          <w:color w:val="auto"/>
        </w:rPr>
      </w:pPr>
      <w:r>
        <w:rPr>
          <w:rFonts w:ascii="Arial" w:cs="Arial" w:eastAsia="Arial" w:hAnsi="Arial"/>
          <w:sz w:val="18"/>
          <w:szCs w:val="18"/>
          <w:color w:val="auto"/>
        </w:rPr>
        <w:t>Class II, and Class III. Each class consists of an equal number of directors, as nearly as possible, consisting of one third of the total number of directors constituting the entire board of directors. The term of initial Class I directors terminated on the date of the 2022 annual meeting, the term of the initial Class II directors terminated on the date of the 2023 annual meeting, and the term of the initial Class III directors will</w:t>
      </w:r>
    </w:p>
    <w:p>
      <w:pPr>
        <w:spacing w:after="0" w:line="2"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terminate on the date of the 2024 annual meeting. At each annual meeting of stockholders beginning in 2022, the class of directors whose term expires at that annual meeting is subject to reelection for a three-year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authorized only our board of directors to fill vacant directorships.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1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amended and restated certificate of incorporation provides that stockholders do not have the right to cumulate votes in the election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w:t>
      </w:r>
    </w:p>
    <w:p>
      <w:pPr>
        <w:jc w:val="both"/>
        <w:spacing w:after="0" w:line="229" w:lineRule="auto"/>
        <w:rPr>
          <w:sz w:val="20"/>
          <w:szCs w:val="20"/>
          <w:color w:val="auto"/>
        </w:rPr>
      </w:pPr>
      <w:r>
        <w:rPr>
          <w:rFonts w:ascii="Arial" w:cs="Arial" w:eastAsia="Arial" w:hAnsi="Arial"/>
          <w:sz w:val="18"/>
          <w:szCs w:val="18"/>
          <w:color w:val="auto"/>
        </w:rPr>
        <w:t>special meetings of the stockholders may be called only by an officer at the request of a majority of our board of directors, by the Chair of our board of directors or by our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223" w:lineRule="exact"/>
        <w:rPr>
          <w:sz w:val="20"/>
          <w:szCs w:val="20"/>
          <w:color w:val="auto"/>
        </w:rPr>
      </w:pPr>
    </w:p>
    <w:p>
      <w:pPr>
        <w:jc w:val="both"/>
        <w:ind w:right="20"/>
        <w:spacing w:after="0" w:line="228" w:lineRule="auto"/>
        <w:rPr>
          <w:sz w:val="20"/>
          <w:szCs w:val="20"/>
          <w:color w:val="auto"/>
        </w:rPr>
      </w:pPr>
      <w:r>
        <w:rPr>
          <w:rFonts w:ascii="Arial" w:cs="Arial" w:eastAsia="Arial" w:hAnsi="Arial"/>
          <w:sz w:val="17"/>
          <w:szCs w:val="17"/>
          <w:color w:val="auto"/>
        </w:rPr>
        <w:t>Our amended and restated bylaws provide that stockholders seeking to nominate candidates for election as directors at an annual or special meeting of stockholders must provide timely notice thereof in writing. To be timely, a stockholder’s notice generally has to be delivered to and received at our principal executive offices before notice of the meeting is issued by the secretary of the Company, with such notice being</w:t>
      </w:r>
    </w:p>
    <w:p>
      <w:pPr>
        <w:spacing w:after="0" w:line="1" w:lineRule="exact"/>
        <w:rPr>
          <w:sz w:val="20"/>
          <w:szCs w:val="20"/>
          <w:color w:val="auto"/>
        </w:rPr>
      </w:pPr>
    </w:p>
    <w:p>
      <w:pPr>
        <w:ind w:right="180"/>
        <w:spacing w:after="0" w:line="208" w:lineRule="auto"/>
        <w:rPr>
          <w:sz w:val="20"/>
          <w:szCs w:val="20"/>
          <w:color w:val="auto"/>
        </w:rPr>
      </w:pPr>
      <w:r>
        <w:rPr>
          <w:rFonts w:ascii="Arial" w:cs="Arial" w:eastAsia="Arial" w:hAnsi="Arial"/>
          <w:sz w:val="18"/>
          <w:szCs w:val="18"/>
          <w:color w:val="auto"/>
        </w:rPr>
        <w:t>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w:t>
      </w:r>
    </w:p>
    <w:p>
      <w:pPr>
        <w:spacing w:after="0" w:line="2" w:lineRule="exact"/>
        <w:rPr>
          <w:sz w:val="20"/>
          <w:szCs w:val="20"/>
          <w:color w:val="auto"/>
        </w:rPr>
      </w:pPr>
    </w:p>
    <w:p>
      <w:pPr>
        <w:ind w:right="840"/>
        <w:spacing w:after="0" w:line="229" w:lineRule="auto"/>
        <w:rPr>
          <w:sz w:val="20"/>
          <w:szCs w:val="20"/>
          <w:color w:val="auto"/>
        </w:rPr>
      </w:pPr>
      <w:r>
        <w:rPr>
          <w:rFonts w:ascii="Arial" w:cs="Arial" w:eastAsia="Arial" w:hAnsi="Arial"/>
          <w:sz w:val="18"/>
          <w:szCs w:val="18"/>
          <w:color w:val="auto"/>
        </w:rPr>
        <w:t>may discourage or deter a potential acquirer from conducting a solicitation of proxies to elect its own slate of directors or otherwise attempting to obtain control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10"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03" w:right="379" w:bottom="1440" w:gutter="0" w:footer="0" w:header="0"/>
        </w:sectPr>
      </w:pPr>
    </w:p>
    <w:bookmarkStart w:id="214" w:name="page215"/>
    <w:bookmarkEnd w:id="214"/>
    <w:p>
      <w:pPr>
        <w:ind w:right="260"/>
        <w:spacing w:after="0" w:line="234"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Delaware General Corporation Law, or DGCL. Our amended and restated bylaws may be adopted, amended, altered, or repealed by stockholders only upon</w:t>
      </w:r>
    </w:p>
    <w:p>
      <w:pPr>
        <w:spacing w:after="0" w:line="1" w:lineRule="exact"/>
        <w:rPr>
          <w:sz w:val="20"/>
          <w:szCs w:val="20"/>
          <w:color w:val="auto"/>
        </w:rPr>
      </w:pPr>
    </w:p>
    <w:p>
      <w:pPr>
        <w:jc w:val="both"/>
        <w:ind w:right="40"/>
        <w:spacing w:after="0" w:line="208" w:lineRule="auto"/>
        <w:rPr>
          <w:sz w:val="20"/>
          <w:szCs w:val="20"/>
          <w:color w:val="auto"/>
        </w:rPr>
      </w:pPr>
      <w:r>
        <w:rPr>
          <w:rFonts w:ascii="Arial" w:cs="Arial" w:eastAsia="Arial" w:hAnsi="Arial"/>
          <w:sz w:val="18"/>
          <w:szCs w:val="18"/>
          <w:color w:val="auto"/>
        </w:rPr>
        <w:t>approval of at least majority of the voting power of all the then outstanding shares of the Class A common stock and Class B common stock, except for any amendment of the above provisions, which would require the approval of a two-thirds majority of our then outstanding Class A common stock and Class B common stock or the separate approval of a majority of our Class B common stock for any increase to the</w:t>
      </w:r>
    </w:p>
    <w:p>
      <w:pPr>
        <w:spacing w:after="0" w:line="2"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authorized number of Class B common stock or two-thirds of our then outstanding Class B common stock for certain amendments to our Class B common stock or certain reclassifications of our Class A common stock described above. Additionally, our amended and restated certificate of incorporation provides that our bylaws may be amended, altered, or repealed by the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10"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Our authorized but unissued shares of Class A common stock, Class B common stock, and preferred stock is available for future issuances without stockholder approval, except as required by the listing standards of Nasdaq, and could be utilized for a variety of corporate purposes,</w:t>
      </w:r>
    </w:p>
    <w:p>
      <w:pPr>
        <w:spacing w:after="0" w:line="1" w:lineRule="exact"/>
        <w:rPr>
          <w:sz w:val="20"/>
          <w:szCs w:val="20"/>
          <w:color w:val="auto"/>
        </w:rPr>
      </w:pPr>
    </w:p>
    <w:p>
      <w:pPr>
        <w:ind w:right="200"/>
        <w:spacing w:after="0" w:line="221" w:lineRule="auto"/>
        <w:rPr>
          <w:sz w:val="20"/>
          <w:szCs w:val="20"/>
          <w:color w:val="auto"/>
        </w:rPr>
      </w:pPr>
      <w:r>
        <w:rPr>
          <w:rFonts w:ascii="Arial" w:cs="Arial" w:eastAsia="Arial" w:hAnsi="Arial"/>
          <w:sz w:val="18"/>
          <w:szCs w:val="18"/>
          <w:color w:val="auto"/>
        </w:rPr>
        <w:t>including future offerings to raise additional capital, acquisitions and employee benefit plans. The existence of authorized but unissued and unreserved Class A common stock, Class B common stock, and preferred stock could render more difficult or discourage an attempt to obtain control of the Company by means of a proxy contest, tender offer, merger,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210"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w:t>
      </w:r>
    </w:p>
    <w:p>
      <w:pPr>
        <w:spacing w:after="0" w:line="1" w:lineRule="exact"/>
        <w:rPr>
          <w:sz w:val="20"/>
          <w:szCs w:val="20"/>
          <w:color w:val="auto"/>
        </w:rPr>
      </w:pPr>
    </w:p>
    <w:p>
      <w:pPr>
        <w:jc w:val="both"/>
        <w:ind w:right="40"/>
        <w:spacing w:after="0" w:line="208" w:lineRule="auto"/>
        <w:rPr>
          <w:sz w:val="20"/>
          <w:szCs w:val="20"/>
          <w:color w:val="auto"/>
        </w:rPr>
      </w:pPr>
      <w:r>
        <w:rPr>
          <w:rFonts w:ascii="Arial" w:cs="Arial" w:eastAsia="Arial" w:hAnsi="Arial"/>
          <w:sz w:val="18"/>
          <w:szCs w:val="18"/>
          <w:color w:val="auto"/>
        </w:rPr>
        <w:t>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are the exclusive</w:t>
      </w:r>
    </w:p>
    <w:p>
      <w:pPr>
        <w:spacing w:after="0" w:line="2" w:lineRule="exact"/>
        <w:rPr>
          <w:sz w:val="20"/>
          <w:szCs w:val="20"/>
          <w:color w:val="auto"/>
        </w:rPr>
      </w:pPr>
    </w:p>
    <w:p>
      <w:pPr>
        <w:ind w:right="180"/>
        <w:spacing w:after="0" w:line="221" w:lineRule="auto"/>
        <w:rPr>
          <w:sz w:val="20"/>
          <w:szCs w:val="20"/>
          <w:color w:val="auto"/>
        </w:rPr>
      </w:pPr>
      <w:r>
        <w:rPr>
          <w:rFonts w:ascii="Arial" w:cs="Arial" w:eastAsia="Arial" w:hAnsi="Arial"/>
          <w:sz w:val="17"/>
          <w:szCs w:val="17"/>
          <w:color w:val="auto"/>
        </w:rPr>
        <w:t>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w:t>
      </w:r>
    </w:p>
    <w:p>
      <w:pPr>
        <w:ind w:right="140"/>
        <w:spacing w:after="0" w:line="208" w:lineRule="auto"/>
        <w:rPr>
          <w:sz w:val="20"/>
          <w:szCs w:val="20"/>
          <w:color w:val="auto"/>
        </w:rPr>
      </w:pPr>
      <w:r>
        <w:rPr>
          <w:rFonts w:ascii="Arial" w:cs="Arial" w:eastAsia="Arial" w:hAnsi="Arial"/>
          <w:sz w:val="18"/>
          <w:szCs w:val="18"/>
          <w:color w:val="auto"/>
        </w:rPr>
        <w:t>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securities laws and the rules and regulations thereunder.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are governed by Section 203 of the DGCL. Subject to certain exceptions, Section 203 of the DGCL prohibits a public Delaware</w:t>
      </w:r>
    </w:p>
    <w:p>
      <w:pPr>
        <w:spacing w:after="0" w:line="208" w:lineRule="auto"/>
        <w:rPr>
          <w:sz w:val="20"/>
          <w:szCs w:val="20"/>
          <w:color w:val="auto"/>
        </w:rPr>
      </w:pPr>
      <w:r>
        <w:rPr>
          <w:rFonts w:ascii="Arial" w:cs="Arial" w:eastAsia="Arial" w:hAnsi="Arial"/>
          <w:sz w:val="18"/>
          <w:szCs w:val="18"/>
          <w:color w:val="auto"/>
        </w:rPr>
        <w:t>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(1) prior to such time the board of</w:t>
      </w:r>
    </w:p>
    <w:p>
      <w:pPr>
        <w:spacing w:after="0" w:line="2" w:lineRule="exact"/>
        <w:rPr>
          <w:sz w:val="20"/>
          <w:szCs w:val="20"/>
          <w:color w:val="auto"/>
        </w:rPr>
      </w:pPr>
    </w:p>
    <w:p>
      <w:pPr>
        <w:ind w:right="300"/>
        <w:spacing w:after="0" w:line="219" w:lineRule="auto"/>
        <w:rPr>
          <w:sz w:val="20"/>
          <w:szCs w:val="20"/>
          <w:color w:val="auto"/>
        </w:rPr>
      </w:pPr>
      <w:r>
        <w:rPr>
          <w:rFonts w:ascii="Arial" w:cs="Arial" w:eastAsia="Arial" w:hAnsi="Arial"/>
          <w:sz w:val="17"/>
          <w:szCs w:val="17"/>
          <w:color w:val="auto"/>
        </w:rPr>
        <w:t>directors of such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w:t>
      </w:r>
    </w:p>
    <w:p>
      <w:pPr>
        <w:spacing w:after="0" w:line="2" w:lineRule="exact"/>
        <w:rPr>
          <w:sz w:val="20"/>
          <w:szCs w:val="20"/>
          <w:color w:val="auto"/>
        </w:rPr>
      </w:pPr>
    </w:p>
    <w:p>
      <w:pPr>
        <w:ind w:right="180"/>
        <w:spacing w:after="0" w:line="208" w:lineRule="auto"/>
        <w:rPr>
          <w:sz w:val="20"/>
          <w:szCs w:val="20"/>
          <w:color w:val="auto"/>
        </w:rPr>
      </w:pPr>
      <w:r>
        <w:rPr>
          <w:rFonts w:ascii="Arial" w:cs="Arial" w:eastAsia="Arial" w:hAnsi="Arial"/>
          <w:sz w:val="18"/>
          <w:szCs w:val="18"/>
          <w:color w:val="auto"/>
        </w:rPr>
        <w:t>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(3) at or subsequent to such time the business combination is approved by the board of directors of such</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corporation and authorized at a meeting of stockholders (and not by written consent) by the affirmative vote of at least 66 2/3% of the outstanding voting stock of such corporation not owned by the interested stockholder. Our amended and restated certificate of incorporation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and our amended and restated bylaws provide that we must indemnify our directors and officers to the fullest extent authorized by the DGCL. We are expressly authorized to, and do, carry directors’ and officers’ insurance providing coverage for our directors, officers and certain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03" w:right="359" w:bottom="1440" w:gutter="0" w:footer="0" w:header="0"/>
        </w:sectPr>
      </w:pPr>
    </w:p>
    <w:bookmarkStart w:id="215" w:name="page216"/>
    <w:bookmarkEnd w:id="215"/>
    <w:p>
      <w:pPr>
        <w:ind w:right="540"/>
        <w:spacing w:after="0"/>
        <w:rPr>
          <w:sz w:val="20"/>
          <w:szCs w:val="20"/>
          <w:color w:val="auto"/>
        </w:rPr>
      </w:pPr>
      <w:r>
        <w:rPr>
          <w:rFonts w:ascii="Arial" w:cs="Arial" w:eastAsia="Arial" w:hAnsi="Arial"/>
          <w:sz w:val="18"/>
          <w:szCs w:val="18"/>
          <w:color w:val="auto"/>
        </w:rPr>
        <w:t>employees for some liabilities. We believe that these indemnification provisions and insurance are useful to attract and retain qualified directors and executive officers.</w:t>
      </w:r>
    </w:p>
    <w:p>
      <w:pPr>
        <w:spacing w:after="0" w:line="194"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w:t>
      </w:r>
    </w:p>
    <w:p>
      <w:pPr>
        <w:spacing w:after="0" w:line="2"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Select Market under the symbol “RXRX.”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transfer agent and registrar for our Class A common stock is Equiniti Trust Company, LLC. The transfer agent and registrar’s address is 6201 15th Avenue, Brooklyn, NY 11219.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03" w:right="39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18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CERTAIN INFORMATION, MARKED BY BRACKETS AND</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ASTERISKS (I.E., [***]), HAS BEEN EXCLUDED FROM THIS EXHIBIT BECAUSE IT IS BOTH NOT MATERIAL AND IS THE TYPE OF</w:t>
      </w: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Amended and Restated Research Collaboration and Option Agreement</w:t>
      </w: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Bayer AG</w:t>
      </w: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Recursion Pharmaceuticals, Inc.</w:t>
      </w:r>
    </w:p>
    <w:p>
      <w:pPr>
        <w:sectPr>
          <w:pgSz w:w="11900" w:h="16838" w:orient="portrait"/>
          <w:cols w:equalWidth="0" w:num="1">
            <w:col w:w="11180"/>
          </w:cols>
          <w:pgMar w:left="380" w:top="104" w:right="339" w:bottom="1440" w:gutter="0" w:footer="0" w:header="0"/>
        </w:sectPr>
      </w:pPr>
    </w:p>
    <w:bookmarkStart w:id="217" w:name="page218"/>
    <w:bookmarkEnd w:id="217"/>
    <w:p>
      <w:pPr>
        <w:ind w:left="45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9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b w:val="1"/>
          <w:bCs w:val="1"/>
          <w:color w:val="auto"/>
        </w:rPr>
        <w:t>Chapter A – Introduction</w:t>
        <w:tab/>
        <w:t>2</w:t>
      </w:r>
    </w:p>
    <w:p>
      <w:pPr>
        <w:spacing w:after="0" w:line="67" w:lineRule="exact"/>
        <w:rPr>
          <w:sz w:val="20"/>
          <w:szCs w:val="20"/>
          <w:color w:val="auto"/>
        </w:rPr>
      </w:pPr>
    </w:p>
    <w:p>
      <w:pPr>
        <w:spacing w:after="0"/>
        <w:tabs>
          <w:tab w:leader="none" w:pos="340" w:val="left"/>
          <w:tab w:leader="none" w:pos="1840" w:val="left"/>
        </w:tabs>
        <w:rPr>
          <w:sz w:val="20"/>
          <w:szCs w:val="20"/>
          <w:color w:val="auto"/>
        </w:rPr>
      </w:pPr>
      <w:r>
        <w:rPr>
          <w:rFonts w:ascii="Times New Roman" w:cs="Times New Roman" w:eastAsia="Times New Roman" w:hAnsi="Times New Roman"/>
          <w:sz w:val="20"/>
          <w:szCs w:val="20"/>
          <w:b w:val="1"/>
          <w:bCs w:val="1"/>
          <w:color w:val="auto"/>
        </w:rPr>
        <w:t>1.</w:t>
        <w:tab/>
        <w:t>DEFINITIONS</w:t>
        <w:tab/>
        <w:t>2</w:t>
      </w:r>
    </w:p>
    <w:p>
      <w:pPr>
        <w:spacing w:after="0" w:line="81" w:lineRule="exact"/>
        <w:rPr>
          <w:sz w:val="20"/>
          <w:szCs w:val="20"/>
          <w:color w:val="auto"/>
        </w:rPr>
      </w:pPr>
    </w:p>
    <w:p>
      <w:pPr>
        <w:spacing w:after="0"/>
        <w:tabs>
          <w:tab w:leader="none" w:pos="340" w:val="left"/>
          <w:tab w:leader="none" w:pos="5120" w:val="left"/>
        </w:tabs>
        <w:rPr>
          <w:sz w:val="20"/>
          <w:szCs w:val="20"/>
          <w:color w:val="auto"/>
        </w:rPr>
      </w:pPr>
      <w:r>
        <w:rPr>
          <w:rFonts w:ascii="Times New Roman" w:cs="Times New Roman" w:eastAsia="Times New Roman" w:hAnsi="Times New Roman"/>
          <w:sz w:val="20"/>
          <w:szCs w:val="20"/>
          <w:b w:val="1"/>
          <w:bCs w:val="1"/>
          <w:color w:val="auto"/>
        </w:rPr>
        <w:t>2.</w:t>
        <w:tab/>
        <w:t>SCOPE AND STRUCTURE OF THIS AGREEMENT</w:t>
        <w:tab/>
        <w:t>10</w:t>
      </w:r>
    </w:p>
    <w:p>
      <w:pPr>
        <w:spacing w:after="0" w:line="81"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0"/>
          <w:szCs w:val="20"/>
          <w:b w:val="1"/>
          <w:bCs w:val="1"/>
          <w:color w:val="auto"/>
        </w:rPr>
        <w:t>Chapter B – Collaboration</w:t>
        <w:tab/>
        <w:t>12</w:t>
      </w:r>
    </w:p>
    <w:p>
      <w:pPr>
        <w:spacing w:after="0" w:line="67" w:lineRule="exact"/>
        <w:rPr>
          <w:sz w:val="20"/>
          <w:szCs w:val="20"/>
          <w:color w:val="auto"/>
        </w:rPr>
      </w:pPr>
    </w:p>
    <w:p>
      <w:pPr>
        <w:ind w:left="360" w:hanging="352"/>
        <w:spacing w:after="0"/>
        <w:tabs>
          <w:tab w:leader="none" w:pos="36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PROJECTS  12</w:t>
      </w:r>
    </w:p>
    <w:p>
      <w:pPr>
        <w:spacing w:after="0" w:line="80"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GOVERNANCE  19</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5.</w:t>
            </w:r>
          </w:p>
        </w:tc>
        <w:tc>
          <w:tcPr>
            <w:tcW w:w="73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8"/>
              </w:rPr>
              <w:t>UPFRONT PAYMENT, ACHIEVEMENT LEAD CANDIDATE CRITERIA FEE  23</w:t>
            </w:r>
          </w:p>
        </w:tc>
      </w:tr>
      <w:tr>
        <w:trPr>
          <w:trHeight w:val="310"/>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6.</w:t>
            </w:r>
          </w:p>
        </w:tc>
        <w:tc>
          <w:tcPr>
            <w:tcW w:w="73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ADDITIONAL PAYMENTS AFTER OPTION EXERCISE  23</w:t>
            </w:r>
          </w:p>
        </w:tc>
      </w:tr>
    </w:tbl>
    <w:p>
      <w:pPr>
        <w:spacing w:after="0" w:line="48" w:lineRule="exact"/>
        <w:rPr>
          <w:sz w:val="20"/>
          <w:szCs w:val="20"/>
          <w:color w:val="auto"/>
        </w:rPr>
      </w:pPr>
    </w:p>
    <w:p>
      <w:pPr>
        <w:ind w:right="6119" w:firstLine="8"/>
        <w:spacing w:after="0" w:line="316" w:lineRule="auto"/>
        <w:tabs>
          <w:tab w:leader="none" w:pos="346"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PAYMENT PROVISIONS 23 Chapter D - Options 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8.</w:t>
            </w: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BAYER LEAD SERIES OPTION; RECURSION OPTION  25</w:t>
            </w:r>
          </w:p>
        </w:tc>
      </w:tr>
      <w:tr>
        <w:trPr>
          <w:trHeight w:val="310"/>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9"/>
              </w:rPr>
              <w:t>Chapter E – Intellectual Property</w:t>
            </w:r>
          </w:p>
        </w:tc>
        <w:tc>
          <w:tcPr>
            <w:tcW w:w="7120" w:type="dxa"/>
            <w:vAlign w:val="bottom"/>
          </w:tcPr>
          <w:p>
            <w:pPr>
              <w:jc w:val="right"/>
              <w:ind w:right="6661"/>
              <w:spacing w:after="0"/>
              <w:rPr>
                <w:sz w:val="20"/>
                <w:szCs w:val="20"/>
                <w:color w:val="auto"/>
              </w:rPr>
            </w:pPr>
            <w:r>
              <w:rPr>
                <w:rFonts w:ascii="Times New Roman" w:cs="Times New Roman" w:eastAsia="Times New Roman" w:hAnsi="Times New Roman"/>
                <w:sz w:val="20"/>
                <w:szCs w:val="20"/>
                <w:b w:val="1"/>
                <w:bCs w:val="1"/>
                <w:color w:val="auto"/>
              </w:rPr>
              <w:t>28</w:t>
            </w:r>
          </w:p>
        </w:tc>
      </w:tr>
      <w:tr>
        <w:trPr>
          <w:trHeight w:val="297"/>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w:t>
            </w: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OWNERSHIP OF BACKGROUND RIGHTS AND PROJECT RESULTS  28</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10.</w:t>
            </w:r>
          </w:p>
        </w:tc>
        <w:tc>
          <w:tcPr>
            <w:tcW w:w="970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LICENSE GRANTS AND USAGE RIGHTS  28</w:t>
            </w:r>
          </w:p>
        </w:tc>
      </w:tr>
      <w:tr>
        <w:trPr>
          <w:trHeight w:val="311"/>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w:t>
            </w:r>
          </w:p>
        </w:tc>
        <w:tc>
          <w:tcPr>
            <w:tcW w:w="25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PATENT PROSECUTION</w:t>
            </w:r>
          </w:p>
        </w:tc>
        <w:tc>
          <w:tcPr>
            <w:tcW w:w="7120" w:type="dxa"/>
            <w:vAlign w:val="bottom"/>
          </w:tcPr>
          <w:p>
            <w:pPr>
              <w:jc w:val="right"/>
              <w:ind w:right="6781"/>
              <w:spacing w:after="0"/>
              <w:rPr>
                <w:sz w:val="20"/>
                <w:szCs w:val="20"/>
                <w:color w:val="auto"/>
              </w:rPr>
            </w:pPr>
            <w:r>
              <w:rPr>
                <w:rFonts w:ascii="Times New Roman" w:cs="Times New Roman" w:eastAsia="Times New Roman" w:hAnsi="Times New Roman"/>
                <w:sz w:val="20"/>
                <w:szCs w:val="20"/>
                <w:b w:val="1"/>
                <w:bCs w:val="1"/>
                <w:color w:val="auto"/>
              </w:rPr>
              <w:t>32</w:t>
            </w:r>
          </w:p>
        </w:tc>
      </w:tr>
      <w:tr>
        <w:trPr>
          <w:trHeight w:val="297"/>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Chapter F – General Provisions</w:t>
            </w:r>
          </w:p>
        </w:tc>
        <w:tc>
          <w:tcPr>
            <w:tcW w:w="7120" w:type="dxa"/>
            <w:vAlign w:val="bottom"/>
          </w:tcPr>
          <w:p>
            <w:pPr>
              <w:jc w:val="right"/>
              <w:ind w:right="6821"/>
              <w:spacing w:after="0"/>
              <w:rPr>
                <w:sz w:val="20"/>
                <w:szCs w:val="20"/>
                <w:color w:val="auto"/>
              </w:rPr>
            </w:pPr>
            <w:r>
              <w:rPr>
                <w:rFonts w:ascii="Times New Roman" w:cs="Times New Roman" w:eastAsia="Times New Roman" w:hAnsi="Times New Roman"/>
                <w:sz w:val="20"/>
                <w:szCs w:val="20"/>
                <w:b w:val="1"/>
                <w:bCs w:val="1"/>
                <w:color w:val="auto"/>
                <w:w w:val="89"/>
              </w:rPr>
              <w:t>35</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12.</w:t>
            </w:r>
          </w:p>
        </w:tc>
        <w:tc>
          <w:tcPr>
            <w:tcW w:w="2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CONFIDENTIALITY  35</w:t>
            </w:r>
          </w:p>
        </w:tc>
        <w:tc>
          <w:tcPr>
            <w:tcW w:w="7120" w:type="dxa"/>
            <w:vAlign w:val="bottom"/>
          </w:tcPr>
          <w:p>
            <w:pPr>
              <w:spacing w:after="0"/>
              <w:rPr>
                <w:sz w:val="24"/>
                <w:szCs w:val="24"/>
                <w:color w:val="auto"/>
              </w:rPr>
            </w:pPr>
          </w:p>
        </w:tc>
      </w:tr>
      <w:tr>
        <w:trPr>
          <w:trHeight w:val="297"/>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13.</w:t>
            </w:r>
          </w:p>
        </w:tc>
        <w:tc>
          <w:tcPr>
            <w:tcW w:w="2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w w:val="97"/>
              </w:rPr>
              <w:t>PUBLICATIONS; FILINGS</w:t>
            </w:r>
          </w:p>
        </w:tc>
        <w:tc>
          <w:tcPr>
            <w:tcW w:w="7120" w:type="dxa"/>
            <w:vAlign w:val="bottom"/>
          </w:tcPr>
          <w:p>
            <w:pPr>
              <w:jc w:val="right"/>
              <w:ind w:right="6581"/>
              <w:spacing w:after="0"/>
              <w:rPr>
                <w:sz w:val="20"/>
                <w:szCs w:val="20"/>
                <w:color w:val="auto"/>
              </w:rPr>
            </w:pPr>
            <w:r>
              <w:rPr>
                <w:rFonts w:ascii="Times New Roman" w:cs="Times New Roman" w:eastAsia="Times New Roman" w:hAnsi="Times New Roman"/>
                <w:sz w:val="20"/>
                <w:szCs w:val="20"/>
                <w:b w:val="1"/>
                <w:bCs w:val="1"/>
                <w:color w:val="auto"/>
              </w:rPr>
              <w:t>37</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14.</w:t>
            </w:r>
          </w:p>
        </w:tc>
        <w:tc>
          <w:tcPr>
            <w:tcW w:w="970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w w:val="98"/>
              </w:rPr>
              <w:t>REPRESENTATIONS, WARRANTIES AND COVENANTS; LIMITATION OF LIABILITY; INDEMNITY  38</w:t>
            </w:r>
          </w:p>
        </w:tc>
      </w:tr>
    </w:tbl>
    <w:p>
      <w:pPr>
        <w:spacing w:after="0" w:line="48" w:lineRule="exact"/>
        <w:rPr>
          <w:sz w:val="20"/>
          <w:szCs w:val="20"/>
          <w:color w:val="auto"/>
        </w:rPr>
      </w:pPr>
    </w:p>
    <w:p>
      <w:pPr>
        <w:ind w:left="440" w:hanging="432"/>
        <w:spacing w:after="0"/>
        <w:tabs>
          <w:tab w:leader="none" w:pos="44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AND TERMINATION  42</w:t>
      </w:r>
    </w:p>
    <w:p>
      <w:pPr>
        <w:spacing w:after="0" w:line="67" w:lineRule="exact"/>
        <w:rPr>
          <w:rFonts w:ascii="Times New Roman" w:cs="Times New Roman" w:eastAsia="Times New Roman" w:hAnsi="Times New Roman"/>
          <w:sz w:val="20"/>
          <w:szCs w:val="20"/>
          <w:b w:val="1"/>
          <w:bCs w:val="1"/>
          <w:color w:val="auto"/>
        </w:rPr>
      </w:pPr>
    </w:p>
    <w:p>
      <w:pPr>
        <w:ind w:left="460" w:hanging="452"/>
        <w:spacing w:after="0"/>
        <w:tabs>
          <w:tab w:leader="none" w:pos="46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  43</w:t>
      </w:r>
    </w:p>
    <w:p>
      <w:pPr>
        <w:spacing w:after="0" w:line="80" w:lineRule="exact"/>
        <w:rPr>
          <w:rFonts w:ascii="Times New Roman" w:cs="Times New Roman" w:eastAsia="Times New Roman" w:hAnsi="Times New Roman"/>
          <w:sz w:val="20"/>
          <w:szCs w:val="20"/>
          <w:b w:val="1"/>
          <w:bCs w:val="1"/>
          <w:color w:val="auto"/>
        </w:rPr>
      </w:pPr>
    </w:p>
    <w:p>
      <w:pPr>
        <w:ind w:left="460" w:hanging="452"/>
        <w:spacing w:after="0"/>
        <w:tabs>
          <w:tab w:leader="none" w:pos="46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44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1: Collaboration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1A: Anchor Perturbations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2: License Agreement (Lead Series)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3: Reserved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4: Template Project Plan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4A: Lead Candidate Criteria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5: Technical and Organizational Measures</w:t>
      </w:r>
    </w:p>
    <w:p>
      <w:pPr>
        <w:sectPr>
          <w:pgSz w:w="11900" w:h="16838" w:orient="portrait"/>
          <w:cols w:equalWidth="0" w:num="1">
            <w:col w:w="10139"/>
          </w:cols>
          <w:pgMar w:left="320" w:top="1395" w:right="1440"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Research Collaboration and Option Agreement</w:t>
      </w:r>
    </w:p>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This Amended and Restated Research Collaboration and Option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November 8, 2023</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Restatement Effective Date</w:t>
      </w:r>
      <w:r>
        <w:rPr>
          <w:rFonts w:ascii="Times New Roman" w:cs="Times New Roman" w:eastAsia="Times New Roman" w:hAnsi="Times New Roman"/>
          <w:sz w:val="20"/>
          <w:szCs w:val="20"/>
          <w:color w:val="auto"/>
        </w:rPr>
        <w:t>”), is made by and between Recursion Pharmaceuticals, Inc., a Delaware corporation with offices at 41 S Rio Grande Street, Salt Lake City, UT 84101 (“</w:t>
      </w:r>
      <w:r>
        <w:rPr>
          <w:rFonts w:ascii="Times New Roman" w:cs="Times New Roman" w:eastAsia="Times New Roman" w:hAnsi="Times New Roman"/>
          <w:sz w:val="20"/>
          <w:szCs w:val="20"/>
          <w:u w:val="single" w:color="auto"/>
          <w:color w:val="auto"/>
        </w:rPr>
        <w:t>Recursion</w:t>
      </w:r>
      <w:r>
        <w:rPr>
          <w:rFonts w:ascii="Times New Roman" w:cs="Times New Roman" w:eastAsia="Times New Roman" w:hAnsi="Times New Roman"/>
          <w:sz w:val="20"/>
          <w:szCs w:val="20"/>
          <w:color w:val="auto"/>
        </w:rPr>
        <w:t>”) and Bayer AG, a German corporation, with offices at 42096 Wuppertal,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Germany (“</w:t>
      </w:r>
      <w:r>
        <w:rPr>
          <w:rFonts w:ascii="Times New Roman" w:cs="Times New Roman" w:eastAsia="Times New Roman" w:hAnsi="Times New Roman"/>
          <w:sz w:val="20"/>
          <w:szCs w:val="20"/>
          <w:u w:val="single" w:color="auto"/>
          <w:color w:val="auto"/>
        </w:rPr>
        <w:t>Bayer</w:t>
      </w:r>
      <w:r>
        <w:rPr>
          <w:rFonts w:ascii="Times New Roman" w:cs="Times New Roman" w:eastAsia="Times New Roman" w:hAnsi="Times New Roman"/>
          <w:sz w:val="20"/>
          <w:szCs w:val="20"/>
          <w:color w:val="auto"/>
        </w:rPr>
        <w:t>”). Each of Recursion and Bayer may be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or together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26" w:lineRule="exact"/>
        <w:rPr>
          <w:sz w:val="20"/>
          <w:szCs w:val="20"/>
          <w:color w:val="auto"/>
        </w:rPr>
      </w:pPr>
    </w:p>
    <w:p>
      <w:pPr>
        <w:ind w:firstLine="211"/>
        <w:spacing w:after="0"/>
        <w:rPr>
          <w:sz w:val="20"/>
          <w:szCs w:val="20"/>
          <w:color w:val="auto"/>
        </w:rPr>
      </w:pPr>
      <w:r>
        <w:rPr>
          <w:rFonts w:ascii="Times New Roman" w:cs="Times New Roman" w:eastAsia="Times New Roman" w:hAnsi="Times New Roman"/>
          <w:sz w:val="20"/>
          <w:szCs w:val="20"/>
          <w:color w:val="auto"/>
        </w:rPr>
        <w:t>WHEREAS, Recursion is a company engaged in the discovery, research, development and commercialization of pharmaceutical products, including through the use of its proprietary drug discovery platform; and</w:t>
      </w:r>
    </w:p>
    <w:p>
      <w:pPr>
        <w:spacing w:after="0" w:line="121" w:lineRule="exact"/>
        <w:rPr>
          <w:sz w:val="20"/>
          <w:szCs w:val="20"/>
          <w:color w:val="auto"/>
        </w:rPr>
      </w:pPr>
    </w:p>
    <w:p>
      <w:pPr>
        <w:ind w:firstLine="200"/>
        <w:spacing w:after="0" w:line="233" w:lineRule="auto"/>
        <w:rPr>
          <w:sz w:val="20"/>
          <w:szCs w:val="20"/>
          <w:color w:val="auto"/>
        </w:rPr>
      </w:pPr>
      <w:r>
        <w:rPr>
          <w:rFonts w:ascii="Times New Roman" w:cs="Times New Roman" w:eastAsia="Times New Roman" w:hAnsi="Times New Roman"/>
          <w:sz w:val="20"/>
          <w:szCs w:val="20"/>
          <w:color w:val="auto"/>
        </w:rPr>
        <w:t>WHEREAS, Bayer is an international pharmaceutical company engaged in the research, development, manufacture and commercialization of pharmaceutical products and possesses among other areas of expertise, special expertise and products in oncology;</w:t>
      </w:r>
    </w:p>
    <w:p>
      <w:pPr>
        <w:spacing w:after="0" w:line="120" w:lineRule="exact"/>
        <w:rPr>
          <w:sz w:val="20"/>
          <w:szCs w:val="20"/>
          <w:color w:val="auto"/>
        </w:rPr>
      </w:pPr>
    </w:p>
    <w:p>
      <w:pPr>
        <w:ind w:firstLine="266"/>
        <w:spacing w:after="0" w:line="212" w:lineRule="auto"/>
        <w:rPr>
          <w:sz w:val="20"/>
          <w:szCs w:val="20"/>
          <w:color w:val="auto"/>
        </w:rPr>
      </w:pPr>
      <w:r>
        <w:rPr>
          <w:rFonts w:ascii="Times New Roman" w:cs="Times New Roman" w:eastAsia="Times New Roman" w:hAnsi="Times New Roman"/>
          <w:sz w:val="20"/>
          <w:szCs w:val="20"/>
          <w:color w:val="auto"/>
        </w:rPr>
        <w:t>WHEREAS, Recursion and Bayer entered into that certain Research and Collaboration Option Agreement, dated August 28, 2020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as amended by the Collaboration Expansion Agreement between the Parties, dated December 1, 2021 (the “</w:t>
      </w:r>
      <w:r>
        <w:rPr>
          <w:rFonts w:ascii="Times New Roman" w:cs="Times New Roman" w:eastAsia="Times New Roman" w:hAnsi="Times New Roman"/>
          <w:sz w:val="20"/>
          <w:szCs w:val="20"/>
          <w:u w:val="single" w:color="auto"/>
          <w:color w:val="auto"/>
        </w:rPr>
        <w:t>Expansion</w:t>
      </w:r>
    </w:p>
    <w:p>
      <w:pPr>
        <w:spacing w:after="0" w:line="1" w:lineRule="exact"/>
        <w:rPr>
          <w:sz w:val="20"/>
          <w:szCs w:val="20"/>
          <w:color w:val="auto"/>
        </w:rPr>
      </w:pPr>
    </w:p>
    <w:p>
      <w:pPr>
        <w:spacing w:after="0" w:line="190" w:lineRule="auto"/>
        <w:rPr>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as amended by the First Amendment to the Collaboration Expansion Agreement between the Parties, dated August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2022 (the “</w:t>
      </w:r>
      <w:r>
        <w:rPr>
          <w:rFonts w:ascii="Times New Roman" w:cs="Times New Roman" w:eastAsia="Times New Roman" w:hAnsi="Times New Roman"/>
          <w:sz w:val="20"/>
          <w:szCs w:val="20"/>
          <w:u w:val="single" w:color="auto"/>
          <w:color w:val="auto"/>
        </w:rPr>
        <w:t>Expansion Amendment</w:t>
      </w:r>
      <w:r>
        <w:rPr>
          <w:rFonts w:ascii="Times New Roman" w:cs="Times New Roman" w:eastAsia="Times New Roman" w:hAnsi="Times New Roman"/>
          <w:sz w:val="20"/>
          <w:szCs w:val="20"/>
          <w:color w:val="auto"/>
        </w:rPr>
        <w:t>”) (such Research and Collaboration Agreement as amended by the Expansion Agreement and Expansion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Amendment, the “</w:t>
      </w:r>
      <w:r>
        <w:rPr>
          <w:rFonts w:ascii="Times New Roman" w:cs="Times New Roman" w:eastAsia="Times New Roman" w:hAnsi="Times New Roman"/>
          <w:sz w:val="20"/>
          <w:szCs w:val="20"/>
          <w:u w:val="single" w:color="auto"/>
          <w:color w:val="auto"/>
        </w:rPr>
        <w:t>Original Agreement</w:t>
      </w:r>
      <w:r>
        <w:rPr>
          <w:rFonts w:ascii="Times New Roman" w:cs="Times New Roman" w:eastAsia="Times New Roman" w:hAnsi="Times New Roman"/>
          <w:sz w:val="20"/>
          <w:szCs w:val="20"/>
          <w:color w:val="auto"/>
        </w:rPr>
        <w:t>”), under which Bayer and Recursion desired to bring together and complement their expertise in a collaboration and conduct research projects with the aim to discover and improve drug products in the fibrosis disease field; and</w:t>
      </w:r>
    </w:p>
    <w:p>
      <w:pPr>
        <w:spacing w:after="0" w:line="10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WHEREAS, Recursion and Bayer now desire to amend and restate in its entirety the Original Agreement to set forth terms under which, after the Restatement Effective Date, Recursion and Bayer will collaborate and conduct research projects with the aim to discover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improve drug products directed towards certain agreed upon genes of relevance to oncology, all in accordance with the terms and conditions set forth below.</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NOW, THEREFORE, the Parties hereby agree as follows as of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95" w:right="339" w:bottom="1440" w:gutter="0" w:footer="0" w:header="0"/>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Chapter A – Introduction</w:t>
      </w:r>
    </w:p>
    <w:p>
      <w:pPr>
        <w:spacing w:after="0" w:line="202"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DEFINITIONS</w:t>
      </w:r>
    </w:p>
    <w:p>
      <w:pPr>
        <w:spacing w:after="0" w:line="170" w:lineRule="exact"/>
        <w:rPr>
          <w:sz w:val="20"/>
          <w:szCs w:val="20"/>
          <w:color w:val="auto"/>
        </w:rPr>
      </w:pPr>
    </w:p>
    <w:p>
      <w:pPr>
        <w:ind w:left="660" w:right="20"/>
        <w:spacing w:after="0" w:line="233" w:lineRule="auto"/>
        <w:rPr>
          <w:sz w:val="20"/>
          <w:szCs w:val="20"/>
          <w:color w:val="auto"/>
        </w:rPr>
      </w:pPr>
      <w:r>
        <w:rPr>
          <w:rFonts w:ascii="Times New Roman" w:cs="Times New Roman" w:eastAsia="Times New Roman" w:hAnsi="Times New Roman"/>
          <w:sz w:val="20"/>
          <w:szCs w:val="20"/>
          <w:color w:val="auto"/>
        </w:rPr>
        <w:t>The following terms (and their correlatives), in addition to terms defined on first use in this Agreement, have the meanings set forth below:</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Achievement of Lead Candidate Criteria</w:t>
      </w:r>
      <w:r>
        <w:rPr>
          <w:rFonts w:ascii="Times New Roman" w:cs="Times New Roman" w:eastAsia="Times New Roman" w:hAnsi="Times New Roman"/>
          <w:sz w:val="20"/>
          <w:szCs w:val="20"/>
          <w:color w:val="auto"/>
        </w:rPr>
        <w:t>” means a decision of the Bayer Criteria Committee in accordance with Section 4.8 that a</w:t>
      </w:r>
    </w:p>
    <w:p>
      <w:pPr>
        <w:ind w:left="640"/>
        <w:spacing w:after="0" w:line="215" w:lineRule="auto"/>
        <w:rPr>
          <w:sz w:val="20"/>
          <w:szCs w:val="20"/>
          <w:color w:val="auto"/>
        </w:rPr>
      </w:pPr>
      <w:r>
        <w:rPr>
          <w:rFonts w:ascii="Times New Roman" w:cs="Times New Roman" w:eastAsia="Times New Roman" w:hAnsi="Times New Roman"/>
          <w:sz w:val="19"/>
          <w:szCs w:val="19"/>
          <w:color w:val="auto"/>
        </w:rPr>
        <w:t>Project Compound from a Project fulfills Lead Candidate Criteria or that a Project Compound endorsed by the JSC to be a Lead Candidate pursuant to Section 4.4.1.8 should otherwise be selected as a Lead Candidate and that, in each case, lead optimization shall</w:t>
      </w:r>
    </w:p>
    <w:p>
      <w:pPr>
        <w:ind w:left="640"/>
        <w:spacing w:after="0"/>
        <w:rPr>
          <w:sz w:val="20"/>
          <w:szCs w:val="20"/>
          <w:color w:val="auto"/>
        </w:rPr>
      </w:pPr>
      <w:r>
        <w:rPr>
          <w:rFonts w:ascii="Times New Roman" w:cs="Times New Roman" w:eastAsia="Times New Roman" w:hAnsi="Times New Roman"/>
          <w:sz w:val="20"/>
          <w:szCs w:val="20"/>
          <w:color w:val="auto"/>
        </w:rPr>
        <w:t>be started.</w:t>
      </w:r>
    </w:p>
    <w:p>
      <w:pPr>
        <w:spacing w:after="0" w:line="167" w:lineRule="exact"/>
        <w:rPr>
          <w:sz w:val="20"/>
          <w:szCs w:val="20"/>
          <w:color w:val="auto"/>
        </w:rPr>
      </w:pPr>
    </w:p>
    <w:p>
      <w:pPr>
        <w:ind w:left="64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Active</w:t>
      </w:r>
      <w:r>
        <w:rPr>
          <w:rFonts w:ascii="Times New Roman" w:cs="Times New Roman" w:eastAsia="Times New Roman" w:hAnsi="Times New Roman"/>
          <w:sz w:val="20"/>
          <w:szCs w:val="20"/>
          <w:color w:val="auto"/>
        </w:rPr>
        <w:t xml:space="preserve">” means, with regard to a Compound, that it has a potency below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(or another threshold determined by the JSC) with regard to the respective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as determined in accordance with the Project Plan.</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Acquiring Entity</w:t>
      </w:r>
      <w:r>
        <w:rPr>
          <w:rFonts w:ascii="Times New Roman" w:cs="Times New Roman" w:eastAsia="Times New Roman" w:hAnsi="Times New Roman"/>
          <w:sz w:val="20"/>
          <w:szCs w:val="20"/>
          <w:color w:val="auto"/>
        </w:rPr>
        <w:t>” means a Third Party (i) to which Recursion transfers all or substantially all of its assets to which this Agreement</w:t>
      </w:r>
    </w:p>
    <w:p>
      <w:pPr>
        <w:ind w:left="640"/>
        <w:spacing w:after="0" w:line="221" w:lineRule="auto"/>
        <w:rPr>
          <w:sz w:val="20"/>
          <w:szCs w:val="20"/>
          <w:color w:val="auto"/>
        </w:rPr>
      </w:pPr>
      <w:r>
        <w:rPr>
          <w:rFonts w:ascii="Times New Roman" w:cs="Times New Roman" w:eastAsia="Times New Roman" w:hAnsi="Times New Roman"/>
          <w:sz w:val="20"/>
          <w:szCs w:val="20"/>
          <w:color w:val="auto"/>
        </w:rPr>
        <w:t>pertains in a Change of Control transaction or (ii) that directly or indirectly controls Recursion following a Change of Control transaction.</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shall mean any business entity controlled by, controlling, or under common control with a Party hereto. For the purpose of</w:t>
      </w:r>
    </w:p>
    <w:p>
      <w:pPr>
        <w:ind w:left="640"/>
        <w:spacing w:after="0" w:line="204" w:lineRule="auto"/>
        <w:rPr>
          <w:sz w:val="20"/>
          <w:szCs w:val="20"/>
          <w:color w:val="auto"/>
        </w:rPr>
      </w:pPr>
      <w:r>
        <w:rPr>
          <w:rFonts w:ascii="Times New Roman" w:cs="Times New Roman" w:eastAsia="Times New Roman" w:hAnsi="Times New Roman"/>
          <w:sz w:val="20"/>
          <w:szCs w:val="20"/>
          <w:color w:val="auto"/>
        </w:rPr>
        <w:t>this definition, a business entity shall be deemed to “control” another business entity, if it (i) owns directly or indirectly, more than fifty percent (50%) of the outstanding voting securities, capital stock, or other comparable equity or ownership interest of such</w:t>
      </w:r>
    </w:p>
    <w:p>
      <w:pPr>
        <w:ind w:left="640"/>
        <w:spacing w:after="0" w:line="223" w:lineRule="auto"/>
        <w:rPr>
          <w:sz w:val="20"/>
          <w:szCs w:val="20"/>
          <w:color w:val="auto"/>
        </w:rPr>
      </w:pPr>
      <w:r>
        <w:rPr>
          <w:rFonts w:ascii="Times New Roman" w:cs="Times New Roman" w:eastAsia="Times New Roman" w:hAnsi="Times New Roman"/>
          <w:sz w:val="19"/>
          <w:szCs w:val="19"/>
          <w:color w:val="auto"/>
        </w:rPr>
        <w:t>business entity having the power to vote on or direct the affairs of such business entity, as applicable (or such lesser percentage which</w:t>
      </w:r>
    </w:p>
    <w:p>
      <w:pPr>
        <w:ind w:left="640" w:right="20"/>
        <w:spacing w:after="0" w:line="204" w:lineRule="auto"/>
        <w:rPr>
          <w:sz w:val="20"/>
          <w:szCs w:val="20"/>
          <w:color w:val="auto"/>
        </w:rPr>
      </w:pPr>
      <w:r>
        <w:rPr>
          <w:rFonts w:ascii="Times New Roman" w:cs="Times New Roman" w:eastAsia="Times New Roman" w:hAnsi="Times New Roman"/>
          <w:sz w:val="20"/>
          <w:szCs w:val="20"/>
          <w:color w:val="auto"/>
        </w:rPr>
        <w:t>is the maximum allowed to be owned by a foreign corporation in a particular jurisdiction), or (ii) possesses, directly or indirectly, the power to direct or cause the direction of the policies and management of such business entity, as applicable, whether by the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ownership of stock, by contract or otherwise.</w:t>
      </w:r>
    </w:p>
    <w:p>
      <w:pPr>
        <w:spacing w:after="0" w:line="15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has the meaning given in the preamble.</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Alliance Manager</w:t>
      </w:r>
      <w:r>
        <w:rPr>
          <w:rFonts w:ascii="Times New Roman" w:cs="Times New Roman" w:eastAsia="Times New Roman" w:hAnsi="Times New Roman"/>
          <w:sz w:val="19"/>
          <w:szCs w:val="19"/>
          <w:color w:val="auto"/>
        </w:rPr>
        <w:t>” has the meaning given in Section 4.3.</w:t>
      </w:r>
    </w:p>
    <w:p>
      <w:pPr>
        <w:spacing w:after="0" w:line="189" w:lineRule="exact"/>
        <w:rPr>
          <w:sz w:val="20"/>
          <w:szCs w:val="20"/>
          <w:color w:val="auto"/>
        </w:rPr>
      </w:pPr>
    </w:p>
    <w:p>
      <w:pPr>
        <w:ind w:left="64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Anchor Perturbation</w:t>
      </w:r>
      <w:r>
        <w:rPr>
          <w:rFonts w:ascii="Times New Roman" w:cs="Times New Roman" w:eastAsia="Times New Roman" w:hAnsi="Times New Roman"/>
          <w:sz w:val="20"/>
          <w:szCs w:val="20"/>
          <w:color w:val="auto"/>
        </w:rPr>
        <w:t>” means a particular genetic perturbation of relevance to oncology, including any and all molecular subtypes such gene. For purposes of the foregoing, molecular subtypes include mutations, amplifications, loss of function.</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Anchor Perturbation Exclusivity Term</w:t>
      </w:r>
      <w:r>
        <w:rPr>
          <w:rFonts w:ascii="Times New Roman" w:cs="Times New Roman" w:eastAsia="Times New Roman" w:hAnsi="Times New Roman"/>
          <w:sz w:val="19"/>
          <w:szCs w:val="19"/>
          <w:color w:val="auto"/>
        </w:rPr>
        <w:t>” has the meaning given in Section 2.5.1.</w:t>
      </w:r>
    </w:p>
    <w:p>
      <w:pPr>
        <w:spacing w:after="0" w:line="189" w:lineRule="exact"/>
        <w:rPr>
          <w:sz w:val="20"/>
          <w:szCs w:val="20"/>
          <w:color w:val="auto"/>
        </w:rPr>
      </w:pPr>
    </w:p>
    <w:p>
      <w:pPr>
        <w:ind w:left="640" w:right="2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all applicable laws, rules and regulations (including any rules, regulations or other requirements of the regulatory authorities) that may be in effect from time to time.</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Assigned Party</w:t>
      </w:r>
      <w:r>
        <w:rPr>
          <w:rFonts w:ascii="Times New Roman" w:cs="Times New Roman" w:eastAsia="Times New Roman" w:hAnsi="Times New Roman"/>
          <w:sz w:val="19"/>
          <w:szCs w:val="19"/>
          <w:color w:val="auto"/>
        </w:rPr>
        <w:t>” has the meaning given in Section 9.2.</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Assigning Party</w:t>
      </w:r>
      <w:r>
        <w:rPr>
          <w:rFonts w:ascii="Times New Roman" w:cs="Times New Roman" w:eastAsia="Times New Roman" w:hAnsi="Times New Roman"/>
          <w:sz w:val="19"/>
          <w:szCs w:val="19"/>
          <w:color w:val="auto"/>
        </w:rPr>
        <w:t>” has the meaning given in Section 9.2.</w:t>
      </w:r>
    </w:p>
    <w:p>
      <w:pPr>
        <w:spacing w:after="0" w:line="175"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3.11   “</w:t>
      </w:r>
      <w:r>
        <w:rPr>
          <w:rFonts w:ascii="Times New Roman" w:cs="Times New Roman" w:eastAsia="Times New Roman" w:hAnsi="Times New Roman"/>
          <w:sz w:val="20"/>
          <w:szCs w:val="20"/>
          <w:u w:val="single" w:color="auto"/>
          <w:color w:val="auto"/>
        </w:rPr>
        <w:t>Background IP Rights</w:t>
      </w:r>
      <w:r>
        <w:rPr>
          <w:rFonts w:ascii="Times New Roman" w:cs="Times New Roman" w:eastAsia="Times New Roman" w:hAnsi="Times New Roman"/>
          <w:sz w:val="20"/>
          <w:szCs w:val="20"/>
          <w:color w:val="auto"/>
        </w:rPr>
        <w:t>” means, with respect to a Party and a Project, all Intellectual Property Rights that (i) are in the Control of such Party and (ii) were not or are not Created in the course of a Project or activities under the Collaboration Plan. Without limiting</w:t>
      </w:r>
    </w:p>
    <w:p>
      <w:pPr>
        <w:spacing w:after="0" w:line="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the foregoing, Recursion’s Background IP Rights include, with respect to a particular Anchor Perturbation, (a) any and all Intellectual Property Rights Created by or on behalf of Recursion in the course of performing activities pursuant to the Collaboration Plan</w:t>
      </w:r>
    </w:p>
    <w:p>
      <w:pPr>
        <w:ind w:left="640"/>
        <w:spacing w:after="0" w:line="228" w:lineRule="auto"/>
        <w:rPr>
          <w:sz w:val="20"/>
          <w:szCs w:val="20"/>
          <w:color w:val="auto"/>
        </w:rPr>
      </w:pPr>
      <w:r>
        <w:rPr>
          <w:rFonts w:ascii="Times New Roman" w:cs="Times New Roman" w:eastAsia="Times New Roman" w:hAnsi="Times New Roman"/>
          <w:sz w:val="20"/>
          <w:szCs w:val="20"/>
          <w:color w:val="auto"/>
        </w:rPr>
        <w:t>hereunder with respect to such Anchor Perturbation prior to Project Initiation Approval (if any) for a Project based on such Anchor Perturbation and (b) any and all Intellectual Property Rights in and to any ISMI Data Package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220" w:name="page221"/>
    <w:bookmarkEnd w:id="220"/>
    <w:p>
      <w:pPr>
        <w:ind w:left="640"/>
        <w:spacing w:after="0"/>
        <w:rPr>
          <w:sz w:val="20"/>
          <w:szCs w:val="20"/>
          <w:color w:val="auto"/>
        </w:rPr>
      </w:pPr>
      <w:r>
        <w:rPr>
          <w:rFonts w:ascii="Times New Roman" w:cs="Times New Roman" w:eastAsia="Times New Roman" w:hAnsi="Times New Roman"/>
          <w:sz w:val="20"/>
          <w:szCs w:val="20"/>
          <w:color w:val="auto"/>
        </w:rPr>
        <w:t>Anchor Perturbation (collectively, the “</w:t>
      </w:r>
      <w:r>
        <w:rPr>
          <w:rFonts w:ascii="Times New Roman" w:cs="Times New Roman" w:eastAsia="Times New Roman" w:hAnsi="Times New Roman"/>
          <w:sz w:val="20"/>
          <w:szCs w:val="20"/>
          <w:u w:val="single" w:color="auto"/>
          <w:color w:val="auto"/>
        </w:rPr>
        <w:t>Recursion ISMI IP Rights</w:t>
      </w:r>
      <w:r>
        <w:rPr>
          <w:rFonts w:ascii="Times New Roman" w:cs="Times New Roman" w:eastAsia="Times New Roman" w:hAnsi="Times New Roman"/>
          <w:sz w:val="20"/>
          <w:szCs w:val="20"/>
          <w:color w:val="auto"/>
        </w:rPr>
        <w:t>”); provided that if a Project based on such Anchor Perturbation</w:t>
      </w:r>
    </w:p>
    <w:p>
      <w:pPr>
        <w:ind w:left="640"/>
        <w:spacing w:after="0" w:line="221" w:lineRule="auto"/>
        <w:rPr>
          <w:sz w:val="20"/>
          <w:szCs w:val="20"/>
          <w:color w:val="auto"/>
        </w:rPr>
      </w:pPr>
      <w:r>
        <w:rPr>
          <w:rFonts w:ascii="Times New Roman" w:cs="Times New Roman" w:eastAsia="Times New Roman" w:hAnsi="Times New Roman"/>
          <w:sz w:val="20"/>
          <w:szCs w:val="20"/>
          <w:color w:val="auto"/>
        </w:rPr>
        <w:t>becomes the subject of a Project Initiation Approval in accordance with Section 3.1.3, then the Recursion ISMI IP Rights for such Project shall become Project IP Rights.</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3.12</w:t>
        <w:tab/>
        <w:t>“</w:t>
      </w:r>
      <w:r>
        <w:rPr>
          <w:rFonts w:ascii="Times New Roman" w:cs="Times New Roman" w:eastAsia="Times New Roman" w:hAnsi="Times New Roman"/>
          <w:sz w:val="20"/>
          <w:szCs w:val="20"/>
          <w:u w:val="single" w:color="auto"/>
          <w:color w:val="auto"/>
        </w:rPr>
        <w:t>Background Know-How</w:t>
      </w:r>
      <w:r>
        <w:rPr>
          <w:rFonts w:ascii="Times New Roman" w:cs="Times New Roman" w:eastAsia="Times New Roman" w:hAnsi="Times New Roman"/>
          <w:sz w:val="20"/>
          <w:szCs w:val="20"/>
          <w:color w:val="auto"/>
        </w:rPr>
        <w:t>” means, with respect to a Party and a Project, all Know-How that is or becomes in the Control of such</w:t>
      </w:r>
    </w:p>
    <w:p>
      <w:pPr>
        <w:ind w:left="640"/>
        <w:spacing w:after="0" w:line="215" w:lineRule="auto"/>
        <w:rPr>
          <w:sz w:val="20"/>
          <w:szCs w:val="20"/>
          <w:color w:val="auto"/>
        </w:rPr>
      </w:pPr>
      <w:r>
        <w:rPr>
          <w:rFonts w:ascii="Times New Roman" w:cs="Times New Roman" w:eastAsia="Times New Roman" w:hAnsi="Times New Roman"/>
          <w:sz w:val="19"/>
          <w:szCs w:val="19"/>
          <w:color w:val="auto"/>
        </w:rPr>
        <w:t>Party and (a) were not or are not Created in the course of a Project or activities under the Collaboration Plan or (b) were Created pursuant to the Original Agreement prior to the Restatement Effective Date. Without limiting the foregoing, Recursion’s Background</w:t>
      </w:r>
    </w:p>
    <w:p>
      <w:pPr>
        <w:ind w:left="640"/>
        <w:spacing w:after="0" w:line="211" w:lineRule="auto"/>
        <w:rPr>
          <w:sz w:val="20"/>
          <w:szCs w:val="20"/>
          <w:color w:val="auto"/>
        </w:rPr>
      </w:pPr>
      <w:r>
        <w:rPr>
          <w:rFonts w:ascii="Times New Roman" w:cs="Times New Roman" w:eastAsia="Times New Roman" w:hAnsi="Times New Roman"/>
          <w:sz w:val="20"/>
          <w:szCs w:val="20"/>
          <w:color w:val="auto"/>
        </w:rPr>
        <w:t>Know-How includes, with respect to a particular Anchor Perturbation, (i) any and all Know-How Created by or on behalf of</w:t>
      </w:r>
    </w:p>
    <w:p>
      <w:pPr>
        <w:ind w:left="640"/>
        <w:spacing w:after="0" w:line="204" w:lineRule="auto"/>
        <w:rPr>
          <w:sz w:val="20"/>
          <w:szCs w:val="20"/>
          <w:color w:val="auto"/>
        </w:rPr>
      </w:pPr>
      <w:r>
        <w:rPr>
          <w:rFonts w:ascii="Times New Roman" w:cs="Times New Roman" w:eastAsia="Times New Roman" w:hAnsi="Times New Roman"/>
          <w:sz w:val="20"/>
          <w:szCs w:val="20"/>
          <w:color w:val="auto"/>
        </w:rPr>
        <w:t>Recursion in the course of performing activities pursuant to the Collaboration Plan hereunder with respect to such Anchor Perturbation prior to Project Initiation Approval (if any) for a Project based on such Anchor Perturbation and (ii) any and all Know-</w:t>
      </w:r>
    </w:p>
    <w:p>
      <w:pPr>
        <w:ind w:left="640"/>
        <w:spacing w:after="0" w:line="223" w:lineRule="auto"/>
        <w:rPr>
          <w:sz w:val="20"/>
          <w:szCs w:val="20"/>
          <w:color w:val="auto"/>
        </w:rPr>
      </w:pPr>
      <w:r>
        <w:rPr>
          <w:rFonts w:ascii="Times New Roman" w:cs="Times New Roman" w:eastAsia="Times New Roman" w:hAnsi="Times New Roman"/>
          <w:sz w:val="19"/>
          <w:szCs w:val="19"/>
          <w:color w:val="auto"/>
        </w:rPr>
        <w:t>How in any ISMI Data Package with respect to such Anchor Perturbation (collectively, the “</w:t>
      </w:r>
      <w:r>
        <w:rPr>
          <w:rFonts w:ascii="Times New Roman" w:cs="Times New Roman" w:eastAsia="Times New Roman" w:hAnsi="Times New Roman"/>
          <w:sz w:val="19"/>
          <w:szCs w:val="19"/>
          <w:u w:val="single" w:color="auto"/>
          <w:color w:val="auto"/>
        </w:rPr>
        <w:t>Recursion ISMI Know-How</w:t>
      </w:r>
      <w:r>
        <w:rPr>
          <w:rFonts w:ascii="Times New Roman" w:cs="Times New Roman" w:eastAsia="Times New Roman" w:hAnsi="Times New Roman"/>
          <w:sz w:val="19"/>
          <w:szCs w:val="19"/>
          <w:color w:val="auto"/>
        </w:rPr>
        <w:t>”); provided</w:t>
      </w: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that if a Project based on such Anchor Perturbation becomes the subject of a Project Initiation Approval in accordance with Section 3.1.3 the Recursion ISMI Know-How for such Project shall become Project Know-How.</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3.13</w:t>
        <w:tab/>
        <w:t>“</w:t>
      </w:r>
      <w:r>
        <w:rPr>
          <w:rFonts w:ascii="Times New Roman" w:cs="Times New Roman" w:eastAsia="Times New Roman" w:hAnsi="Times New Roman"/>
          <w:sz w:val="20"/>
          <w:szCs w:val="20"/>
          <w:u w:val="single" w:color="auto"/>
          <w:color w:val="auto"/>
        </w:rPr>
        <w:t>Backup Compound</w:t>
      </w:r>
      <w:r>
        <w:rPr>
          <w:rFonts w:ascii="Times New Roman" w:cs="Times New Roman" w:eastAsia="Times New Roman" w:hAnsi="Times New Roman"/>
          <w:sz w:val="20"/>
          <w:szCs w:val="20"/>
          <w:color w:val="auto"/>
        </w:rPr>
        <w:t>” means, with respect to any Lead Candidate, any Project Compound derived in the course of the Project in</w:t>
      </w:r>
    </w:p>
    <w:p>
      <w:pPr>
        <w:ind w:left="640"/>
        <w:spacing w:after="0" w:line="221" w:lineRule="auto"/>
        <w:rPr>
          <w:sz w:val="20"/>
          <w:szCs w:val="20"/>
          <w:color w:val="auto"/>
        </w:rPr>
      </w:pPr>
      <w:r>
        <w:rPr>
          <w:rFonts w:ascii="Times New Roman" w:cs="Times New Roman" w:eastAsia="Times New Roman" w:hAnsi="Times New Roman"/>
          <w:sz w:val="20"/>
          <w:szCs w:val="20"/>
          <w:color w:val="auto"/>
        </w:rPr>
        <w:t>which such Lead Candidate was derived and selected, which is Active against the same Deconvoluted Target, if applicable, as such Lead Candidate.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Bayer</w:t>
      </w:r>
      <w:r>
        <w:rPr>
          <w:rFonts w:ascii="Times New Roman" w:cs="Times New Roman" w:eastAsia="Times New Roman" w:hAnsi="Times New Roman"/>
          <w:sz w:val="19"/>
          <w:szCs w:val="19"/>
          <w:color w:val="auto"/>
        </w:rPr>
        <w:t>” has the meaning given in the preamble.</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Bayer Indemnitees</w:t>
      </w:r>
      <w:r>
        <w:rPr>
          <w:rFonts w:ascii="Times New Roman" w:cs="Times New Roman" w:eastAsia="Times New Roman" w:hAnsi="Times New Roman"/>
          <w:sz w:val="19"/>
          <w:szCs w:val="19"/>
          <w:color w:val="auto"/>
        </w:rPr>
        <w:t>” has the meaning given in Section 14.7.</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Bayer JSC Members</w:t>
      </w:r>
      <w:r>
        <w:rPr>
          <w:rFonts w:ascii="Times New Roman" w:cs="Times New Roman" w:eastAsia="Times New Roman" w:hAnsi="Times New Roman"/>
          <w:sz w:val="19"/>
          <w:szCs w:val="19"/>
          <w:color w:val="auto"/>
        </w:rPr>
        <w:t>” has the meaning given in Section 4.1.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Bayer Lead Series Option</w:t>
      </w:r>
      <w:r>
        <w:rPr>
          <w:rFonts w:ascii="Times New Roman" w:cs="Times New Roman" w:eastAsia="Times New Roman" w:hAnsi="Times New Roman"/>
          <w:sz w:val="19"/>
          <w:szCs w:val="19"/>
          <w:color w:val="auto"/>
        </w:rPr>
        <w:t>” has the meaning given in Section 8.1.</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Bayer Lead Series Option Period</w:t>
      </w:r>
      <w:r>
        <w:rPr>
          <w:rFonts w:ascii="Times New Roman" w:cs="Times New Roman" w:eastAsia="Times New Roman" w:hAnsi="Times New Roman"/>
          <w:sz w:val="19"/>
          <w:szCs w:val="19"/>
          <w:color w:val="auto"/>
        </w:rPr>
        <w:t>” has the meaning given in Section 8.1.</w:t>
      </w:r>
    </w:p>
    <w:p>
      <w:pPr>
        <w:spacing w:after="0" w:line="189"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3.19</w:t>
        <w:tab/>
        <w:t>“</w:t>
      </w:r>
      <w:r>
        <w:rPr>
          <w:rFonts w:ascii="Times New Roman" w:cs="Times New Roman" w:eastAsia="Times New Roman" w:hAnsi="Times New Roman"/>
          <w:sz w:val="20"/>
          <w:szCs w:val="20"/>
          <w:u w:val="single" w:color="auto"/>
          <w:color w:val="auto"/>
        </w:rPr>
        <w:t>Bayer Library Compound(s)</w:t>
      </w:r>
      <w:r>
        <w:rPr>
          <w:rFonts w:ascii="Times New Roman" w:cs="Times New Roman" w:eastAsia="Times New Roman" w:hAnsi="Times New Roman"/>
          <w:sz w:val="20"/>
          <w:szCs w:val="20"/>
          <w:color w:val="auto"/>
        </w:rPr>
        <w:t>” means Bayer’s then-existing chemical library, which consists of approximately 500,000 Compounds as of the Restatement Effective Date.</w:t>
      </w:r>
    </w:p>
    <w:p>
      <w:pPr>
        <w:spacing w:after="0" w:line="148" w:lineRule="exact"/>
        <w:rPr>
          <w:sz w:val="20"/>
          <w:szCs w:val="20"/>
          <w:color w:val="auto"/>
        </w:rPr>
      </w:pPr>
    </w:p>
    <w:p>
      <w:pPr>
        <w:ind w:left="640" w:right="2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3.20</w:t>
        <w:tab/>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other than a Saturday, a Sunday or other day on which banks are required or authorized by law to be closed in Salt Lake City, Utah, USA, or Wuppertal or Berlin, Germany.</w:t>
      </w:r>
    </w:p>
    <w:p>
      <w:pPr>
        <w:spacing w:after="0" w:line="161"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3.21   “</w:t>
      </w:r>
      <w:r>
        <w:rPr>
          <w:rFonts w:ascii="Times New Roman" w:cs="Times New Roman" w:eastAsia="Times New Roman" w:hAnsi="Times New Roman"/>
          <w:sz w:val="20"/>
          <w:szCs w:val="20"/>
          <w:u w:val="single" w:color="auto"/>
          <w:color w:val="auto"/>
        </w:rPr>
        <w:t>Calendar Quarter</w:t>
      </w:r>
      <w:r>
        <w:rPr>
          <w:rFonts w:ascii="Times New Roman" w:cs="Times New Roman" w:eastAsia="Times New Roman" w:hAnsi="Times New Roman"/>
          <w:sz w:val="20"/>
          <w:szCs w:val="20"/>
          <w:color w:val="auto"/>
        </w:rPr>
        <w:t>” means a period of three (3) consecutive months corresponding to the calendar quarters commencing on the first day of January, April, July or October, or any partial period thereof immediately following the Restatement Effective Date 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immediately prior to the termination or expiration of this Agreement.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3.22   “</w:t>
      </w:r>
      <w:r>
        <w:rPr>
          <w:rFonts w:ascii="Times New Roman" w:cs="Times New Roman" w:eastAsia="Times New Roman" w:hAnsi="Times New Roman"/>
          <w:sz w:val="20"/>
          <w:szCs w:val="20"/>
          <w:u w:val="single" w:color="auto"/>
          <w:color w:val="auto"/>
        </w:rPr>
        <w:t>Calendar Year</w:t>
      </w:r>
      <w:r>
        <w:rPr>
          <w:rFonts w:ascii="Times New Roman" w:cs="Times New Roman" w:eastAsia="Times New Roman" w:hAnsi="Times New Roman"/>
          <w:sz w:val="20"/>
          <w:szCs w:val="20"/>
          <w:color w:val="auto"/>
        </w:rPr>
        <w:t>” means a period of twelve (12) consecutive months corresponding to the calendar year commencing on the first day of January, or any partial period thereof immediately following the Restatement Effective Date or immediately prior to the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termination or expiration of this Agreement.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3.23   “</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with respect to a Party (a) the acquisition of beneficial ownership, directly or indirectly, by any Person (other than such Party or an Affiliate of such Party, and other than by virtue of obtaining irrevocable proxies) of securities or other</w:t>
      </w:r>
    </w:p>
    <w:p>
      <w:pPr>
        <w:ind w:left="640"/>
        <w:spacing w:after="0" w:line="212" w:lineRule="auto"/>
        <w:rPr>
          <w:sz w:val="20"/>
          <w:szCs w:val="20"/>
          <w:color w:val="auto"/>
        </w:rPr>
      </w:pPr>
      <w:r>
        <w:rPr>
          <w:rFonts w:ascii="Times New Roman" w:cs="Times New Roman" w:eastAsia="Times New Roman" w:hAnsi="Times New Roman"/>
          <w:sz w:val="20"/>
          <w:szCs w:val="20"/>
          <w:color w:val="auto"/>
        </w:rPr>
        <w:t>voting interest of such Party representing a majority or more of the combined voting power of such Party’s then outstanding</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securities or other voting interests, (b) any merger, reorganization, consolidation or business combination involving such Party with a Third Party that results in the holders of beneficial ownership (other than by virtue of obtaining irrevocable proxies) of the voting</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securities or other voting interests of such Party (or, if applicable, the ultimate parent of such Party)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221" w:name="page222"/>
    <w:bookmarkEnd w:id="221"/>
    <w:p>
      <w:pPr>
        <w:ind w:left="640"/>
        <w:spacing w:after="0"/>
        <w:rPr>
          <w:sz w:val="20"/>
          <w:szCs w:val="20"/>
          <w:color w:val="auto"/>
        </w:rPr>
      </w:pPr>
      <w:r>
        <w:rPr>
          <w:rFonts w:ascii="Times New Roman" w:cs="Times New Roman" w:eastAsia="Times New Roman" w:hAnsi="Times New Roman"/>
          <w:sz w:val="20"/>
          <w:szCs w:val="20"/>
          <w:color w:val="auto"/>
        </w:rPr>
        <w:t>prior to such merger, reorganization, consolidation or business combination ceasing to hold beneficial ownership of at least fifty</w:t>
      </w:r>
    </w:p>
    <w:p>
      <w:pPr>
        <w:ind w:left="640"/>
        <w:spacing w:after="0" w:line="204" w:lineRule="auto"/>
        <w:rPr>
          <w:sz w:val="20"/>
          <w:szCs w:val="20"/>
          <w:color w:val="auto"/>
        </w:rPr>
      </w:pPr>
      <w:r>
        <w:rPr>
          <w:rFonts w:ascii="Times New Roman" w:cs="Times New Roman" w:eastAsia="Times New Roman" w:hAnsi="Times New Roman"/>
          <w:sz w:val="20"/>
          <w:szCs w:val="20"/>
          <w:color w:val="auto"/>
        </w:rPr>
        <w:t>percent (50%) of the combined voting power of the surviving entity immediately after such merger, reorganization, consolidation or business combination, (c) any sale, lease, exchange, contribution or other transfer (in one transaction or a series of related</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transactions) of all or substantially all of the assets of such Party to which this Agreement relates, other than a sale or disposition of such assets to an Affiliate of such Party.</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Collaboration</w:t>
      </w:r>
      <w:r>
        <w:rPr>
          <w:rFonts w:ascii="Times New Roman" w:cs="Times New Roman" w:eastAsia="Times New Roman" w:hAnsi="Times New Roman"/>
          <w:sz w:val="19"/>
          <w:szCs w:val="19"/>
          <w:color w:val="auto"/>
        </w:rPr>
        <w:t>” shall mean, collectively, the Projects and the activities under the Collaboration Plan.</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Collaboration Plan</w:t>
      </w:r>
      <w:r>
        <w:rPr>
          <w:rFonts w:ascii="Times New Roman" w:cs="Times New Roman" w:eastAsia="Times New Roman" w:hAnsi="Times New Roman"/>
          <w:sz w:val="19"/>
          <w:szCs w:val="19"/>
          <w:color w:val="auto"/>
        </w:rPr>
        <w:t xml:space="preserve">” means the general outline of the Collaboration and its goals attached as </w:t>
      </w:r>
      <w:r>
        <w:rPr>
          <w:rFonts w:ascii="Times New Roman" w:cs="Times New Roman" w:eastAsia="Times New Roman" w:hAnsi="Times New Roman"/>
          <w:sz w:val="19"/>
          <w:szCs w:val="19"/>
          <w:b w:val="1"/>
          <w:bCs w:val="1"/>
          <w:u w:val="single" w:color="auto"/>
          <w:color w:val="auto"/>
        </w:rPr>
        <w:t>Appendix 1</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Collaboration Term</w:t>
      </w:r>
      <w:r>
        <w:rPr>
          <w:rFonts w:ascii="Times New Roman" w:cs="Times New Roman" w:eastAsia="Times New Roman" w:hAnsi="Times New Roman"/>
          <w:sz w:val="19"/>
          <w:szCs w:val="19"/>
          <w:color w:val="auto"/>
        </w:rPr>
        <w:t>” has the meaning given in Section 15.1.</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Commercially Reasonable Efforts</w:t>
      </w:r>
      <w:r>
        <w:rPr>
          <w:rFonts w:ascii="Times New Roman" w:cs="Times New Roman" w:eastAsia="Times New Roman" w:hAnsi="Times New Roman"/>
          <w:sz w:val="19"/>
          <w:szCs w:val="19"/>
          <w:color w:val="auto"/>
        </w:rPr>
        <w:t xml:space="preserve">” means,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means the JSC or JPT, as context requires.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Competing Project</w:t>
      </w:r>
      <w:r>
        <w:rPr>
          <w:rFonts w:ascii="Times New Roman" w:cs="Times New Roman" w:eastAsia="Times New Roman" w:hAnsi="Times New Roman"/>
          <w:sz w:val="19"/>
          <w:szCs w:val="19"/>
          <w:color w:val="auto"/>
        </w:rPr>
        <w:t xml:space="preserve">” means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3.30   “</w:t>
      </w:r>
      <w:r>
        <w:rPr>
          <w:rFonts w:ascii="Times New Roman" w:cs="Times New Roman" w:eastAsia="Times New Roman" w:hAnsi="Times New Roman"/>
          <w:sz w:val="20"/>
          <w:szCs w:val="20"/>
          <w:u w:val="single" w:color="auto"/>
          <w:color w:val="auto"/>
        </w:rPr>
        <w:t>Complete Invention Disclosure</w:t>
      </w:r>
      <w:r>
        <w:rPr>
          <w:rFonts w:ascii="Times New Roman" w:cs="Times New Roman" w:eastAsia="Times New Roman" w:hAnsi="Times New Roman"/>
          <w:sz w:val="20"/>
          <w:szCs w:val="20"/>
          <w:color w:val="auto"/>
        </w:rPr>
        <w:t>” means a description of the invention which shall include, in reasonable detail, a description of (i) database searches on state of the art undertaken; (ii) relevant prior art references found including an assessment of their relevance to</w:t>
      </w:r>
    </w:p>
    <w:p>
      <w:pPr>
        <w:spacing w:after="0" w:line="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the invention, (iii) the technical problem underlying the invention, (iv) the solution to this problem, (v) the names and private addresses of the inventors, (vi) the individual contribution of each inventor to the invention, (vii) examples, all materials and methods</w:t>
      </w:r>
    </w:p>
    <w:p>
      <w:pPr>
        <w:ind w:left="640"/>
        <w:spacing w:after="0" w:line="228" w:lineRule="auto"/>
        <w:rPr>
          <w:sz w:val="20"/>
          <w:szCs w:val="20"/>
          <w:color w:val="auto"/>
        </w:rPr>
      </w:pPr>
      <w:r>
        <w:rPr>
          <w:rFonts w:ascii="Times New Roman" w:cs="Times New Roman" w:eastAsia="Times New Roman" w:hAnsi="Times New Roman"/>
          <w:sz w:val="20"/>
          <w:szCs w:val="20"/>
          <w:color w:val="auto"/>
        </w:rPr>
        <w:t>used in connection with performing the invention, (viii) any and all sources of funding for the work done on the invention, (ix) and any encumbrance related to the invention.</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3.31</w:t>
        <w:tab/>
        <w:t>“</w:t>
      </w:r>
      <w:r>
        <w:rPr>
          <w:rFonts w:ascii="Times New Roman" w:cs="Times New Roman" w:eastAsia="Times New Roman" w:hAnsi="Times New Roman"/>
          <w:sz w:val="20"/>
          <w:szCs w:val="20"/>
          <w:u w:val="single" w:color="auto"/>
          <w:color w:val="auto"/>
        </w:rPr>
        <w:t>Compound(s)</w:t>
      </w:r>
      <w:r>
        <w:rPr>
          <w:rFonts w:ascii="Times New Roman" w:cs="Times New Roman" w:eastAsia="Times New Roman" w:hAnsi="Times New Roman"/>
          <w:sz w:val="20"/>
          <w:szCs w:val="20"/>
          <w:color w:val="auto"/>
        </w:rPr>
        <w:t xml:space="preserve">” means a small molecule or peptide, </w:t>
      </w:r>
      <w:r>
        <w:rPr>
          <w:rFonts w:ascii="Arial" w:cs="Arial" w:eastAsia="Arial" w:hAnsi="Arial"/>
          <w:sz w:val="16"/>
          <w:szCs w:val="16"/>
          <w:color w:val="auto"/>
        </w:rPr>
        <w:t>where a peptide is any alpha amino acid polymer composed of 40 or fewer amino acid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has the meaning given in Section 12.1.</w:t>
      </w:r>
    </w:p>
    <w:p>
      <w:pPr>
        <w:spacing w:after="0" w:line="175"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3.33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as to any Know-How, Intellectual Property Right, or Material, the possession (whether by ownership or license, other than by a license granted pursuant to this Agreement) by a Party or its Affiliates of the ability to grant to the other Party access,</w:t>
      </w:r>
    </w:p>
    <w:p>
      <w:pPr>
        <w:spacing w:after="0" w:line="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ownership, a license or a sublicense as required herein to such Know-How, Intellectual Property Right, or Material without (i) violating the terms of any agreement or other arrangement with any Third Party in existence as of the time such Party or its Affiliates</w:t>
      </w:r>
    </w:p>
    <w:p>
      <w:pPr>
        <w:ind w:left="640"/>
        <w:spacing w:after="0" w:line="211" w:lineRule="auto"/>
        <w:rPr>
          <w:sz w:val="20"/>
          <w:szCs w:val="20"/>
          <w:color w:val="auto"/>
        </w:rPr>
      </w:pPr>
      <w:r>
        <w:rPr>
          <w:rFonts w:ascii="Times New Roman" w:cs="Times New Roman" w:eastAsia="Times New Roman" w:hAnsi="Times New Roman"/>
          <w:sz w:val="20"/>
          <w:szCs w:val="20"/>
          <w:color w:val="auto"/>
        </w:rPr>
        <w:t>would first be required hereunder to grant the other Party such access, ownership, license or sublicense, and (ii) violating any</w:t>
      </w:r>
    </w:p>
    <w:p>
      <w:pPr>
        <w:ind w:left="640"/>
        <w:spacing w:after="0" w:line="204" w:lineRule="auto"/>
        <w:rPr>
          <w:sz w:val="20"/>
          <w:szCs w:val="20"/>
          <w:color w:val="auto"/>
        </w:rPr>
      </w:pPr>
      <w:r>
        <w:rPr>
          <w:rFonts w:ascii="Times New Roman" w:cs="Times New Roman" w:eastAsia="Times New Roman" w:hAnsi="Times New Roman"/>
          <w:sz w:val="20"/>
          <w:szCs w:val="20"/>
          <w:color w:val="auto"/>
        </w:rPr>
        <w:t>Applicable Law relating to such grant of ownership, license or a sublicense.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Controls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have their correlative meanings. Notwithstanding anything to the contrary in this Agreement, the following shall be deemed to not be</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Controlled by Recursion or any of its Affiliates: (i) any Know-How, Intellectual Property Right or Material owned or licensed by an Acquiring Entity immediately prior to the effective date of the Change of Control making such Third Party an Acquiring Entity, and</w:t>
      </w:r>
    </w:p>
    <w:p>
      <w:pPr>
        <w:spacing w:after="0" w:line="1" w:lineRule="exact"/>
        <w:rPr>
          <w:sz w:val="20"/>
          <w:szCs w:val="20"/>
          <w:color w:val="auto"/>
        </w:rPr>
      </w:pPr>
    </w:p>
    <w:p>
      <w:pPr>
        <w:ind w:left="640" w:right="20" w:firstLine="6"/>
        <w:spacing w:after="0" w:line="228" w:lineRule="auto"/>
        <w:tabs>
          <w:tab w:leader="none" w:pos="97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Know-How, Intellectual Property Right or Material that an Acquiring Entity subsequently develops without using or practicing the Project Results or Recursion Technology.</w:t>
      </w:r>
    </w:p>
    <w:p>
      <w:pPr>
        <w:spacing w:after="0" w:line="162"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3.34   “</w:t>
      </w:r>
      <w:r>
        <w:rPr>
          <w:rFonts w:ascii="Times New Roman" w:cs="Times New Roman" w:eastAsia="Times New Roman" w:hAnsi="Times New Roman"/>
          <w:sz w:val="20"/>
          <w:szCs w:val="20"/>
          <w:u w:val="single" w:color="auto"/>
          <w:color w:val="auto"/>
        </w:rPr>
        <w:t>Created</w:t>
      </w:r>
      <w:r>
        <w:rPr>
          <w:rFonts w:ascii="Times New Roman" w:cs="Times New Roman" w:eastAsia="Times New Roman" w:hAnsi="Times New Roman"/>
          <w:sz w:val="20"/>
          <w:szCs w:val="20"/>
          <w:color w:val="auto"/>
        </w:rPr>
        <w:t>” means (a) with respect to non-patent related matters conceived, made or otherwise created; (b) with respect to patent related matters invented, made or reduced to practice; and (c) with respect to Patents and other IP Rights, Patents or IP Rights that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claim the subject matter described in (a) or (b). “</w:t>
      </w:r>
      <w:r>
        <w:rPr>
          <w:rFonts w:ascii="Times New Roman" w:cs="Times New Roman" w:eastAsia="Times New Roman" w:hAnsi="Times New Roman"/>
          <w:sz w:val="20"/>
          <w:szCs w:val="20"/>
          <w:u w:val="single" w:color="auto"/>
          <w:color w:val="auto"/>
        </w:rPr>
        <w:t>Create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Creating</w:t>
      </w:r>
      <w:r>
        <w:rPr>
          <w:rFonts w:ascii="Times New Roman" w:cs="Times New Roman" w:eastAsia="Times New Roman" w:hAnsi="Times New Roman"/>
          <w:sz w:val="20"/>
          <w:szCs w:val="20"/>
          <w:color w:val="auto"/>
        </w:rPr>
        <w:t>” have their correlative meanings.</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Deconvoluted Target</w:t>
      </w:r>
      <w:r>
        <w:rPr>
          <w:rFonts w:ascii="Times New Roman" w:cs="Times New Roman" w:eastAsia="Times New Roman" w:hAnsi="Times New Roman"/>
          <w:sz w:val="19"/>
          <w:szCs w:val="19"/>
          <w:color w:val="auto"/>
        </w:rPr>
        <w:t>” has the meaning given in Section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4" w:right="339" w:bottom="1440" w:gutter="0" w:footer="0" w:header="0"/>
        </w:sectPr>
      </w:pPr>
    </w:p>
    <w:bookmarkStart w:id="222" w:name="page223"/>
    <w:bookmarkEnd w:id="222"/>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3.36</w:t>
        <w:tab/>
        <w:t>“</w:t>
      </w:r>
      <w:r>
        <w:rPr>
          <w:rFonts w:ascii="Times New Roman" w:cs="Times New Roman" w:eastAsia="Times New Roman" w:hAnsi="Times New Roman"/>
          <w:sz w:val="20"/>
          <w:szCs w:val="20"/>
          <w:u w:val="single" w:color="auto"/>
          <w:color w:val="auto"/>
        </w:rPr>
        <w:t>Derivative</w:t>
      </w:r>
      <w:r>
        <w:rPr>
          <w:rFonts w:ascii="Times New Roman" w:cs="Times New Roman" w:eastAsia="Times New Roman" w:hAnsi="Times New Roman"/>
          <w:sz w:val="20"/>
          <w:szCs w:val="20"/>
          <w:color w:val="auto"/>
        </w:rPr>
        <w:t xml:space="preserve">” means a Compound which is (a) derived from a Project Compound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years after execution of a License</w:t>
      </w:r>
    </w:p>
    <w:p>
      <w:pPr>
        <w:ind w:left="640"/>
        <w:spacing w:after="0" w:line="221" w:lineRule="auto"/>
        <w:rPr>
          <w:sz w:val="20"/>
          <w:szCs w:val="20"/>
          <w:color w:val="auto"/>
        </w:rPr>
      </w:pPr>
      <w:r>
        <w:rPr>
          <w:rFonts w:ascii="Times New Roman" w:cs="Times New Roman" w:eastAsia="Times New Roman" w:hAnsi="Times New Roman"/>
          <w:sz w:val="20"/>
          <w:szCs w:val="20"/>
          <w:color w:val="auto"/>
        </w:rPr>
        <w:t xml:space="preserve">Agreement with respect to such Project Compound, and that is generated in the course of further lead optimization of a Lead Series and (b) which is Active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Disclosing Party</w:t>
      </w:r>
      <w:r>
        <w:rPr>
          <w:rFonts w:ascii="Times New Roman" w:cs="Times New Roman" w:eastAsia="Times New Roman" w:hAnsi="Times New Roman"/>
          <w:sz w:val="19"/>
          <w:szCs w:val="19"/>
          <w:color w:val="auto"/>
        </w:rPr>
        <w:t>” has the meaning given in Section 12.1.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Dispute</w:t>
      </w:r>
      <w:r>
        <w:rPr>
          <w:rFonts w:ascii="Times New Roman" w:cs="Times New Roman" w:eastAsia="Times New Roman" w:hAnsi="Times New Roman"/>
          <w:sz w:val="19"/>
          <w:szCs w:val="19"/>
          <w:color w:val="auto"/>
        </w:rPr>
        <w:t>” has the meaning given in Section 16.1.</w:t>
      </w:r>
    </w:p>
    <w:p>
      <w:pPr>
        <w:spacing w:after="0" w:line="175"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3.39   “</w:t>
      </w:r>
      <w:r>
        <w:rPr>
          <w:rFonts w:ascii="Times New Roman" w:cs="Times New Roman" w:eastAsia="Times New Roman" w:hAnsi="Times New Roman"/>
          <w:sz w:val="20"/>
          <w:szCs w:val="20"/>
          <w:u w:val="single" w:color="auto"/>
          <w:color w:val="auto"/>
        </w:rPr>
        <w:t>Divestiture</w:t>
      </w:r>
      <w:r>
        <w:rPr>
          <w:rFonts w:ascii="Times New Roman" w:cs="Times New Roman" w:eastAsia="Times New Roman" w:hAnsi="Times New Roman"/>
          <w:sz w:val="20"/>
          <w:szCs w:val="20"/>
          <w:color w:val="auto"/>
        </w:rPr>
        <w:t>” means, with respect to a Restricted Project, (a) the divestiture of such Restricted Project through (i) an outright sale or assignment of all material rights in such Restricted Project to a Third Party or (ii) an exclusive out-license of all research and</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development rights with respect to such Restricted Project, with no further rights or role or ability to influence or control the authority of the licensee, directly or indirectly, with respect to such Restricted Project such that neither Recursion nor its Affiliates</w:t>
      </w:r>
    </w:p>
    <w:p>
      <w:pPr>
        <w:ind w:left="640"/>
        <w:spacing w:after="0" w:line="211" w:lineRule="auto"/>
        <w:rPr>
          <w:sz w:val="20"/>
          <w:szCs w:val="20"/>
          <w:color w:val="auto"/>
        </w:rPr>
      </w:pPr>
      <w:r>
        <w:rPr>
          <w:rFonts w:ascii="Times New Roman" w:cs="Times New Roman" w:eastAsia="Times New Roman" w:hAnsi="Times New Roman"/>
          <w:sz w:val="20"/>
          <w:szCs w:val="20"/>
          <w:color w:val="auto"/>
        </w:rPr>
        <w:t>are consulted with respect to, and do not otherwise participate in, any decisions (other than those described in clauses (i) and (ii)</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above), or (b) the complete cessation of all research and development activities with respect to such Restricted project. For clarity, the right of Recursion to receive royalties, milestones or other payments in connection with an acquirer, assignee or licensee’s</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research, development or commercialization of a Restricted Project pursuant to sub-section (a) above, shall be permitted for any such Divestiture. When used as a verb, “Divest” and “Divested” means to cause a Divestiture.</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Double Tax Treaty</w:t>
      </w:r>
      <w:r>
        <w:rPr>
          <w:rFonts w:ascii="Times New Roman" w:cs="Times New Roman" w:eastAsia="Times New Roman" w:hAnsi="Times New Roman"/>
          <w:sz w:val="19"/>
          <w:szCs w:val="19"/>
          <w:color w:val="auto"/>
        </w:rPr>
        <w:t>” has the meaning given in Section 7.6.</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has the meaning given in the Recitals.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Enabled Compound</w:t>
      </w:r>
      <w:r>
        <w:rPr>
          <w:rFonts w:ascii="Times New Roman" w:cs="Times New Roman" w:eastAsia="Times New Roman" w:hAnsi="Times New Roman"/>
          <w:sz w:val="19"/>
          <w:szCs w:val="19"/>
          <w:color w:val="auto"/>
        </w:rPr>
        <w:t xml:space="preserve">” shall mean a Compound, that is (i) Active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IP</w:t>
      </w:r>
      <w:r>
        <w:rPr>
          <w:rFonts w:ascii="Times New Roman" w:cs="Times New Roman" w:eastAsia="Times New Roman" w:hAnsi="Times New Roman"/>
          <w:sz w:val="19"/>
          <w:szCs w:val="19"/>
          <w:color w:val="auto"/>
        </w:rPr>
        <w:t>” shall mean:</w:t>
      </w:r>
    </w:p>
    <w:p>
      <w:pPr>
        <w:spacing w:after="0" w:line="202" w:lineRule="exact"/>
        <w:rPr>
          <w:sz w:val="20"/>
          <w:szCs w:val="20"/>
          <w:color w:val="auto"/>
        </w:rPr>
      </w:pPr>
    </w:p>
    <w:p>
      <w:pPr>
        <w:ind w:left="1280" w:hanging="634"/>
        <w:spacing w:after="0"/>
        <w:tabs>
          <w:tab w:leader="none" w:pos="12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with regard to Recursion,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and</w:t>
      </w:r>
    </w:p>
    <w:p>
      <w:pPr>
        <w:spacing w:after="0" w:line="17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with regard to Bayer,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Fibrosis</w:t>
      </w:r>
      <w:r>
        <w:rPr>
          <w:rFonts w:ascii="Times New Roman" w:cs="Times New Roman" w:eastAsia="Times New Roman" w:hAnsi="Times New Roman"/>
          <w:sz w:val="19"/>
          <w:szCs w:val="19"/>
          <w:color w:val="auto"/>
        </w:rPr>
        <w:t>” means any disease or indication for which Fibrosis is the primary pathophysiology.</w:t>
      </w:r>
    </w:p>
    <w:p>
      <w:pPr>
        <w:spacing w:after="0" w:line="175"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3.45</w:t>
        <w:tab/>
        <w:t>“</w:t>
      </w:r>
      <w:r>
        <w:rPr>
          <w:rFonts w:ascii="Times New Roman" w:cs="Times New Roman" w:eastAsia="Times New Roman" w:hAnsi="Times New Roman"/>
          <w:sz w:val="20"/>
          <w:szCs w:val="20"/>
          <w:u w:val="single" w:color="auto"/>
          <w:color w:val="auto"/>
        </w:rPr>
        <w:t>Field</w:t>
      </w:r>
      <w:r>
        <w:rPr>
          <w:rFonts w:ascii="Times New Roman" w:cs="Times New Roman" w:eastAsia="Times New Roman" w:hAnsi="Times New Roman"/>
          <w:sz w:val="20"/>
          <w:szCs w:val="20"/>
          <w:color w:val="auto"/>
        </w:rPr>
        <w:t>” means any and all fields, including therapeutic indications and uses for humans and animals and diagnostic uses, including – without limitation – the use as in vitro diagnostics and biomarkers.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Final Project Report</w:t>
      </w:r>
      <w:r>
        <w:rPr>
          <w:rFonts w:ascii="Times New Roman" w:cs="Times New Roman" w:eastAsia="Times New Roman" w:hAnsi="Times New Roman"/>
          <w:sz w:val="19"/>
          <w:szCs w:val="19"/>
          <w:color w:val="auto"/>
        </w:rPr>
        <w:t>” has the meaning given in Section 3.9.3.</w:t>
      </w:r>
    </w:p>
    <w:p>
      <w:pPr>
        <w:spacing w:after="0" w:line="175"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3.47</w:t>
        <w:tab/>
        <w:t>“</w:t>
      </w:r>
      <w:r>
        <w:rPr>
          <w:rFonts w:ascii="Times New Roman" w:cs="Times New Roman" w:eastAsia="Times New Roman" w:hAnsi="Times New Roman"/>
          <w:sz w:val="20"/>
          <w:szCs w:val="20"/>
          <w:u w:val="single" w:color="auto"/>
          <w:color w:val="auto"/>
        </w:rPr>
        <w:t>HUVEC Phenomap</w:t>
      </w:r>
      <w:r>
        <w:rPr>
          <w:rFonts w:ascii="Times New Roman" w:cs="Times New Roman" w:eastAsia="Times New Roman" w:hAnsi="Times New Roman"/>
          <w:sz w:val="20"/>
          <w:szCs w:val="20"/>
          <w:color w:val="auto"/>
        </w:rPr>
        <w:t>” means Recursion’s then-existing Phenomap for human umbilical vein endothelial cells (“</w:t>
      </w:r>
      <w:r>
        <w:rPr>
          <w:rFonts w:ascii="Times New Roman" w:cs="Times New Roman" w:eastAsia="Times New Roman" w:hAnsi="Times New Roman"/>
          <w:sz w:val="20"/>
          <w:szCs w:val="20"/>
          <w:u w:val="single" w:color="auto"/>
          <w:color w:val="auto"/>
        </w:rPr>
        <w:t>HUVEC</w:t>
      </w:r>
      <w:r>
        <w:rPr>
          <w:rFonts w:ascii="Times New Roman" w:cs="Times New Roman" w:eastAsia="Times New Roman" w:hAnsi="Times New Roman"/>
          <w:sz w:val="20"/>
          <w:szCs w:val="20"/>
          <w:color w:val="auto"/>
        </w:rPr>
        <w:t>”), which includes the Bayer Library Compound(s), as may be expanded by Recursion, in its discretion, from time to time.</w:t>
      </w:r>
    </w:p>
    <w:p>
      <w:pPr>
        <w:spacing w:after="0" w:line="161" w:lineRule="exact"/>
        <w:rPr>
          <w:sz w:val="20"/>
          <w:szCs w:val="20"/>
          <w:color w:val="auto"/>
        </w:rPr>
      </w:pPr>
    </w:p>
    <w:p>
      <w:pPr>
        <w:ind w:left="64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3.48</w:t>
        <w:tab/>
        <w:t>“</w:t>
      </w:r>
      <w:r>
        <w:rPr>
          <w:rFonts w:ascii="Times New Roman" w:cs="Times New Roman" w:eastAsia="Times New Roman" w:hAnsi="Times New Roman"/>
          <w:sz w:val="20"/>
          <w:szCs w:val="20"/>
          <w:u w:val="single" w:color="auto"/>
          <w:color w:val="auto"/>
        </w:rPr>
        <w:t>IND</w:t>
      </w:r>
      <w:r>
        <w:rPr>
          <w:rFonts w:ascii="Times New Roman" w:cs="Times New Roman" w:eastAsia="Times New Roman" w:hAnsi="Times New Roman"/>
          <w:sz w:val="20"/>
          <w:szCs w:val="20"/>
          <w:color w:val="auto"/>
        </w:rPr>
        <w:t>” means an investigational new drug application or similar application filed with a regulatory authority in any country or group of countries prior to beginning clinical trials in that country or in that group of countries.</w:t>
      </w:r>
    </w:p>
    <w:p>
      <w:pPr>
        <w:spacing w:after="0" w:line="161"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3.49</w:t>
        <w:tab/>
        <w:t>“</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means Bayer in case Bayer is obligated to indemnify Recursion and Recursion in case Recursion is obligated to indemnify Bayer.</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Indemnitees</w:t>
      </w:r>
      <w:r>
        <w:rPr>
          <w:rFonts w:ascii="Times New Roman" w:cs="Times New Roman" w:eastAsia="Times New Roman" w:hAnsi="Times New Roman"/>
          <w:sz w:val="19"/>
          <w:szCs w:val="19"/>
          <w:color w:val="auto"/>
        </w:rPr>
        <w:t>” means Recursion Indemnitees or Bayer Indemnitees as the context requires.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Small Molecule Insight</w:t>
      </w:r>
      <w:r>
        <w:rPr>
          <w:rFonts w:ascii="Times New Roman" w:cs="Times New Roman" w:eastAsia="Times New Roman" w:hAnsi="Times New Roman"/>
          <w:sz w:val="19"/>
          <w:szCs w:val="19"/>
          <w:color w:val="auto"/>
        </w:rPr>
        <w:t>” has the meaning set forth in Section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4" w:right="339" w:bottom="1440" w:gutter="0" w:footer="0" w:header="0"/>
        </w:sectPr>
      </w:pPr>
    </w:p>
    <w:bookmarkStart w:id="223" w:name="page224"/>
    <w:bookmarkEnd w:id="223"/>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3.52</w:t>
        <w:tab/>
        <w:t>“</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means copyrights, Patents and other registered intellectual property rights including registered trademarks, trade names and domain names.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ISMI Data Package</w:t>
      </w:r>
      <w:r>
        <w:rPr>
          <w:rFonts w:ascii="Times New Roman" w:cs="Times New Roman" w:eastAsia="Times New Roman" w:hAnsi="Times New Roman"/>
          <w:sz w:val="19"/>
          <w:szCs w:val="19"/>
          <w:color w:val="auto"/>
        </w:rPr>
        <w:t>” has the meaning given in Section 3.1.3.</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JSC</w:t>
      </w:r>
      <w:r>
        <w:rPr>
          <w:rFonts w:ascii="Times New Roman" w:cs="Times New Roman" w:eastAsia="Times New Roman" w:hAnsi="Times New Roman"/>
          <w:sz w:val="19"/>
          <w:szCs w:val="19"/>
          <w:color w:val="auto"/>
        </w:rPr>
        <w:t>” has the meaning given in Section 4.1.</w:t>
      </w:r>
    </w:p>
    <w:p>
      <w:pPr>
        <w:spacing w:after="0" w:line="189"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3.55   “</w:t>
      </w:r>
      <w:r>
        <w:rPr>
          <w:rFonts w:ascii="Times New Roman" w:cs="Times New Roman" w:eastAsia="Times New Roman" w:hAnsi="Times New Roman"/>
          <w:sz w:val="20"/>
          <w:szCs w:val="20"/>
          <w:u w:val="single" w:color="auto"/>
          <w:color w:val="auto"/>
        </w:rPr>
        <w:t>Know-How</w:t>
      </w:r>
      <w:r>
        <w:rPr>
          <w:rFonts w:ascii="Times New Roman" w:cs="Times New Roman" w:eastAsia="Times New Roman" w:hAnsi="Times New Roman"/>
          <w:sz w:val="20"/>
          <w:szCs w:val="20"/>
          <w:color w:val="auto"/>
        </w:rPr>
        <w:t>” means all confidential commercial, technical, scientific and other information, unpatented inventions (whether patentable or not and excluding Materials), knowledge, technology, methods, processes, practices, formulae, instructions, skills,</w:t>
      </w:r>
    </w:p>
    <w:p>
      <w:pPr>
        <w:ind w:left="640"/>
        <w:spacing w:after="0" w:line="212" w:lineRule="auto"/>
        <w:rPr>
          <w:sz w:val="20"/>
          <w:szCs w:val="20"/>
          <w:color w:val="auto"/>
        </w:rPr>
      </w:pPr>
      <w:r>
        <w:rPr>
          <w:rFonts w:ascii="Times New Roman" w:cs="Times New Roman" w:eastAsia="Times New Roman" w:hAnsi="Times New Roman"/>
          <w:sz w:val="20"/>
          <w:szCs w:val="20"/>
          <w:color w:val="auto"/>
        </w:rPr>
        <w:t>techniques, procedures, experiences, ideas, technical assistance, designs, drawings, assembly procedures, computer programs,</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specifications, non-transient data and results (including biological, chemical, pharmacological, toxicological, pharmaceutical, physical and analytical, pre-clinical, clinical, safety, manufacturing and quality control data and know-how, including study designs</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and protocols), in all cases whether in written, electronic or any other tangible or non-tangible form, including information related to Materials, samples, assays, Compounds, compositions or formulations.</w:t>
      </w:r>
    </w:p>
    <w:p>
      <w:pPr>
        <w:spacing w:after="0" w:line="149" w:lineRule="exact"/>
        <w:rPr>
          <w:sz w:val="20"/>
          <w:szCs w:val="20"/>
          <w:color w:val="auto"/>
        </w:rPr>
      </w:pPr>
    </w:p>
    <w:p>
      <w:pPr>
        <w:ind w:left="640" w:right="2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3.56</w:t>
        <w:tab/>
        <w:t>“</w:t>
      </w:r>
      <w:r>
        <w:rPr>
          <w:rFonts w:ascii="Times New Roman" w:cs="Times New Roman" w:eastAsia="Times New Roman" w:hAnsi="Times New Roman"/>
          <w:sz w:val="20"/>
          <w:szCs w:val="20"/>
          <w:u w:val="single" w:color="auto"/>
          <w:color w:val="auto"/>
        </w:rPr>
        <w:t>Lead Candidate</w:t>
      </w:r>
      <w:r>
        <w:rPr>
          <w:rFonts w:ascii="Times New Roman" w:cs="Times New Roman" w:eastAsia="Times New Roman" w:hAnsi="Times New Roman"/>
          <w:sz w:val="20"/>
          <w:szCs w:val="20"/>
          <w:color w:val="auto"/>
        </w:rPr>
        <w:t>” shall mean on a Project-by-Project basis, (a) a Project Compound that has met the Lead Candidate Criteria, as determined by the JSC, or (b) a Project Compound that is otherwise selected by the JSC as Lead Candidate.</w:t>
      </w:r>
    </w:p>
    <w:p>
      <w:pPr>
        <w:spacing w:after="0" w:line="161" w:lineRule="exact"/>
        <w:rPr>
          <w:sz w:val="20"/>
          <w:szCs w:val="20"/>
          <w:color w:val="auto"/>
        </w:rPr>
      </w:pPr>
    </w:p>
    <w:p>
      <w:pPr>
        <w:ind w:left="64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3.57</w:t>
        <w:tab/>
        <w:t>“</w:t>
      </w:r>
      <w:r>
        <w:rPr>
          <w:rFonts w:ascii="Times New Roman" w:cs="Times New Roman" w:eastAsia="Times New Roman" w:hAnsi="Times New Roman"/>
          <w:sz w:val="20"/>
          <w:szCs w:val="20"/>
          <w:u w:val="single" w:color="auto"/>
          <w:color w:val="auto"/>
        </w:rPr>
        <w:t>Lead Candidate Criteria</w:t>
      </w:r>
      <w:r>
        <w:rPr>
          <w:rFonts w:ascii="Times New Roman" w:cs="Times New Roman" w:eastAsia="Times New Roman" w:hAnsi="Times New Roman"/>
          <w:sz w:val="20"/>
          <w:szCs w:val="20"/>
          <w:color w:val="auto"/>
        </w:rPr>
        <w:t xml:space="preserve">” shall mean the decision criteria for a Project Compound to be considered a Lead Candidate as set forth on a Project-by-Project basis in the respective Project Plan, including the criteria set forth in </w:t>
      </w:r>
      <w:r>
        <w:rPr>
          <w:rFonts w:ascii="Times New Roman" w:cs="Times New Roman" w:eastAsia="Times New Roman" w:hAnsi="Times New Roman"/>
          <w:sz w:val="20"/>
          <w:szCs w:val="20"/>
          <w:b w:val="1"/>
          <w:bCs w:val="1"/>
          <w:u w:val="single" w:color="auto"/>
          <w:color w:val="auto"/>
        </w:rPr>
        <w:t>Appendix 4A</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3.58</w:t>
        <w:tab/>
        <w:t>“</w:t>
      </w:r>
      <w:r>
        <w:rPr>
          <w:rFonts w:ascii="Times New Roman" w:cs="Times New Roman" w:eastAsia="Times New Roman" w:hAnsi="Times New Roman"/>
          <w:sz w:val="20"/>
          <w:szCs w:val="20"/>
          <w:u w:val="single" w:color="auto"/>
          <w:color w:val="auto"/>
        </w:rPr>
        <w:t>Lead Series</w:t>
      </w:r>
      <w:r>
        <w:rPr>
          <w:rFonts w:ascii="Times New Roman" w:cs="Times New Roman" w:eastAsia="Times New Roman" w:hAnsi="Times New Roman"/>
          <w:sz w:val="20"/>
          <w:szCs w:val="20"/>
          <w:color w:val="auto"/>
        </w:rPr>
        <w:t>” shall mean on a Project-by-Project basis, a series of Project Compounds that includes Lead Candidate(s) wherein all</w:t>
      </w:r>
    </w:p>
    <w:p>
      <w:pPr>
        <w:ind w:left="640"/>
        <w:spacing w:after="0" w:line="221" w:lineRule="auto"/>
        <w:rPr>
          <w:sz w:val="20"/>
          <w:szCs w:val="20"/>
          <w:color w:val="auto"/>
        </w:rPr>
      </w:pPr>
      <w:r>
        <w:rPr>
          <w:rFonts w:ascii="Times New Roman" w:cs="Times New Roman" w:eastAsia="Times New Roman" w:hAnsi="Times New Roman"/>
          <w:sz w:val="20"/>
          <w:szCs w:val="20"/>
          <w:color w:val="auto"/>
        </w:rPr>
        <w:t>such Lead Candidates and Project Compounds are Created within the same Project and are structurally similar Compounds which are derived from a common chemotype, as determined by the JPT and confirmed by the JSC.</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Library Compounds</w:t>
      </w:r>
      <w:r>
        <w:rPr>
          <w:rFonts w:ascii="Times New Roman" w:cs="Times New Roman" w:eastAsia="Times New Roman" w:hAnsi="Times New Roman"/>
          <w:sz w:val="19"/>
          <w:szCs w:val="19"/>
          <w:color w:val="auto"/>
        </w:rPr>
        <w:t>” means, collectively, the Bayer Library Compound and the Recursion Library Compound.</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License Agreement</w:t>
      </w:r>
      <w:r>
        <w:rPr>
          <w:rFonts w:ascii="Times New Roman" w:cs="Times New Roman" w:eastAsia="Times New Roman" w:hAnsi="Times New Roman"/>
          <w:sz w:val="19"/>
          <w:szCs w:val="19"/>
          <w:color w:val="auto"/>
        </w:rPr>
        <w:t>” has the meaning given in Section 2.4.</w:t>
      </w:r>
    </w:p>
    <w:p>
      <w:pPr>
        <w:spacing w:after="0" w:line="189"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3.61</w:t>
        <w:tab/>
        <w:t>“</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means claims, demands, liability, damage, loss, or expense (including reasonable attorneys’ fees and expenses or judgments).</w:t>
      </w:r>
    </w:p>
    <w:p>
      <w:pPr>
        <w:spacing w:after="0" w:line="148"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3.62</w:t>
        <w:tab/>
        <w:t>“</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shall mean any tangible materials provided by one Party to the other Party under this Agreement for the purpose of the Project, including any Library Compounds.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Members</w:t>
      </w:r>
      <w:r>
        <w:rPr>
          <w:rFonts w:ascii="Times New Roman" w:cs="Times New Roman" w:eastAsia="Times New Roman" w:hAnsi="Times New Roman"/>
          <w:sz w:val="19"/>
          <w:szCs w:val="19"/>
          <w:color w:val="auto"/>
        </w:rPr>
        <w:t>” means the Bayer JSC Members or the Recursion JSC Members, as context requires.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Option(s)</w:t>
      </w:r>
      <w:r>
        <w:rPr>
          <w:rFonts w:ascii="Times New Roman" w:cs="Times New Roman" w:eastAsia="Times New Roman" w:hAnsi="Times New Roman"/>
          <w:sz w:val="19"/>
          <w:szCs w:val="19"/>
          <w:color w:val="auto"/>
        </w:rPr>
        <w:t>” shall mean the Bayer Lead Series Option or the Recursion Option, as context requires.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Option Exercise Notice</w:t>
      </w:r>
      <w:r>
        <w:rPr>
          <w:rFonts w:ascii="Times New Roman" w:cs="Times New Roman" w:eastAsia="Times New Roman" w:hAnsi="Times New Roman"/>
          <w:sz w:val="19"/>
          <w:szCs w:val="19"/>
          <w:color w:val="auto"/>
        </w:rPr>
        <w:t>” has the meaning given in Section 8.2.</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Option Periods</w:t>
      </w:r>
      <w:r>
        <w:rPr>
          <w:rFonts w:ascii="Times New Roman" w:cs="Times New Roman" w:eastAsia="Times New Roman" w:hAnsi="Times New Roman"/>
          <w:sz w:val="19"/>
          <w:szCs w:val="19"/>
          <w:color w:val="auto"/>
        </w:rPr>
        <w:t>” means the Bayer Lead Series Option Period or the Recursion Option Period, as context requires.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Original Agreement Upfront Payment</w:t>
      </w:r>
      <w:r>
        <w:rPr>
          <w:rFonts w:ascii="Times New Roman" w:cs="Times New Roman" w:eastAsia="Times New Roman" w:hAnsi="Times New Roman"/>
          <w:sz w:val="19"/>
          <w:szCs w:val="19"/>
          <w:color w:val="auto"/>
        </w:rPr>
        <w:t>” has the meaning given in Section 5.1.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 have the meanings given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9" w:right="339" w:bottom="1440" w:gutter="0" w:footer="0" w:header="0"/>
        </w:sectPr>
      </w:pPr>
    </w:p>
    <w:bookmarkStart w:id="224" w:name="page225"/>
    <w:bookmarkEnd w:id="224"/>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Patents</w:t>
      </w:r>
      <w:r>
        <w:rPr>
          <w:rFonts w:ascii="Times New Roman" w:cs="Times New Roman" w:eastAsia="Times New Roman" w:hAnsi="Times New Roman"/>
          <w:sz w:val="19"/>
          <w:szCs w:val="19"/>
          <w:color w:val="auto"/>
        </w:rPr>
        <w:t>” means (a) all national, regional and international patents and patent applications filed in any country of the world including</w:t>
      </w:r>
    </w:p>
    <w:p>
      <w:pPr>
        <w:ind w:left="640"/>
        <w:spacing w:after="0" w:line="204" w:lineRule="auto"/>
        <w:rPr>
          <w:sz w:val="20"/>
          <w:szCs w:val="20"/>
          <w:color w:val="auto"/>
        </w:rPr>
      </w:pPr>
      <w:r>
        <w:rPr>
          <w:rFonts w:ascii="Times New Roman" w:cs="Times New Roman" w:eastAsia="Times New Roman" w:hAnsi="Times New Roman"/>
          <w:sz w:val="20"/>
          <w:szCs w:val="20"/>
          <w:color w:val="auto"/>
        </w:rPr>
        <w:t>provisional patent applications, (b) all patents and patent applications filed either from such patents, patent applications or provisional applications, including any continuations, continuations-in part which are limited to the subject matter directly related to</w:t>
      </w:r>
    </w:p>
    <w:p>
      <w:pPr>
        <w:ind w:left="640"/>
        <w:spacing w:after="0" w:line="211" w:lineRule="auto"/>
        <w:rPr>
          <w:sz w:val="20"/>
          <w:szCs w:val="20"/>
          <w:color w:val="auto"/>
        </w:rPr>
      </w:pPr>
      <w:r>
        <w:rPr>
          <w:rFonts w:ascii="Times New Roman" w:cs="Times New Roman" w:eastAsia="Times New Roman" w:hAnsi="Times New Roman"/>
          <w:sz w:val="20"/>
          <w:szCs w:val="20"/>
          <w:color w:val="auto"/>
        </w:rPr>
        <w:t>the subject matter of the original patent application, divisions, provisionals, converted provisionals and continued prosecution</w:t>
      </w:r>
    </w:p>
    <w:p>
      <w:pPr>
        <w:spacing w:after="0" w:line="1" w:lineRule="exact"/>
        <w:rPr>
          <w:sz w:val="20"/>
          <w:szCs w:val="20"/>
          <w:color w:val="auto"/>
        </w:rPr>
      </w:pP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applications, or any substitute applications, (c) any patent issued with respect to or in the future issued from any such patent applications, (d) any and all extensions or restorations by existing or future extension or restoration mechanisms, including reissues,</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re-examinations and extensions (including any supplementary protection certificates and the like) of the foregoing patents and (c) any utility models, design patents or similar rights, and all foreign counterparts of any of the foregoing.</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 Matters</w:t>
      </w:r>
      <w:r>
        <w:rPr>
          <w:rFonts w:ascii="Times New Roman" w:cs="Times New Roman" w:eastAsia="Times New Roman" w:hAnsi="Times New Roman"/>
          <w:sz w:val="19"/>
          <w:szCs w:val="19"/>
          <w:color w:val="auto"/>
        </w:rPr>
        <w:t>” has the meaning given in Section 16.5.</w:t>
      </w:r>
    </w:p>
    <w:p>
      <w:pPr>
        <w:spacing w:after="0" w:line="189" w:lineRule="exact"/>
        <w:rPr>
          <w:sz w:val="20"/>
          <w:szCs w:val="20"/>
          <w:color w:val="auto"/>
        </w:rPr>
      </w:pPr>
    </w:p>
    <w:p>
      <w:pPr>
        <w:jc w:val="both"/>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3.71</w:t>
        <w:tab/>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or any form of legally recognized entity, including, without limitation, a corporation, limited liability company, association, joint stock company, trust, or governmental entity.</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Phenomap</w:t>
      </w:r>
      <w:r>
        <w:rPr>
          <w:rFonts w:ascii="Times New Roman" w:cs="Times New Roman" w:eastAsia="Times New Roman" w:hAnsi="Times New Roman"/>
          <w:sz w:val="19"/>
          <w:szCs w:val="19"/>
          <w:color w:val="auto"/>
        </w:rPr>
        <w:t>” has the meaning given in Section 3.1.1.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Phenoprint</w:t>
      </w:r>
      <w:r>
        <w:rPr>
          <w:rFonts w:ascii="Times New Roman" w:cs="Times New Roman" w:eastAsia="Times New Roman" w:hAnsi="Times New Roman"/>
          <w:sz w:val="19"/>
          <w:szCs w:val="19"/>
          <w:color w:val="auto"/>
        </w:rPr>
        <w:t>” has the meaning given in Section 3.1.1.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Hit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Primary Hit Series</w:t>
      </w:r>
      <w:r>
        <w:rPr>
          <w:rFonts w:ascii="Times New Roman" w:cs="Times New Roman" w:eastAsia="Times New Roman" w:hAnsi="Times New Roman"/>
          <w:sz w:val="19"/>
          <w:szCs w:val="19"/>
          <w:color w:val="auto"/>
        </w:rPr>
        <w:t>” shall have the meaning given in Section 3.1.3.</w:t>
      </w:r>
    </w:p>
    <w:p>
      <w:pPr>
        <w:spacing w:after="0" w:line="175" w:lineRule="exact"/>
        <w:rPr>
          <w:sz w:val="20"/>
          <w:szCs w:val="20"/>
          <w:color w:val="auto"/>
        </w:rPr>
      </w:pPr>
    </w:p>
    <w:p>
      <w:pPr>
        <w:jc w:val="both"/>
        <w:ind w:left="640" w:hanging="63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3.75</w:t>
        <w:tab/>
        <w:t>“</w:t>
      </w:r>
      <w:r>
        <w:rPr>
          <w:rFonts w:ascii="Times New Roman" w:cs="Times New Roman" w:eastAsia="Times New Roman" w:hAnsi="Times New Roman"/>
          <w:sz w:val="20"/>
          <w:szCs w:val="20"/>
          <w:u w:val="single" w:color="auto"/>
          <w:color w:val="auto"/>
        </w:rPr>
        <w:t>Products</w:t>
      </w:r>
      <w:r>
        <w:rPr>
          <w:rFonts w:ascii="Times New Roman" w:cs="Times New Roman" w:eastAsia="Times New Roman" w:hAnsi="Times New Roman"/>
          <w:sz w:val="20"/>
          <w:szCs w:val="20"/>
          <w:color w:val="auto"/>
        </w:rPr>
        <w:t>” means, with respect to a Project, any product for use in the Field containing a Project Compound from such Project or any Derivative thereof, in any and all dosage forms, formulations, presentations, administrations, line extensions and package configurations.</w:t>
      </w:r>
    </w:p>
    <w:p>
      <w:pPr>
        <w:spacing w:after="0" w:line="149" w:lineRule="exact"/>
        <w:rPr>
          <w:sz w:val="20"/>
          <w:szCs w:val="20"/>
          <w:color w:val="auto"/>
        </w:rPr>
      </w:pPr>
    </w:p>
    <w:p>
      <w:pPr>
        <w:jc w:val="both"/>
        <w:ind w:left="640" w:right="2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3.76</w:t>
        <w:tab/>
        <w:t>“</w:t>
      </w:r>
      <w:r>
        <w:rPr>
          <w:rFonts w:ascii="Times New Roman" w:cs="Times New Roman" w:eastAsia="Times New Roman" w:hAnsi="Times New Roman"/>
          <w:sz w:val="20"/>
          <w:szCs w:val="20"/>
          <w:u w:val="single" w:color="auto"/>
          <w:color w:val="auto"/>
        </w:rPr>
        <w:t>Project</w:t>
      </w:r>
      <w:r>
        <w:rPr>
          <w:rFonts w:ascii="Times New Roman" w:cs="Times New Roman" w:eastAsia="Times New Roman" w:hAnsi="Times New Roman"/>
          <w:sz w:val="20"/>
          <w:szCs w:val="20"/>
          <w:color w:val="auto"/>
        </w:rPr>
        <w:t>” means one of up to seven (7) different projects to further investigate Compounds identified as being potentially active against a given Anchor Perturbation, each as described in a Project Plan, which has been approved by the JSC.</w:t>
      </w:r>
    </w:p>
    <w:p>
      <w:pPr>
        <w:spacing w:after="0" w:line="148" w:lineRule="exact"/>
        <w:rPr>
          <w:sz w:val="20"/>
          <w:szCs w:val="20"/>
          <w:color w:val="auto"/>
        </w:rPr>
      </w:pPr>
    </w:p>
    <w:p>
      <w:pPr>
        <w:jc w:val="both"/>
        <w:ind w:left="640" w:right="2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3.77</w:t>
        <w:tab/>
        <w:t>“</w:t>
      </w:r>
      <w:r>
        <w:rPr>
          <w:rFonts w:ascii="Times New Roman" w:cs="Times New Roman" w:eastAsia="Times New Roman" w:hAnsi="Times New Roman"/>
          <w:sz w:val="20"/>
          <w:szCs w:val="20"/>
          <w:u w:val="single" w:color="auto"/>
          <w:color w:val="auto"/>
        </w:rPr>
        <w:t>Project Compound</w:t>
      </w:r>
      <w:r>
        <w:rPr>
          <w:rFonts w:ascii="Times New Roman" w:cs="Times New Roman" w:eastAsia="Times New Roman" w:hAnsi="Times New Roman"/>
          <w:sz w:val="20"/>
          <w:szCs w:val="20"/>
          <w:color w:val="auto"/>
        </w:rPr>
        <w:t>” means, with respect to a Project, a Compound that is derived from a Qualified Hit and newly synthesized in the course of such Project.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Project Initiation Approval</w:t>
      </w:r>
      <w:r>
        <w:rPr>
          <w:rFonts w:ascii="Times New Roman" w:cs="Times New Roman" w:eastAsia="Times New Roman" w:hAnsi="Times New Roman"/>
          <w:sz w:val="19"/>
          <w:szCs w:val="19"/>
          <w:color w:val="auto"/>
        </w:rPr>
        <w:t>” has the meaning set forth in Section 3.1.3.</w:t>
      </w:r>
    </w:p>
    <w:p>
      <w:pPr>
        <w:spacing w:after="0" w:line="175" w:lineRule="exact"/>
        <w:rPr>
          <w:sz w:val="20"/>
          <w:szCs w:val="20"/>
          <w:color w:val="auto"/>
        </w:rPr>
      </w:pPr>
    </w:p>
    <w:p>
      <w:pPr>
        <w:jc w:val="both"/>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3.79</w:t>
        <w:tab/>
        <w:t>“</w:t>
      </w:r>
      <w:r>
        <w:rPr>
          <w:rFonts w:ascii="Times New Roman" w:cs="Times New Roman" w:eastAsia="Times New Roman" w:hAnsi="Times New Roman"/>
          <w:sz w:val="20"/>
          <w:szCs w:val="20"/>
          <w:u w:val="single" w:color="auto"/>
          <w:color w:val="auto"/>
        </w:rPr>
        <w:t>Project IP Rights</w:t>
      </w:r>
      <w:r>
        <w:rPr>
          <w:rFonts w:ascii="Times New Roman" w:cs="Times New Roman" w:eastAsia="Times New Roman" w:hAnsi="Times New Roman"/>
          <w:sz w:val="20"/>
          <w:szCs w:val="20"/>
          <w:color w:val="auto"/>
        </w:rPr>
        <w:t>” means Intellectual Property Rights that are Created in the course of a Project, excluding Excluded IP and Recursion Technology.</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Project Know-How</w:t>
      </w:r>
      <w:r>
        <w:rPr>
          <w:rFonts w:ascii="Times New Roman" w:cs="Times New Roman" w:eastAsia="Times New Roman" w:hAnsi="Times New Roman"/>
          <w:sz w:val="19"/>
          <w:szCs w:val="19"/>
          <w:color w:val="auto"/>
        </w:rPr>
        <w:t>” means Know-How that is Created in the course of a Project, excluding Excluded IP and Recursion Technology.</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Project Leader(s)</w:t>
      </w:r>
      <w:r>
        <w:rPr>
          <w:rFonts w:ascii="Times New Roman" w:cs="Times New Roman" w:eastAsia="Times New Roman" w:hAnsi="Times New Roman"/>
          <w:sz w:val="19"/>
          <w:szCs w:val="19"/>
          <w:color w:val="auto"/>
        </w:rPr>
        <w:t>” has the meaning given in Section 3.4.</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Project Patents</w:t>
      </w:r>
      <w:r>
        <w:rPr>
          <w:rFonts w:ascii="Times New Roman" w:cs="Times New Roman" w:eastAsia="Times New Roman" w:hAnsi="Times New Roman"/>
          <w:sz w:val="19"/>
          <w:szCs w:val="19"/>
          <w:color w:val="auto"/>
        </w:rPr>
        <w:t>” means Project IP Rights that are Patents.</w:t>
      </w:r>
    </w:p>
    <w:p>
      <w:pPr>
        <w:spacing w:after="0" w:line="189" w:lineRule="exact"/>
        <w:rPr>
          <w:sz w:val="20"/>
          <w:szCs w:val="20"/>
          <w:color w:val="auto"/>
        </w:rPr>
      </w:pPr>
    </w:p>
    <w:p>
      <w:pPr>
        <w:jc w:val="both"/>
        <w:ind w:left="64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3.83</w:t>
        <w:tab/>
        <w:t>“</w:t>
      </w:r>
      <w:r>
        <w:rPr>
          <w:rFonts w:ascii="Times New Roman" w:cs="Times New Roman" w:eastAsia="Times New Roman" w:hAnsi="Times New Roman"/>
          <w:sz w:val="20"/>
          <w:szCs w:val="20"/>
          <w:u w:val="single" w:color="auto"/>
          <w:color w:val="auto"/>
        </w:rPr>
        <w:t>Project Plan</w:t>
      </w:r>
      <w:r>
        <w:rPr>
          <w:rFonts w:ascii="Times New Roman" w:cs="Times New Roman" w:eastAsia="Times New Roman" w:hAnsi="Times New Roman"/>
          <w:sz w:val="20"/>
          <w:szCs w:val="20"/>
          <w:color w:val="auto"/>
        </w:rPr>
        <w:t>” means a project plan that has been approved by the JSC, including its amendments made from time to time in accordance with this Agreement.</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3.84</w:t>
        <w:tab/>
        <w:t>“</w:t>
      </w:r>
      <w:r>
        <w:rPr>
          <w:rFonts w:ascii="Times New Roman" w:cs="Times New Roman" w:eastAsia="Times New Roman" w:hAnsi="Times New Roman"/>
          <w:sz w:val="20"/>
          <w:szCs w:val="20"/>
          <w:u w:val="single" w:color="auto"/>
          <w:color w:val="auto"/>
        </w:rPr>
        <w:t>Project Results</w:t>
      </w:r>
      <w:r>
        <w:rPr>
          <w:rFonts w:ascii="Times New Roman" w:cs="Times New Roman" w:eastAsia="Times New Roman" w:hAnsi="Times New Roman"/>
          <w:sz w:val="20"/>
          <w:szCs w:val="20"/>
          <w:color w:val="auto"/>
        </w:rPr>
        <w:t>” means, with respect to each Project, any and all of (i) Project IP Rights (including for the avoidance of any doubt</w:t>
      </w:r>
    </w:p>
    <w:p>
      <w:pPr>
        <w:ind w:left="640"/>
        <w:spacing w:after="0" w:line="215" w:lineRule="auto"/>
        <w:rPr>
          <w:sz w:val="20"/>
          <w:szCs w:val="20"/>
          <w:color w:val="auto"/>
        </w:rPr>
      </w:pPr>
      <w:r>
        <w:rPr>
          <w:rFonts w:ascii="Times New Roman" w:cs="Times New Roman" w:eastAsia="Times New Roman" w:hAnsi="Times New Roman"/>
          <w:sz w:val="19"/>
          <w:szCs w:val="19"/>
          <w:color w:val="auto"/>
        </w:rPr>
        <w:t>Project Patents), and (ii) Project Know-How, including Project Compounds or any results and scientific and technical data (including images) that are Created in the course of such Project and specifically related to such Project Compounds (or the Qualified Hits from</w:t>
      </w:r>
    </w:p>
    <w:p>
      <w:pPr>
        <w:ind w:left="640"/>
        <w:spacing w:after="0"/>
        <w:rPr>
          <w:sz w:val="20"/>
          <w:szCs w:val="20"/>
          <w:color w:val="auto"/>
        </w:rPr>
      </w:pPr>
      <w:r>
        <w:rPr>
          <w:rFonts w:ascii="Times New Roman" w:cs="Times New Roman" w:eastAsia="Times New Roman" w:hAnsi="Times New Roman"/>
          <w:sz w:val="20"/>
          <w:szCs w:val="20"/>
          <w:color w:val="auto"/>
        </w:rPr>
        <w:t>which they are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4" w:right="339" w:bottom="1440" w:gutter="0" w:footer="0" w:header="0"/>
        </w:sectPr>
      </w:pPr>
    </w:p>
    <w:bookmarkStart w:id="225" w:name="page226"/>
    <w:bookmarkEnd w:id="225"/>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3.85</w:t>
        <w:tab/>
        <w:t>“</w:t>
      </w:r>
      <w:r>
        <w:rPr>
          <w:rFonts w:ascii="Times New Roman" w:cs="Times New Roman" w:eastAsia="Times New Roman" w:hAnsi="Times New Roman"/>
          <w:sz w:val="20"/>
          <w:szCs w:val="20"/>
          <w:u w:val="single" w:color="auto"/>
          <w:color w:val="auto"/>
        </w:rPr>
        <w:t>Project Term</w:t>
      </w:r>
      <w:r>
        <w:rPr>
          <w:rFonts w:ascii="Times New Roman" w:cs="Times New Roman" w:eastAsia="Times New Roman" w:hAnsi="Times New Roman"/>
          <w:sz w:val="20"/>
          <w:szCs w:val="20"/>
          <w:color w:val="auto"/>
        </w:rPr>
        <w:t>” means, as to a Project, the period commencing upon the approval of a Project Plan for such Project or any other date</w:t>
      </w:r>
    </w:p>
    <w:p>
      <w:pPr>
        <w:ind w:left="640"/>
        <w:spacing w:after="0" w:line="204" w:lineRule="auto"/>
        <w:rPr>
          <w:sz w:val="20"/>
          <w:szCs w:val="20"/>
          <w:color w:val="auto"/>
        </w:rPr>
      </w:pPr>
      <w:r>
        <w:rPr>
          <w:rFonts w:ascii="Times New Roman" w:cs="Times New Roman" w:eastAsia="Times New Roman" w:hAnsi="Times New Roman"/>
          <w:sz w:val="20"/>
          <w:szCs w:val="20"/>
          <w:color w:val="auto"/>
        </w:rPr>
        <w:t>if so expressly agreed in the Project Plan and, unless such Project is earlier discontinued or terminated or this Agreement is terminated in accordance with the provisions hereunder, continuing until the earliest of (i) the date on which a License Agreement is</w:t>
      </w:r>
    </w:p>
    <w:p>
      <w:pPr>
        <w:ind w:left="640"/>
        <w:spacing w:after="0" w:line="216" w:lineRule="auto"/>
        <w:rPr>
          <w:sz w:val="20"/>
          <w:szCs w:val="20"/>
          <w:color w:val="auto"/>
        </w:rPr>
      </w:pPr>
      <w:r>
        <w:rPr>
          <w:rFonts w:ascii="Times New Roman" w:cs="Times New Roman" w:eastAsia="Times New Roman" w:hAnsi="Times New Roman"/>
          <w:sz w:val="19"/>
          <w:szCs w:val="19"/>
          <w:color w:val="auto"/>
        </w:rPr>
        <w:t>executed following the exercise of an Option for the last remaining Lead Series for such Project; (ii) expiration of all Option Periods</w:t>
      </w:r>
    </w:p>
    <w:p>
      <w:pPr>
        <w:spacing w:after="0" w:line="1" w:lineRule="exact"/>
        <w:rPr>
          <w:sz w:val="20"/>
          <w:szCs w:val="20"/>
          <w:color w:val="auto"/>
        </w:rPr>
      </w:pPr>
    </w:p>
    <w:p>
      <w:pPr>
        <w:ind w:left="640"/>
        <w:spacing w:after="0" w:line="185" w:lineRule="auto"/>
        <w:rPr>
          <w:sz w:val="20"/>
          <w:szCs w:val="20"/>
          <w:color w:val="auto"/>
        </w:rPr>
      </w:pPr>
      <w:r>
        <w:rPr>
          <w:rFonts w:ascii="Times New Roman" w:cs="Times New Roman" w:eastAsia="Times New Roman" w:hAnsi="Times New Roman"/>
          <w:sz w:val="18"/>
          <w:szCs w:val="18"/>
          <w:color w:val="auto"/>
        </w:rPr>
        <w:t>for such Project, and (iii) the fifth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anniversary of the Effective Date (unless extended by mutual agreement of the Parties); provided that, at Bayer’s request, the applicable Project Term shall be extended until the earlier of the seventh (7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anniversary of the</w:t>
      </w:r>
    </w:p>
    <w:p>
      <w:pPr>
        <w:spacing w:after="0" w:line="1" w:lineRule="exact"/>
        <w:rPr>
          <w:sz w:val="20"/>
          <w:szCs w:val="20"/>
          <w:color w:val="auto"/>
        </w:rPr>
      </w:pPr>
    </w:p>
    <w:p>
      <w:pPr>
        <w:ind w:left="640"/>
        <w:spacing w:after="0" w:line="206" w:lineRule="auto"/>
        <w:rPr>
          <w:sz w:val="20"/>
          <w:szCs w:val="20"/>
          <w:color w:val="auto"/>
        </w:rPr>
      </w:pPr>
      <w:r>
        <w:rPr>
          <w:rFonts w:ascii="Times New Roman" w:cs="Times New Roman" w:eastAsia="Times New Roman" w:hAnsi="Times New Roman"/>
          <w:sz w:val="20"/>
          <w:szCs w:val="20"/>
          <w:color w:val="auto"/>
        </w:rPr>
        <w:t xml:space="preserve">Effective Date and achievement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for a Project, to the extent such Project has been initiated prior to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of the Effective Date but for which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has not yet been achieved.</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Providing Party</w:t>
      </w:r>
      <w:r>
        <w:rPr>
          <w:rFonts w:ascii="Times New Roman" w:cs="Times New Roman" w:eastAsia="Times New Roman" w:hAnsi="Times New Roman"/>
          <w:sz w:val="19"/>
          <w:szCs w:val="19"/>
          <w:color w:val="auto"/>
        </w:rPr>
        <w:t>” has the meaning given in Section 3.7.1.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Hits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Qualified Hit Series</w:t>
      </w:r>
      <w:r>
        <w:rPr>
          <w:rFonts w:ascii="Times New Roman" w:cs="Times New Roman" w:eastAsia="Times New Roman" w:hAnsi="Times New Roman"/>
          <w:sz w:val="19"/>
          <w:szCs w:val="19"/>
          <w:color w:val="auto"/>
        </w:rPr>
        <w:t>” has the meaning given in Section 3.1.3.</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Receiving Party</w:t>
      </w:r>
      <w:r>
        <w:rPr>
          <w:rFonts w:ascii="Times New Roman" w:cs="Times New Roman" w:eastAsia="Times New Roman" w:hAnsi="Times New Roman"/>
          <w:sz w:val="19"/>
          <w:szCs w:val="19"/>
          <w:color w:val="auto"/>
        </w:rPr>
        <w:t>” has the meaning given in Section 12.1.</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Recursion</w:t>
      </w:r>
      <w:r>
        <w:rPr>
          <w:rFonts w:ascii="Times New Roman" w:cs="Times New Roman" w:eastAsia="Times New Roman" w:hAnsi="Times New Roman"/>
          <w:sz w:val="19"/>
          <w:szCs w:val="19"/>
          <w:color w:val="auto"/>
        </w:rPr>
        <w:t>” has the meaning given in the preamble.</w:t>
      </w:r>
    </w:p>
    <w:p>
      <w:pPr>
        <w:spacing w:after="0" w:line="189" w:lineRule="exact"/>
        <w:rPr>
          <w:sz w:val="20"/>
          <w:szCs w:val="20"/>
          <w:color w:val="auto"/>
        </w:rPr>
      </w:pPr>
    </w:p>
    <w:p>
      <w:pPr>
        <w:jc w:val="both"/>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3.90</w:t>
        <w:tab/>
        <w:t>“</w:t>
      </w:r>
      <w:r>
        <w:rPr>
          <w:rFonts w:ascii="Times New Roman" w:cs="Times New Roman" w:eastAsia="Times New Roman" w:hAnsi="Times New Roman"/>
          <w:sz w:val="20"/>
          <w:szCs w:val="20"/>
          <w:u w:val="single" w:color="auto"/>
          <w:color w:val="auto"/>
        </w:rPr>
        <w:t>Recursion Library Compound</w:t>
      </w:r>
      <w:r>
        <w:rPr>
          <w:rFonts w:ascii="Times New Roman" w:cs="Times New Roman" w:eastAsia="Times New Roman" w:hAnsi="Times New Roman"/>
          <w:sz w:val="20"/>
          <w:szCs w:val="20"/>
          <w:color w:val="auto"/>
        </w:rPr>
        <w:t xml:space="preserve">” means Recursion’s then-existing chemical library, which consists of approximately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Compounds as of the Restatement Effective Date.</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Recursion Indemnitees</w:t>
      </w:r>
      <w:r>
        <w:rPr>
          <w:rFonts w:ascii="Times New Roman" w:cs="Times New Roman" w:eastAsia="Times New Roman" w:hAnsi="Times New Roman"/>
          <w:sz w:val="19"/>
          <w:szCs w:val="19"/>
          <w:color w:val="auto"/>
        </w:rPr>
        <w:t>” has the meaning given in Section 14.6.</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Recursion JSC Members</w:t>
      </w:r>
      <w:r>
        <w:rPr>
          <w:rFonts w:ascii="Times New Roman" w:cs="Times New Roman" w:eastAsia="Times New Roman" w:hAnsi="Times New Roman"/>
          <w:sz w:val="19"/>
          <w:szCs w:val="19"/>
          <w:color w:val="auto"/>
        </w:rPr>
        <w:t>” has the meaning given in Section 4.1.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Recursion Option</w:t>
      </w:r>
      <w:r>
        <w:rPr>
          <w:rFonts w:ascii="Times New Roman" w:cs="Times New Roman" w:eastAsia="Times New Roman" w:hAnsi="Times New Roman"/>
          <w:sz w:val="19"/>
          <w:szCs w:val="19"/>
          <w:color w:val="auto"/>
        </w:rPr>
        <w:t>” has the meaning given in Section 8.4.</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Recursion Option Period</w:t>
      </w:r>
      <w:r>
        <w:rPr>
          <w:rFonts w:ascii="Times New Roman" w:cs="Times New Roman" w:eastAsia="Times New Roman" w:hAnsi="Times New Roman"/>
          <w:sz w:val="19"/>
          <w:szCs w:val="19"/>
          <w:color w:val="auto"/>
        </w:rPr>
        <w:t>” has the meaning given in Section 8.4.</w:t>
      </w:r>
    </w:p>
    <w:p>
      <w:pPr>
        <w:spacing w:after="0" w:line="189" w:lineRule="exact"/>
        <w:rPr>
          <w:sz w:val="20"/>
          <w:szCs w:val="20"/>
          <w:color w:val="auto"/>
        </w:rPr>
      </w:pPr>
    </w:p>
    <w:p>
      <w:pPr>
        <w:jc w:val="both"/>
        <w:ind w:left="640" w:hanging="637"/>
        <w:spacing w:after="0" w:line="227" w:lineRule="auto"/>
        <w:tabs>
          <w:tab w:leader="none" w:pos="620" w:val="left"/>
        </w:tabs>
        <w:rPr>
          <w:sz w:val="20"/>
          <w:szCs w:val="20"/>
          <w:color w:val="auto"/>
        </w:rPr>
      </w:pPr>
      <w:r>
        <w:rPr>
          <w:rFonts w:ascii="Times New Roman" w:cs="Times New Roman" w:eastAsia="Times New Roman" w:hAnsi="Times New Roman"/>
          <w:sz w:val="20"/>
          <w:szCs w:val="20"/>
          <w:color w:val="auto"/>
        </w:rPr>
        <w:t>3.95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Recursion Technology</w:t>
      </w:r>
      <w:r>
        <w:rPr>
          <w:rFonts w:ascii="Times New Roman" w:cs="Times New Roman" w:eastAsia="Times New Roman" w:hAnsi="Times New Roman"/>
          <w:sz w:val="19"/>
          <w:szCs w:val="19"/>
          <w:color w:val="auto"/>
        </w:rPr>
        <w:t xml:space="preserve">” shall mean Recursion’s proprietary methods for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methods for compound management, high-throughput screening lab, data analysis algorithms, high-dimensional phenotypic and other assays, engineering infrastructure, and databases, but,</w:t>
      </w:r>
    </w:p>
    <w:p>
      <w:pPr>
        <w:ind w:left="640"/>
        <w:spacing w:after="0" w:line="211" w:lineRule="auto"/>
        <w:rPr>
          <w:sz w:val="20"/>
          <w:szCs w:val="20"/>
          <w:color w:val="auto"/>
        </w:rPr>
      </w:pPr>
      <w:r>
        <w:rPr>
          <w:rFonts w:ascii="Times New Roman" w:cs="Times New Roman" w:eastAsia="Times New Roman" w:hAnsi="Times New Roman"/>
          <w:sz w:val="20"/>
          <w:szCs w:val="20"/>
          <w:color w:val="auto"/>
        </w:rPr>
        <w:t>for the avoidance of doubt, shall exclude any data. For purposes of this Agreement, Recursion Technology shall be treated as</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Background Know-How of Recursion, regardless of whether Created prior to, in the course of any Project or activities under the Collaboration Plan or outside the Collaboration.</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Research Documentation</w:t>
      </w:r>
      <w:r>
        <w:rPr>
          <w:rFonts w:ascii="Times New Roman" w:cs="Times New Roman" w:eastAsia="Times New Roman" w:hAnsi="Times New Roman"/>
          <w:sz w:val="19"/>
          <w:szCs w:val="19"/>
          <w:color w:val="auto"/>
        </w:rPr>
        <w:t>” has the meaning given in Section 3.10.</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Research License</w:t>
      </w:r>
      <w:r>
        <w:rPr>
          <w:rFonts w:ascii="Times New Roman" w:cs="Times New Roman" w:eastAsia="Times New Roman" w:hAnsi="Times New Roman"/>
          <w:sz w:val="19"/>
          <w:szCs w:val="19"/>
          <w:color w:val="auto"/>
        </w:rPr>
        <w:t>” has the meaning given in Section 10.1.</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Restatement Effective Date</w:t>
      </w:r>
      <w:r>
        <w:rPr>
          <w:rFonts w:ascii="Times New Roman" w:cs="Times New Roman" w:eastAsia="Times New Roman" w:hAnsi="Times New Roman"/>
          <w:sz w:val="19"/>
          <w:szCs w:val="19"/>
          <w:color w:val="auto"/>
        </w:rPr>
        <w:t>” has the meaning set forth in the preamble.</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Anchor Perturbation Activity</w:t>
      </w:r>
      <w:r>
        <w:rPr>
          <w:rFonts w:ascii="Times New Roman" w:cs="Times New Roman" w:eastAsia="Times New Roman" w:hAnsi="Times New Roman"/>
          <w:sz w:val="19"/>
          <w:szCs w:val="19"/>
          <w:color w:val="auto"/>
        </w:rPr>
        <w:t>” has the meaning given in Section 2.5.1.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3.100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Deconvoluted Target Activity</w:t>
      </w:r>
      <w:r>
        <w:rPr>
          <w:rFonts w:ascii="Times New Roman" w:cs="Times New Roman" w:eastAsia="Times New Roman" w:hAnsi="Times New Roman"/>
          <w:sz w:val="19"/>
          <w:szCs w:val="19"/>
          <w:color w:val="auto"/>
        </w:rPr>
        <w:t>” has the meaning given in Section 2.5.2.</w:t>
      </w:r>
    </w:p>
    <w:p>
      <w:pPr>
        <w:spacing w:after="0" w:line="175" w:lineRule="exact"/>
        <w:rPr>
          <w:sz w:val="20"/>
          <w:szCs w:val="20"/>
          <w:color w:val="auto"/>
        </w:rPr>
      </w:pPr>
    </w:p>
    <w:p>
      <w:pPr>
        <w:jc w:val="both"/>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3.101</w:t>
        <w:tab/>
        <w:t>“</w:t>
      </w:r>
      <w:r>
        <w:rPr>
          <w:rFonts w:ascii="Times New Roman" w:cs="Times New Roman" w:eastAsia="Times New Roman" w:hAnsi="Times New Roman"/>
          <w:sz w:val="20"/>
          <w:szCs w:val="20"/>
          <w:u w:val="single" w:color="auto"/>
          <w:color w:val="auto"/>
        </w:rPr>
        <w:t>Restricted Project</w:t>
      </w:r>
      <w:r>
        <w:rPr>
          <w:rFonts w:ascii="Times New Roman" w:cs="Times New Roman" w:eastAsia="Times New Roman" w:hAnsi="Times New Roman"/>
          <w:sz w:val="20"/>
          <w:szCs w:val="20"/>
          <w:color w:val="auto"/>
        </w:rPr>
        <w:t>” means, individually or collectively, each Restricted Anchor Perturbation Activity or Restricted Deconvoluted Target Activity.</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3.102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Retention Period</w:t>
      </w:r>
      <w:r>
        <w:rPr>
          <w:rFonts w:ascii="Times New Roman" w:cs="Times New Roman" w:eastAsia="Times New Roman" w:hAnsi="Times New Roman"/>
          <w:sz w:val="19"/>
          <w:szCs w:val="19"/>
          <w:color w:val="auto"/>
        </w:rPr>
        <w:t>” has the meaning given in Section 3.10.</w:t>
      </w:r>
    </w:p>
    <w:p>
      <w:pPr>
        <w:spacing w:after="0" w:line="175" w:lineRule="exact"/>
        <w:rPr>
          <w:sz w:val="20"/>
          <w:szCs w:val="20"/>
          <w:color w:val="auto"/>
        </w:rPr>
      </w:pPr>
    </w:p>
    <w:p>
      <w:pPr>
        <w:jc w:val="both"/>
        <w:ind w:left="640" w:hanging="63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3.103</w:t>
        <w:tab/>
        <w:t>“</w:t>
      </w:r>
      <w:r>
        <w:rPr>
          <w:rFonts w:ascii="Times New Roman" w:cs="Times New Roman" w:eastAsia="Times New Roman" w:hAnsi="Times New Roman"/>
          <w:sz w:val="20"/>
          <w:szCs w:val="20"/>
          <w:u w:val="single" w:color="auto"/>
          <w:color w:val="auto"/>
        </w:rPr>
        <w:t>Segregate</w:t>
      </w:r>
      <w:r>
        <w:rPr>
          <w:rFonts w:ascii="Times New Roman" w:cs="Times New Roman" w:eastAsia="Times New Roman" w:hAnsi="Times New Roman"/>
          <w:sz w:val="20"/>
          <w:szCs w:val="20"/>
          <w:color w:val="auto"/>
        </w:rPr>
        <w:t>” means, with respect to a Restricted Project, to segregate the Project Results and Confidential Information of Bayer from the research and development activities relating to such Restricted Project; provided, that, senior management personnel may review and evaluate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4" w:right="339" w:bottom="1440" w:gutter="0" w:footer="0" w:header="0"/>
        </w:sectPr>
      </w:pPr>
    </w:p>
    <w:bookmarkStart w:id="226" w:name="page227"/>
    <w:bookmarkEnd w:id="226"/>
    <w:p>
      <w:pPr>
        <w:ind w:left="640" w:right="20"/>
        <w:spacing w:after="0"/>
        <w:rPr>
          <w:sz w:val="20"/>
          <w:szCs w:val="20"/>
          <w:color w:val="auto"/>
        </w:rPr>
      </w:pPr>
      <w:r>
        <w:rPr>
          <w:rFonts w:ascii="Times New Roman" w:cs="Times New Roman" w:eastAsia="Times New Roman" w:hAnsi="Times New Roman"/>
          <w:sz w:val="20"/>
          <w:szCs w:val="20"/>
          <w:color w:val="auto"/>
        </w:rPr>
        <w:t>and information regarding the research and development of such Restricted Projects, solely in connection with portfolio decision-making among product opportunities.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has the meaning given in Section 7.4.</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Subcontractor</w:t>
      </w:r>
      <w:r>
        <w:rPr>
          <w:rFonts w:ascii="Times New Roman" w:cs="Times New Roman" w:eastAsia="Times New Roman" w:hAnsi="Times New Roman"/>
          <w:sz w:val="19"/>
          <w:szCs w:val="19"/>
          <w:color w:val="auto"/>
        </w:rPr>
        <w:t>” has the meaning given in Section 3.6.1.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3.106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Territory</w:t>
      </w:r>
      <w:r>
        <w:rPr>
          <w:rFonts w:ascii="Times New Roman" w:cs="Times New Roman" w:eastAsia="Times New Roman" w:hAnsi="Times New Roman"/>
          <w:sz w:val="19"/>
          <w:szCs w:val="19"/>
          <w:color w:val="auto"/>
        </w:rPr>
        <w:t>” means worldwide.</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3.107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Third Party</w:t>
      </w:r>
      <w:r>
        <w:rPr>
          <w:rFonts w:ascii="Times New Roman" w:cs="Times New Roman" w:eastAsia="Times New Roman" w:hAnsi="Times New Roman"/>
          <w:sz w:val="19"/>
          <w:szCs w:val="19"/>
          <w:color w:val="auto"/>
        </w:rPr>
        <w:t>” means any Person other than Bayer, Recursion, or any Bayer Affiliate or Recursion Affiliate.</w:t>
      </w:r>
    </w:p>
    <w:p>
      <w:pPr>
        <w:spacing w:after="0" w:line="189" w:lineRule="exact"/>
        <w:rPr>
          <w:sz w:val="20"/>
          <w:szCs w:val="20"/>
          <w:color w:val="auto"/>
        </w:rPr>
      </w:pPr>
    </w:p>
    <w:p>
      <w:pPr>
        <w:ind w:left="640" w:right="2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3.108</w:t>
        <w:tab/>
        <w:t>“</w:t>
      </w:r>
      <w:r>
        <w:rPr>
          <w:rFonts w:ascii="Times New Roman" w:cs="Times New Roman" w:eastAsia="Times New Roman" w:hAnsi="Times New Roman"/>
          <w:sz w:val="20"/>
          <w:szCs w:val="20"/>
          <w:u w:val="single" w:color="auto"/>
          <w:color w:val="auto"/>
        </w:rPr>
        <w:t>Tool Compound</w:t>
      </w:r>
      <w:r>
        <w:rPr>
          <w:rFonts w:ascii="Times New Roman" w:cs="Times New Roman" w:eastAsia="Times New Roman" w:hAnsi="Times New Roman"/>
          <w:sz w:val="20"/>
          <w:szCs w:val="20"/>
          <w:color w:val="auto"/>
        </w:rPr>
        <w:t>” means a Compound that is not Created within the Project and that is used in the course of a Project for reference or characterization purposes and which shall be identified as such within the respective Project Plan for a Project.</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3.109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Using Party</w:t>
      </w:r>
      <w:r>
        <w:rPr>
          <w:rFonts w:ascii="Times New Roman" w:cs="Times New Roman" w:eastAsia="Times New Roman" w:hAnsi="Times New Roman"/>
          <w:sz w:val="19"/>
          <w:szCs w:val="19"/>
          <w:color w:val="auto"/>
        </w:rPr>
        <w:t>” has the meaning given in Section 3.7.1.</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VAT</w:t>
      </w:r>
      <w:r>
        <w:rPr>
          <w:rFonts w:ascii="Times New Roman" w:cs="Times New Roman" w:eastAsia="Times New Roman" w:hAnsi="Times New Roman"/>
          <w:sz w:val="19"/>
          <w:szCs w:val="19"/>
          <w:color w:val="auto"/>
        </w:rPr>
        <w:t>” has the meaning given in Section 7.5.</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3.111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Withholding Tax</w:t>
      </w:r>
      <w:r>
        <w:rPr>
          <w:rFonts w:ascii="Times New Roman" w:cs="Times New Roman" w:eastAsia="Times New Roman" w:hAnsi="Times New Roman"/>
          <w:sz w:val="19"/>
          <w:szCs w:val="19"/>
          <w:color w:val="auto"/>
        </w:rPr>
        <w:t>” has the meaning given in Section 7.6.</w:t>
      </w:r>
    </w:p>
    <w:p>
      <w:pPr>
        <w:spacing w:after="0" w:line="212"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SCOPE AND STRUCTURE OF THIS AGREEMENT</w:t>
      </w:r>
    </w:p>
    <w:p>
      <w:pPr>
        <w:spacing w:after="0" w:line="170"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Original Agreement; Scope of this Agreement</w:t>
      </w:r>
      <w:r>
        <w:rPr>
          <w:rFonts w:ascii="Times New Roman" w:cs="Times New Roman" w:eastAsia="Times New Roman" w:hAnsi="Times New Roman"/>
          <w:sz w:val="20"/>
          <w:szCs w:val="20"/>
          <w:color w:val="auto"/>
        </w:rPr>
        <w:t>. This Agreement amends, restates and supersedes in its entirety the Original Agreement, as of the Restatement Effective Date. The Original Agreement, including any provisions surviving pursuant to Section</w:t>
      </w:r>
    </w:p>
    <w:p>
      <w:pPr>
        <w:spacing w:after="0" w:line="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15.7 of the Original Agreement, shall govern the Parties collaboration in the area of Fibrosis-related indications in individual Projects prior to the Restatement Effective Date. As of the Restatement Effective Date, this Agreement serves as an umbrella agreement under</w:t>
      </w:r>
    </w:p>
    <w:p>
      <w:pPr>
        <w:ind w:left="640"/>
        <w:spacing w:after="0" w:line="228" w:lineRule="auto"/>
        <w:rPr>
          <w:sz w:val="20"/>
          <w:szCs w:val="20"/>
          <w:color w:val="auto"/>
        </w:rPr>
      </w:pPr>
      <w:r>
        <w:rPr>
          <w:rFonts w:ascii="Times New Roman" w:cs="Times New Roman" w:eastAsia="Times New Roman" w:hAnsi="Times New Roman"/>
          <w:sz w:val="20"/>
          <w:szCs w:val="20"/>
          <w:color w:val="auto"/>
        </w:rPr>
        <w:t>which the Parties undertake to collaborate in the area of oncology in up to seven (7) individual Projects. For clarity, effective as of the Restatement Effective Date, all research, collaboration and projects in Fibrosis under the Original Agreement are terminated.</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Objective of the Agreement</w:t>
      </w:r>
      <w:r>
        <w:rPr>
          <w:rFonts w:ascii="Times New Roman" w:cs="Times New Roman" w:eastAsia="Times New Roman" w:hAnsi="Times New Roman"/>
          <w:sz w:val="19"/>
          <w:szCs w:val="19"/>
          <w:color w:val="auto"/>
        </w:rPr>
        <w:t>. The Parties shall strive to develop at least one (1) Lead Candidate per Project under this Agreement.</w:t>
      </w:r>
    </w:p>
    <w:p>
      <w:pPr>
        <w:spacing w:after="0" w:line="189"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Roles of the Parties</w:t>
      </w:r>
      <w:r>
        <w:rPr>
          <w:rFonts w:ascii="Times New Roman" w:cs="Times New Roman" w:eastAsia="Times New Roman" w:hAnsi="Times New Roman"/>
          <w:sz w:val="20"/>
          <w:szCs w:val="20"/>
          <w:color w:val="auto"/>
        </w:rPr>
        <w:t>. Both Parties will contribute Compound libraries suitable for screening purposes to the Projects as further detailed in the Collaboration Plan. The research works will be conducted mainly by Recursion using the Recursion Technology and</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by Bayer, in each case to the extent expressly laid out in Sections 3.1 or 3.2 of the Agreement, the Collaboration Plan or the applicable Project Plan.</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xml:space="preserve">. Bayer will at its discretion have the right to exercise the Bayer Lead Series Option with regard to each Lead Series in accordance with Article 8 on terms agreed in the license agreement attached to this Agreement as </w:t>
      </w:r>
      <w:r>
        <w:rPr>
          <w:rFonts w:ascii="Times New Roman" w:cs="Times New Roman" w:eastAsia="Times New Roman" w:hAnsi="Times New Roman"/>
          <w:sz w:val="20"/>
          <w:szCs w:val="20"/>
          <w:b w:val="1"/>
          <w:bCs w:val="1"/>
          <w:u w:val="single" w:color="auto"/>
          <w:color w:val="auto"/>
        </w:rPr>
        <w:t>Appendix 2 (Lead Series)</w:t>
      </w:r>
      <w:r>
        <w:rPr>
          <w:rFonts w:ascii="Times New Roman" w:cs="Times New Roman" w:eastAsia="Times New Roman" w:hAnsi="Times New Roman"/>
          <w:sz w:val="20"/>
          <w:szCs w:val="20"/>
          <w:color w:val="auto"/>
        </w:rPr>
        <w:t xml:space="preserve"> (each, a</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 Agreement</w:t>
      </w:r>
      <w:r>
        <w:rPr>
          <w:rFonts w:ascii="Times New Roman" w:cs="Times New Roman" w:eastAsia="Times New Roman" w:hAnsi="Times New Roman"/>
          <w:sz w:val="20"/>
          <w:szCs w:val="20"/>
          <w:color w:val="auto"/>
        </w:rPr>
        <w:t>”). In case Bayer does not exercise the Bayer Lead Series Option with respect to a Lead Series during the relevant Option Period, Recursion will have the option to negotiate on a Lead Series-by-Lead Series basis a license in accordance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with Article 8.</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Exclusivity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right"/>
        <w:ind w:left="660"/>
        <w:spacing w:after="0" w:line="222" w:lineRule="auto"/>
        <w:rPr>
          <w:sz w:val="20"/>
          <w:szCs w:val="20"/>
          <w:color w:val="auto"/>
        </w:rPr>
      </w:pPr>
      <w:r>
        <w:rPr>
          <w:rFonts w:ascii="Times New Roman" w:cs="Times New Roman" w:eastAsia="Times New Roman" w:hAnsi="Times New Roman"/>
          <w:sz w:val="20"/>
          <w:szCs w:val="20"/>
          <w:color w:val="auto"/>
        </w:rPr>
        <w:t xml:space="preserve">2.5.1.     During the Anchor Perturbation Exclusivity Term, Recursion will not alone, or with, or for any third party conduct any research and development activities to the extent that the focus of such activities 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the Anchor Perturbations listed in</w:t>
      </w:r>
    </w:p>
    <w:p>
      <w:pPr>
        <w:spacing w:after="0" w:line="2"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Appendix 1a (each, a “Restricted Anchor Perturbation Activity”). As used herein, “</w:t>
      </w:r>
      <w:r>
        <w:rPr>
          <w:rFonts w:ascii="Times New Roman" w:cs="Times New Roman" w:eastAsia="Times New Roman" w:hAnsi="Times New Roman"/>
          <w:sz w:val="20"/>
          <w:szCs w:val="20"/>
          <w:u w:val="single" w:color="auto"/>
          <w:color w:val="auto"/>
        </w:rPr>
        <w:t>Anchor Perturbation Exclusivity Term</w:t>
      </w:r>
      <w:r>
        <w:rPr>
          <w:rFonts w:ascii="Times New Roman" w:cs="Times New Roman" w:eastAsia="Times New Roman" w:hAnsi="Times New Roman"/>
          <w:sz w:val="20"/>
          <w:szCs w:val="20"/>
          <w:color w:val="auto"/>
        </w:rPr>
        <w:t>” means, on an Anchor Perturbation-by-Anchor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9" w:right="339" w:bottom="1440" w:gutter="0" w:footer="0" w:header="0"/>
        </w:sectPr>
      </w:pPr>
    </w:p>
    <w:bookmarkStart w:id="227" w:name="page228"/>
    <w:bookmarkEnd w:id="227"/>
    <w:p>
      <w:pPr>
        <w:ind w:left="1300"/>
        <w:spacing w:after="0"/>
        <w:rPr>
          <w:sz w:val="20"/>
          <w:szCs w:val="20"/>
          <w:color w:val="auto"/>
        </w:rPr>
      </w:pPr>
      <w:r>
        <w:rPr>
          <w:rFonts w:ascii="Times New Roman" w:cs="Times New Roman" w:eastAsia="Times New Roman" w:hAnsi="Times New Roman"/>
          <w:sz w:val="20"/>
          <w:szCs w:val="20"/>
          <w:color w:val="auto"/>
        </w:rPr>
        <w:t>Perturbation basis, the period commencing on the Restatement Effective Date and expiring upon the earliest to occur of</w:t>
      </w: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right"/>
        <w:ind w:left="660"/>
        <w:spacing w:after="0" w:line="222" w:lineRule="auto"/>
        <w:rPr>
          <w:sz w:val="20"/>
          <w:szCs w:val="20"/>
          <w:color w:val="auto"/>
        </w:rPr>
      </w:pPr>
      <w:r>
        <w:rPr>
          <w:rFonts w:ascii="Times New Roman" w:cs="Times New Roman" w:eastAsia="Times New Roman" w:hAnsi="Times New Roman"/>
          <w:sz w:val="20"/>
          <w:szCs w:val="20"/>
          <w:color w:val="auto"/>
        </w:rPr>
        <w:t>2.5.2.  During the applicable Project Term for a particular Project for which a Deconvoluted Target has been determined as set forth in Section 3.2.2, Recursion will not alone, or with, or for any third party conduct any research and development activities to</w:t>
      </w:r>
    </w:p>
    <w:p>
      <w:pPr>
        <w:spacing w:after="0" w:line="2" w:lineRule="exact"/>
        <w:rPr>
          <w:sz w:val="20"/>
          <w:szCs w:val="20"/>
          <w:color w:val="auto"/>
        </w:rPr>
      </w:pPr>
    </w:p>
    <w:p>
      <w:pPr>
        <w:jc w:val="both"/>
        <w:ind w:left="1300"/>
        <w:spacing w:after="0" w:line="215" w:lineRule="auto"/>
        <w:rPr>
          <w:sz w:val="20"/>
          <w:szCs w:val="20"/>
          <w:color w:val="auto"/>
        </w:rPr>
      </w:pPr>
      <w:r>
        <w:rPr>
          <w:rFonts w:ascii="Times New Roman" w:cs="Times New Roman" w:eastAsia="Times New Roman" w:hAnsi="Times New Roman"/>
          <w:sz w:val="19"/>
          <w:szCs w:val="19"/>
          <w:color w:val="auto"/>
        </w:rPr>
        <w:t xml:space="preserve">the extent the focus of such activities is the discovery and validation of Compounds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the same Deconvoluted Target that the subject of such Project for use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u w:val="single" w:color="auto"/>
          <w:color w:val="auto"/>
        </w:rPr>
        <w:t>Restricted Deconvoluted Target Activity</w:t>
      </w:r>
      <w:r>
        <w:rPr>
          <w:rFonts w:ascii="Times New Roman" w:cs="Times New Roman" w:eastAsia="Times New Roman" w:hAnsi="Times New Roman"/>
          <w:sz w:val="19"/>
          <w:szCs w:val="19"/>
          <w:color w:val="auto"/>
        </w:rPr>
        <w:t>”). Notwithstanding the foregoing,</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Recursion shall be entitled to continue any research and development activities which Recursion can prove to be already</w:t>
      </w:r>
    </w:p>
    <w:p>
      <w:pPr>
        <w:ind w:left="1300"/>
        <w:spacing w:after="0" w:line="221" w:lineRule="auto"/>
        <w:rPr>
          <w:sz w:val="20"/>
          <w:szCs w:val="20"/>
          <w:color w:val="auto"/>
        </w:rPr>
      </w:pPr>
      <w:r>
        <w:rPr>
          <w:rFonts w:ascii="Times New Roman" w:cs="Times New Roman" w:eastAsia="Times New Roman" w:hAnsi="Times New Roman"/>
          <w:sz w:val="20"/>
          <w:szCs w:val="20"/>
          <w:color w:val="auto"/>
        </w:rPr>
        <w:t>initiated by Recursion prior to approval of the Deconvoluted Target by the JSC as set forth in Section 3.2.3. even if such research and development activities would constitute a Restricted Deconvoluted Target Activity.</w:t>
      </w:r>
    </w:p>
    <w:p>
      <w:pPr>
        <w:spacing w:after="0" w:line="15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2.5.3.</w:t>
        <w:tab/>
        <w:t>In the event of a Change of Control of Recursion, the foregoing limitations in Sections 2.5.1 or 2.5.2 shall not apply to any</w:t>
      </w:r>
    </w:p>
    <w:p>
      <w:pPr>
        <w:ind w:left="1300"/>
        <w:spacing w:after="0" w:line="215" w:lineRule="auto"/>
        <w:rPr>
          <w:sz w:val="20"/>
          <w:szCs w:val="20"/>
          <w:color w:val="auto"/>
        </w:rPr>
      </w:pPr>
      <w:r>
        <w:rPr>
          <w:rFonts w:ascii="Times New Roman" w:cs="Times New Roman" w:eastAsia="Times New Roman" w:hAnsi="Times New Roman"/>
          <w:sz w:val="19"/>
          <w:szCs w:val="19"/>
          <w:color w:val="auto"/>
        </w:rPr>
        <w:t>program that an Acquiring Entity had ongoing as of immediately prior to the date of such Change of Control or any program conducted by an Acquiring Entity after the date of such Change of Control; provided that such Acquiring Entity does not use</w:t>
      </w:r>
    </w:p>
    <w:p>
      <w:pPr>
        <w:ind w:left="1300"/>
        <w:spacing w:after="0" w:line="222" w:lineRule="auto"/>
        <w:rPr>
          <w:sz w:val="20"/>
          <w:szCs w:val="20"/>
          <w:color w:val="auto"/>
        </w:rPr>
      </w:pPr>
      <w:r>
        <w:rPr>
          <w:rFonts w:ascii="Times New Roman" w:cs="Times New Roman" w:eastAsia="Times New Roman" w:hAnsi="Times New Roman"/>
          <w:sz w:val="19"/>
          <w:szCs w:val="19"/>
          <w:color w:val="auto"/>
        </w:rPr>
        <w:t>the Recursion Technology, Project Results or any Confidential Information of Bayer for such program or for activities related</w:t>
      </w:r>
    </w:p>
    <w:p>
      <w:pPr>
        <w:ind w:left="1300"/>
        <w:spacing w:after="0" w:line="204" w:lineRule="auto"/>
        <w:rPr>
          <w:sz w:val="20"/>
          <w:szCs w:val="20"/>
          <w:color w:val="auto"/>
        </w:rPr>
      </w:pPr>
      <w:r>
        <w:rPr>
          <w:rFonts w:ascii="Times New Roman" w:cs="Times New Roman" w:eastAsia="Times New Roman" w:hAnsi="Times New Roman"/>
          <w:sz w:val="20"/>
          <w:szCs w:val="20"/>
          <w:color w:val="auto"/>
        </w:rPr>
        <w:t>to such program. Further, if Recursion or any of its Affiliates acquires rights to a Restricted Project through the acquisition of a Third Party (whether by merger or acquisition of all or substantially all of the stock or assets of a Third Party or of any</w:t>
      </w:r>
    </w:p>
    <w:p>
      <w:pPr>
        <w:ind w:left="1300"/>
        <w:spacing w:after="0" w:line="211" w:lineRule="auto"/>
        <w:rPr>
          <w:sz w:val="20"/>
          <w:szCs w:val="20"/>
          <w:color w:val="auto"/>
        </w:rPr>
      </w:pPr>
      <w:r>
        <w:rPr>
          <w:rFonts w:ascii="Times New Roman" w:cs="Times New Roman" w:eastAsia="Times New Roman" w:hAnsi="Times New Roman"/>
          <w:sz w:val="20"/>
          <w:szCs w:val="20"/>
          <w:color w:val="auto"/>
        </w:rPr>
        <w:t>operating or business division of a Third Party or similar transaction), such acquisition, and research and development for</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such Restricted Project thereafter, shall not constitute a breach of this Section 2.5 if Recursion or such Affiliate, as applicable, Divests such Restricted Project within twelve (12) months from the closing of the acquisition and at all times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prior to such Divestiture, Segregates such Restricted Project.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Chapters of the Agreement</w:t>
      </w:r>
      <w:r>
        <w:rPr>
          <w:rFonts w:ascii="Times New Roman" w:cs="Times New Roman" w:eastAsia="Times New Roman" w:hAnsi="Times New Roman"/>
          <w:sz w:val="19"/>
          <w:szCs w:val="19"/>
          <w:color w:val="auto"/>
        </w:rPr>
        <w:t>. This Agreement is structured into the following chapters:</w:t>
      </w:r>
    </w:p>
    <w:p>
      <w:pPr>
        <w:spacing w:after="0" w:line="189" w:lineRule="exact"/>
        <w:rPr>
          <w:sz w:val="20"/>
          <w:szCs w:val="20"/>
          <w:color w:val="auto"/>
        </w:rPr>
      </w:pPr>
    </w:p>
    <w:p>
      <w:pPr>
        <w:ind w:left="1400" w:hanging="754"/>
        <w:spacing w:after="0"/>
        <w:tabs>
          <w:tab w:leader="none" w:pos="1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“Chapter A – Introduction” comprises the definition section and introduction to the scope and structure of this Agreement.</w:t>
      </w:r>
    </w:p>
    <w:p>
      <w:pPr>
        <w:spacing w:after="0" w:line="188" w:lineRule="exact"/>
        <w:rPr>
          <w:rFonts w:ascii="Times New Roman" w:cs="Times New Roman" w:eastAsia="Times New Roman" w:hAnsi="Times New Roman"/>
          <w:sz w:val="20"/>
          <w:szCs w:val="20"/>
          <w:color w:val="auto"/>
        </w:rPr>
      </w:pPr>
    </w:p>
    <w:p>
      <w:pPr>
        <w:ind w:left="1420" w:right="20" w:hanging="774"/>
        <w:spacing w:after="0" w:line="233" w:lineRule="auto"/>
        <w:tabs>
          <w:tab w:leader="none" w:pos="141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“Chapter B – Collaboration” comprises provisions concerning the selection and execution of Projects and the governance rules under this Agreement.</w:t>
      </w:r>
    </w:p>
    <w:p>
      <w:pPr>
        <w:spacing w:after="0" w:line="160" w:lineRule="exact"/>
        <w:rPr>
          <w:rFonts w:ascii="Times New Roman" w:cs="Times New Roman" w:eastAsia="Times New Roman" w:hAnsi="Times New Roman"/>
          <w:sz w:val="20"/>
          <w:szCs w:val="20"/>
          <w:color w:val="auto"/>
        </w:rPr>
      </w:pPr>
    </w:p>
    <w:p>
      <w:pPr>
        <w:ind w:left="1420" w:hanging="774"/>
        <w:spacing w:after="0"/>
        <w:tabs>
          <w:tab w:leader="none" w:pos="141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“Chapter C – Financials” comprises provisions regarding the funding of the Projects, payments pertaining to the Option exercise and general payment terms.</w:t>
      </w:r>
    </w:p>
    <w:p>
      <w:pPr>
        <w:spacing w:after="0" w:line="147" w:lineRule="exact"/>
        <w:rPr>
          <w:rFonts w:ascii="Times New Roman" w:cs="Times New Roman" w:eastAsia="Times New Roman" w:hAnsi="Times New Roman"/>
          <w:sz w:val="20"/>
          <w:szCs w:val="20"/>
          <w:color w:val="auto"/>
        </w:rPr>
      </w:pPr>
    </w:p>
    <w:p>
      <w:pPr>
        <w:ind w:left="1400" w:hanging="754"/>
        <w:spacing w:after="0"/>
        <w:tabs>
          <w:tab w:leader="none" w:pos="1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“Chapter D – Options” comprises provisions on the scope, timelines and exercise of the Options.</w:t>
      </w:r>
    </w:p>
    <w:p>
      <w:pPr>
        <w:spacing w:after="0" w:line="188" w:lineRule="exact"/>
        <w:rPr>
          <w:rFonts w:ascii="Times New Roman" w:cs="Times New Roman" w:eastAsia="Times New Roman" w:hAnsi="Times New Roman"/>
          <w:sz w:val="20"/>
          <w:szCs w:val="20"/>
          <w:color w:val="auto"/>
        </w:rPr>
      </w:pPr>
    </w:p>
    <w:p>
      <w:pPr>
        <w:ind w:left="1420" w:hanging="774"/>
        <w:spacing w:after="0"/>
        <w:tabs>
          <w:tab w:leader="none" w:pos="141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“Chapter E – Intellectual Property” comprises provisions on the ownership and licenses to the Project Results and Background IP Rights and Background Know-How.</w:t>
      </w:r>
    </w:p>
    <w:p>
      <w:pPr>
        <w:spacing w:after="0" w:line="147" w:lineRule="exact"/>
        <w:rPr>
          <w:rFonts w:ascii="Times New Roman" w:cs="Times New Roman" w:eastAsia="Times New Roman" w:hAnsi="Times New Roman"/>
          <w:sz w:val="20"/>
          <w:szCs w:val="20"/>
          <w:color w:val="auto"/>
        </w:rPr>
      </w:pPr>
    </w:p>
    <w:p>
      <w:pPr>
        <w:ind w:left="1420" w:hanging="774"/>
        <w:spacing w:after="0"/>
        <w:tabs>
          <w:tab w:leader="none" w:pos="141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“Chapter F – General Provisions” comprises provisions of general nature including without limitation on Confidentiality, Publications, Liability, Term and Termination, Applicable Law and Dispute Resolution.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Chapter B –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4" w:right="339" w:bottom="1440" w:gutter="0" w:footer="0" w:header="0"/>
        </w:sectPr>
      </w:pPr>
    </w:p>
    <w:bookmarkStart w:id="228" w:name="page229"/>
    <w:bookmarkEnd w:id="228"/>
    <w:p>
      <w:pPr>
        <w:ind w:left="660" w:hanging="652"/>
        <w:spacing w:after="0"/>
        <w:tabs>
          <w:tab w:leader="none" w:pos="6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PROJECTS</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Project Phases</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Phase 1 – Discovery Research</w:t>
      </w:r>
    </w:p>
    <w:p>
      <w:pPr>
        <w:spacing w:after="0" w:line="179" w:lineRule="exact"/>
        <w:rPr>
          <w:sz w:val="20"/>
          <w:szCs w:val="20"/>
          <w:color w:val="auto"/>
        </w:rPr>
      </w:pPr>
    </w:p>
    <w:p>
      <w:pPr>
        <w:jc w:val="both"/>
        <w:ind w:left="1300" w:hanging="647"/>
        <w:spacing w:after="0" w:line="230" w:lineRule="auto"/>
        <w:tabs>
          <w:tab w:leader="none" w:pos="12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u w:val="single" w:color="auto"/>
          <w:color w:val="auto"/>
        </w:rPr>
        <w:t>Inferential Search Approach Generally</w:t>
      </w:r>
      <w:r>
        <w:rPr>
          <w:rFonts w:ascii="Times New Roman" w:cs="Times New Roman" w:eastAsia="Times New Roman" w:hAnsi="Times New Roman"/>
          <w:sz w:val="20"/>
          <w:szCs w:val="20"/>
          <w:color w:val="auto"/>
        </w:rPr>
        <w:t>. Except as to the extent already performed by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prior to the Restatement Effective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will use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to profile the Bayer Library Compounds, the Recursion Library Compounds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(as described below) in the HUVEC Phenomap (each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being a “</w:t>
      </w:r>
      <w:r>
        <w:rPr>
          <w:rFonts w:ascii="Times New Roman" w:cs="Times New Roman" w:eastAsia="Times New Roman" w:hAnsi="Times New Roman"/>
          <w:sz w:val="20"/>
          <w:szCs w:val="20"/>
          <w:u w:val="single" w:color="auto"/>
          <w:color w:val="auto"/>
        </w:rPr>
        <w:t>Phenoprint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being the “</w:t>
      </w:r>
      <w:r>
        <w:rPr>
          <w:rFonts w:ascii="Times New Roman" w:cs="Times New Roman" w:eastAsia="Times New Roman" w:hAnsi="Times New Roman"/>
          <w:sz w:val="20"/>
          <w:szCs w:val="20"/>
          <w:u w:val="single" w:color="auto"/>
          <w:color w:val="auto"/>
        </w:rPr>
        <w:t>Phenomap</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right"/>
        <w:ind w:left="640"/>
        <w:spacing w:after="0" w:line="222"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Use of Inferential Search Approach to identify Primary Hits and Initiate Projects</w:t>
      </w:r>
      <w:r>
        <w:rPr>
          <w:rFonts w:ascii="Times New Roman" w:cs="Times New Roman" w:eastAsia="Times New Roman" w:hAnsi="Times New Roman"/>
          <w:sz w:val="20"/>
          <w:szCs w:val="20"/>
          <w:color w:val="auto"/>
        </w:rPr>
        <w:t xml:space="preserve">. Using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will query the HUVEC Phenomap with respect to, unless increased by Recursion in its sole discretion, up 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with the aim to identify</w:t>
      </w:r>
    </w:p>
    <w:p>
      <w:pPr>
        <w:spacing w:after="0" w:line="2" w:lineRule="exact"/>
        <w:rPr>
          <w:sz w:val="20"/>
          <w:szCs w:val="20"/>
          <w:color w:val="auto"/>
        </w:rPr>
      </w:pPr>
    </w:p>
    <w:p>
      <w:pPr>
        <w:jc w:val="both"/>
        <w:ind w:left="1300"/>
        <w:spacing w:after="0" w:line="204" w:lineRule="auto"/>
        <w:rPr>
          <w:sz w:val="20"/>
          <w:szCs w:val="20"/>
          <w:color w:val="auto"/>
        </w:rPr>
      </w:pPr>
      <w:r>
        <w:rPr>
          <w:rFonts w:ascii="Times New Roman" w:cs="Times New Roman" w:eastAsia="Times New Roman" w:hAnsi="Times New Roman"/>
          <w:sz w:val="20"/>
          <w:szCs w:val="20"/>
          <w:color w:val="auto"/>
        </w:rPr>
        <w:t>Compounds that are predicted to elicit a therapeutic benefit based on the similarity or oppositeness of a Compound’s Phenoprint to the Phenoprints of the Anchor Perturbations (each such Compound, an “</w:t>
      </w:r>
      <w:r>
        <w:rPr>
          <w:rFonts w:ascii="Times New Roman" w:cs="Times New Roman" w:eastAsia="Times New Roman" w:hAnsi="Times New Roman"/>
          <w:sz w:val="20"/>
          <w:szCs w:val="20"/>
          <w:u w:val="single" w:color="auto"/>
          <w:color w:val="auto"/>
        </w:rPr>
        <w:t>Initial Small Molecule Insight</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 xml:space="preserve">Pursuant to the Collaboration Plan,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will subsequently perform activities to potentially validate these predictions and generate Primary Hits.</w:t>
      </w:r>
    </w:p>
    <w:p>
      <w:pPr>
        <w:spacing w:after="0" w:line="14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20"/>
          <w:szCs w:val="20"/>
          <w:u w:val="single" w:color="auto"/>
          <w:color w:val="auto"/>
        </w:rPr>
        <w:t>Primary Hits; ISMI Data Package; Project Initiation Approval</w:t>
      </w:r>
      <w:r>
        <w:rPr>
          <w:rFonts w:ascii="Times New Roman" w:cs="Times New Roman" w:eastAsia="Times New Roman" w:hAnsi="Times New Roman"/>
          <w:sz w:val="20"/>
          <w:szCs w:val="20"/>
          <w:color w:val="auto"/>
        </w:rPr>
        <w:t>. Each such Compound that is validated pursuant to the</w:t>
      </w:r>
    </w:p>
    <w:p>
      <w:pPr>
        <w:ind w:left="1280"/>
        <w:spacing w:after="0"/>
        <w:rPr>
          <w:sz w:val="20"/>
          <w:szCs w:val="20"/>
          <w:color w:val="auto"/>
        </w:rPr>
      </w:pPr>
      <w:r>
        <w:rPr>
          <w:rFonts w:ascii="Times New Roman" w:cs="Times New Roman" w:eastAsia="Times New Roman" w:hAnsi="Times New Roman"/>
          <w:sz w:val="20"/>
          <w:szCs w:val="20"/>
          <w:color w:val="auto"/>
        </w:rPr>
        <w:t>activities described in Section 3.1.2 shall be referred to herein as a “</w:t>
      </w:r>
      <w:r>
        <w:rPr>
          <w:rFonts w:ascii="Times New Roman" w:cs="Times New Roman" w:eastAsia="Times New Roman" w:hAnsi="Times New Roman"/>
          <w:sz w:val="20"/>
          <w:szCs w:val="20"/>
          <w:u w:val="single" w:color="auto"/>
          <w:color w:val="auto"/>
        </w:rPr>
        <w:t>Primary Hit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Primary Hit Series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right"/>
        <w:ind w:left="1120"/>
        <w:spacing w:after="0" w:line="215" w:lineRule="auto"/>
        <w:rPr>
          <w:sz w:val="20"/>
          <w:szCs w:val="20"/>
          <w:color w:val="auto"/>
        </w:rPr>
      </w:pPr>
      <w:r>
        <w:rPr>
          <w:rFonts w:ascii="Times New Roman" w:cs="Times New Roman" w:eastAsia="Times New Roman" w:hAnsi="Times New Roman"/>
          <w:sz w:val="20"/>
          <w:szCs w:val="20"/>
          <w:color w:val="auto"/>
        </w:rPr>
        <w:t xml:space="preserve">Recursion will generate an Initial Small Molecule Insight data package summarizing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(each such data package, an “</w:t>
      </w:r>
      <w:r>
        <w:rPr>
          <w:rFonts w:ascii="Times New Roman" w:cs="Times New Roman" w:eastAsia="Times New Roman" w:hAnsi="Times New Roman"/>
          <w:sz w:val="20"/>
          <w:szCs w:val="20"/>
          <w:u w:val="single" w:color="auto"/>
          <w:color w:val="auto"/>
        </w:rPr>
        <w:t>ISMI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Data Package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Upon review and approval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by the JSC, and subject 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the JSC may approve and initiate a</w:t>
      </w:r>
    </w:p>
    <w:p>
      <w:pPr>
        <w:spacing w:after="0" w:line="1" w:lineRule="exact"/>
        <w:rPr>
          <w:sz w:val="20"/>
          <w:szCs w:val="20"/>
          <w:color w:val="auto"/>
        </w:rPr>
      </w:pPr>
    </w:p>
    <w:p>
      <w:pPr>
        <w:ind w:left="1280"/>
        <w:spacing w:after="0" w:line="228" w:lineRule="auto"/>
        <w:rPr>
          <w:sz w:val="20"/>
          <w:szCs w:val="20"/>
          <w:color w:val="auto"/>
        </w:rPr>
      </w:pPr>
      <w:r>
        <w:rPr>
          <w:rFonts w:ascii="Times New Roman" w:cs="Times New Roman" w:eastAsia="Times New Roman" w:hAnsi="Times New Roman"/>
          <w:sz w:val="20"/>
          <w:szCs w:val="20"/>
          <w:color w:val="auto"/>
        </w:rPr>
        <w:t>Project (if approved, such approval, the “</w:t>
      </w:r>
      <w:r>
        <w:rPr>
          <w:rFonts w:ascii="Times New Roman" w:cs="Times New Roman" w:eastAsia="Times New Roman" w:hAnsi="Times New Roman"/>
          <w:sz w:val="20"/>
          <w:szCs w:val="20"/>
          <w:u w:val="single" w:color="auto"/>
          <w:color w:val="auto"/>
        </w:rPr>
        <w:t>Project Initiation Approval</w:t>
      </w:r>
      <w:r>
        <w:rPr>
          <w:rFonts w:ascii="Times New Roman" w:cs="Times New Roman" w:eastAsia="Times New Roman" w:hAnsi="Times New Roman"/>
          <w:sz w:val="20"/>
          <w:szCs w:val="20"/>
          <w:color w:val="auto"/>
        </w:rPr>
        <w:t>” and such Compounds, the “</w:t>
      </w:r>
      <w:r>
        <w:rPr>
          <w:rFonts w:ascii="Times New Roman" w:cs="Times New Roman" w:eastAsia="Times New Roman" w:hAnsi="Times New Roman"/>
          <w:sz w:val="20"/>
          <w:szCs w:val="20"/>
          <w:u w:val="single" w:color="auto"/>
          <w:color w:val="auto"/>
        </w:rPr>
        <w:t>Qualified Hits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Qualified Hit Series</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Phase 2 – Initial Qualified Hit Optimization and in-vivo validation of Lead Candidates</w:t>
      </w:r>
    </w:p>
    <w:p>
      <w:pPr>
        <w:spacing w:after="0" w:line="193" w:lineRule="exact"/>
        <w:rPr>
          <w:sz w:val="20"/>
          <w:szCs w:val="20"/>
          <w:color w:val="auto"/>
        </w:rPr>
      </w:pPr>
    </w:p>
    <w:p>
      <w:pPr>
        <w:ind w:left="1280" w:hanging="637"/>
        <w:spacing w:after="0" w:line="233" w:lineRule="auto"/>
        <w:tabs>
          <w:tab w:leader="none" w:pos="126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20"/>
          <w:szCs w:val="20"/>
          <w:u w:val="single" w:color="auto"/>
          <w:color w:val="auto"/>
        </w:rPr>
        <w:t>In-vitro validation</w:t>
      </w:r>
      <w:r>
        <w:rPr>
          <w:rFonts w:ascii="Times New Roman" w:cs="Times New Roman" w:eastAsia="Times New Roman" w:hAnsi="Times New Roman"/>
          <w:sz w:val="20"/>
          <w:szCs w:val="20"/>
          <w:color w:val="auto"/>
        </w:rPr>
        <w:t>. For each Qualified Hit,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will conduct further in-vitro validation efforts to confirm activity of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Qualified Hit in oncology-relevant model systems, in accordance with the applicable Project Plan.</w:t>
      </w:r>
    </w:p>
    <w:p>
      <w:pPr>
        <w:spacing w:after="0" w:line="15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u w:val="single" w:color="auto"/>
          <w:color w:val="auto"/>
        </w:rPr>
        <w:t>SAR exploration and Hit optimization</w:t>
      </w:r>
      <w:r>
        <w:rPr>
          <w:rFonts w:ascii="Times New Roman" w:cs="Times New Roman" w:eastAsia="Times New Roman" w:hAnsi="Times New Roman"/>
          <w:sz w:val="19"/>
          <w:szCs w:val="19"/>
          <w:color w:val="auto"/>
        </w:rPr>
        <w:t>: for each Qualified Hit Series,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will conduct further efforts in accordance with the</w:t>
      </w:r>
    </w:p>
    <w:p>
      <w:pPr>
        <w:ind w:left="1280"/>
        <w:spacing w:after="0" w:line="221" w:lineRule="auto"/>
        <w:rPr>
          <w:sz w:val="20"/>
          <w:szCs w:val="20"/>
          <w:color w:val="auto"/>
        </w:rPr>
      </w:pPr>
      <w:r>
        <w:rPr>
          <w:rFonts w:ascii="Times New Roman" w:cs="Times New Roman" w:eastAsia="Times New Roman" w:hAnsi="Times New Roman"/>
          <w:sz w:val="20"/>
          <w:szCs w:val="20"/>
          <w:color w:val="auto"/>
        </w:rPr>
        <w:t>applicable Project Plan to identify at least one (1) Lead Candidate and related Lead Series to meet the Lead Candidate Criteria and to allow for Lead Candidate acceptance by the JSC.</w:t>
      </w:r>
    </w:p>
    <w:p>
      <w:pPr>
        <w:spacing w:after="0" w:line="162" w:lineRule="exact"/>
        <w:rPr>
          <w:sz w:val="20"/>
          <w:szCs w:val="20"/>
          <w:color w:val="auto"/>
        </w:rPr>
      </w:pPr>
    </w:p>
    <w:p>
      <w:pPr>
        <w:ind w:left="1280" w:hanging="637"/>
        <w:spacing w:after="0"/>
        <w:rPr>
          <w:sz w:val="20"/>
          <w:szCs w:val="20"/>
          <w:color w:val="auto"/>
        </w:rPr>
      </w:pPr>
      <w:r>
        <w:rPr>
          <w:rFonts w:ascii="Times New Roman" w:cs="Times New Roman" w:eastAsia="Times New Roman" w:hAnsi="Times New Roman"/>
          <w:sz w:val="20"/>
          <w:szCs w:val="20"/>
          <w:color w:val="auto"/>
        </w:rPr>
        <w:t>At the conclusion of Phase 2, if there are no Lead Series for a Project, as reported to the JSC, the Project shall be discontinued, unless otherwise mutually agreed by Parties through the JSC.</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Phase 3 – Lead Optimization</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b w:val="1"/>
          <w:bCs w:val="1"/>
          <w:u w:val="single" w:color="auto"/>
          <w:color w:val="auto"/>
        </w:rPr>
        <w:t>Phase 3 a) Bayer exercises Bayer Lead Series Option</w:t>
      </w:r>
    </w:p>
    <w:p>
      <w:pPr>
        <w:spacing w:after="0" w:line="193"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Bayer Lead Optimization</w:t>
      </w:r>
      <w:r>
        <w:rPr>
          <w:rFonts w:ascii="Times New Roman" w:cs="Times New Roman" w:eastAsia="Times New Roman" w:hAnsi="Times New Roman"/>
          <w:sz w:val="20"/>
          <w:szCs w:val="20"/>
          <w:color w:val="auto"/>
        </w:rPr>
        <w:t>. In case Bayer exercises the Bayer Lead Series Option with regard to a Lead Series in accordance with Article 8 below, the Parties agree that the joint Project works for such Lead Series are discontinued and that the Project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activities for such Lead Series will be transferred to Bayer who will then continue the Project at its sole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9" w:right="339" w:bottom="1440" w:gutter="0" w:footer="0" w:header="0"/>
        </w:sectPr>
      </w:pPr>
    </w:p>
    <w:bookmarkStart w:id="229" w:name="page230"/>
    <w:bookmarkEnd w:id="229"/>
    <w:p>
      <w:pPr>
        <w:ind w:left="1280"/>
        <w:spacing w:after="0"/>
        <w:rPr>
          <w:sz w:val="20"/>
          <w:szCs w:val="20"/>
          <w:color w:val="auto"/>
        </w:rPr>
      </w:pPr>
      <w:r>
        <w:rPr>
          <w:rFonts w:ascii="Times New Roman" w:cs="Times New Roman" w:eastAsia="Times New Roman" w:hAnsi="Times New Roman"/>
          <w:sz w:val="19"/>
          <w:szCs w:val="19"/>
          <w:color w:val="auto"/>
        </w:rPr>
        <w:t>In the event that Bayer requires Recursion’s support in course of Bayer’s further utilization of the Project Results from such a</w:t>
      </w:r>
    </w:p>
    <w:p>
      <w:pPr>
        <w:spacing w:after="0" w:line="6" w:lineRule="exact"/>
        <w:rPr>
          <w:sz w:val="20"/>
          <w:szCs w:val="20"/>
          <w:color w:val="auto"/>
        </w:rPr>
      </w:pPr>
    </w:p>
    <w:p>
      <w:pPr>
        <w:ind w:left="1280" w:right="20"/>
        <w:spacing w:after="0" w:line="221" w:lineRule="auto"/>
        <w:rPr>
          <w:sz w:val="20"/>
          <w:szCs w:val="20"/>
          <w:color w:val="auto"/>
        </w:rPr>
      </w:pPr>
      <w:r>
        <w:rPr>
          <w:rFonts w:ascii="Times New Roman" w:cs="Times New Roman" w:eastAsia="Times New Roman" w:hAnsi="Times New Roman"/>
          <w:sz w:val="20"/>
          <w:szCs w:val="20"/>
          <w:color w:val="auto"/>
        </w:rPr>
        <w:t xml:space="preserve">Project with respect to which Bayer exercises the Bayer Lead Series Option (e.g. in course of the preparation of the IND application or the preparation of the clinical studies), Recursion will provide appropriate support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Target Deconvolution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3.2.1.  Unless mutually agreed upon to the contrary in the applicable Project Plan, Recursion shall commence Commercially Reasonable Efforts to determine the target(s) to which a given Project Compound modulates to elicit a therapeutic benefit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 xml:space="preserve">with respect to a particular Anchor Perturbation, for the particular Project,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 xml:space="preserve">3.2.2.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If the JSC determines a target to be successfully deconvoluted (“</w:t>
      </w:r>
      <w:r>
        <w:rPr>
          <w:rFonts w:ascii="Times New Roman" w:cs="Times New Roman" w:eastAsia="Times New Roman" w:hAnsi="Times New Roman"/>
          <w:sz w:val="20"/>
          <w:szCs w:val="20"/>
          <w:u w:val="single" w:color="auto"/>
          <w:color w:val="auto"/>
        </w:rPr>
        <w:t>Deconvoluted Target</w:t>
      </w:r>
      <w:r>
        <w:rPr>
          <w:rFonts w:ascii="Times New Roman" w:cs="Times New Roman" w:eastAsia="Times New Roman" w:hAnsi="Times New Roman"/>
          <w:sz w:val="20"/>
          <w:szCs w:val="20"/>
          <w:color w:val="auto"/>
        </w:rPr>
        <w:t>”), the Parties shall properly document the identity of the Deconvoluted Target which shall then be the basis for the determination of any Enabled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Compound(s).</w:t>
      </w:r>
    </w:p>
    <w:p>
      <w:pPr>
        <w:spacing w:after="0" w:line="167" w:lineRule="exact"/>
        <w:rPr>
          <w:sz w:val="20"/>
          <w:szCs w:val="20"/>
          <w:color w:val="auto"/>
        </w:rPr>
      </w:pPr>
    </w:p>
    <w:p>
      <w:pPr>
        <w:jc w:val="right"/>
        <w:ind w:left="640"/>
        <w:spacing w:after="0" w:line="233" w:lineRule="auto"/>
        <w:rPr>
          <w:sz w:val="20"/>
          <w:szCs w:val="20"/>
          <w:color w:val="auto"/>
        </w:rPr>
      </w:pPr>
      <w:r>
        <w:rPr>
          <w:rFonts w:ascii="Times New Roman" w:cs="Times New Roman" w:eastAsia="Times New Roman" w:hAnsi="Times New Roman"/>
          <w:sz w:val="20"/>
          <w:szCs w:val="20"/>
          <w:color w:val="auto"/>
        </w:rPr>
        <w:t xml:space="preserve">3.2.3.  Following JSC approval of a Deconvoluted Target, each Party shall determine whether (i) it is subject to any obligations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with regard to said target that would limit such Party from performing activities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or (ii)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Target Conflict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 Bayer shall have the right to exclude from the Project the Project Compounds that are the subject of the Target</w:t>
      </w:r>
    </w:p>
    <w:p>
      <w:pPr>
        <w:ind w:left="1280"/>
        <w:spacing w:after="0" w:line="204" w:lineRule="auto"/>
        <w:rPr>
          <w:sz w:val="20"/>
          <w:szCs w:val="20"/>
          <w:color w:val="auto"/>
        </w:rPr>
      </w:pPr>
      <w:r>
        <w:rPr>
          <w:rFonts w:ascii="Times New Roman" w:cs="Times New Roman" w:eastAsia="Times New Roman" w:hAnsi="Times New Roman"/>
          <w:sz w:val="20"/>
          <w:szCs w:val="20"/>
          <w:color w:val="auto"/>
        </w:rPr>
        <w:t xml:space="preserve">Conflict, provided that if there are no Project Compounds remaining in the Project, the Project shall be discontinued,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Any such exclusion of Project Compounds by Bayer or discontinuation of a Project in accordance with this paragraph shall</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trigger the Recursion Option for such Project Compounds or Project as set forth in Section 8.4.</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Project Plan</w:t>
      </w:r>
      <w:r>
        <w:rPr>
          <w:rFonts w:ascii="Times New Roman" w:cs="Times New Roman" w:eastAsia="Times New Roman" w:hAnsi="Times New Roman"/>
          <w:sz w:val="20"/>
          <w:szCs w:val="20"/>
          <w:color w:val="auto"/>
        </w:rPr>
        <w:t>. The Parties’ activities under each Project shall be conducted in accordance with and governed by the Collaboration Plan and the Project Plan applicable for such Project as amended from time to time pursuant to Section 4.4 and 4.5. For the avoidance of</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 xml:space="preserve">doubt, the terms of this Agreement shall apply to the Collaboration Plan and each Project and the corresponding Project Plan. A template for a Project Plan outlining the general tasks and obligations of each Party is attached to this Agreement as </w:t>
      </w:r>
      <w:r>
        <w:rPr>
          <w:rFonts w:ascii="Times New Roman" w:cs="Times New Roman" w:eastAsia="Times New Roman" w:hAnsi="Times New Roman"/>
          <w:sz w:val="20"/>
          <w:szCs w:val="20"/>
          <w:b w:val="1"/>
          <w:bCs w:val="1"/>
          <w:u w:val="single" w:color="auto"/>
          <w:color w:val="auto"/>
        </w:rPr>
        <w:t>Appendix 4</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the event of any conflict between the Collaboration Plan or a Project Plan, on one hand, and this Agreement, on the other hand, the</w:t>
      </w:r>
    </w:p>
    <w:p>
      <w:pPr>
        <w:spacing w:after="0" w:line="6"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terms of the Collaboration Plan or Project Plan shall prevail with respect to matters covered in Sections 3.1 and 3.2 of this Agreement and for all other matters, this Agreement shall prevail.</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Joint Project Teams</w:t>
      </w:r>
      <w:r>
        <w:rPr>
          <w:rFonts w:ascii="Times New Roman" w:cs="Times New Roman" w:eastAsia="Times New Roman" w:hAnsi="Times New Roman"/>
          <w:sz w:val="19"/>
          <w:szCs w:val="19"/>
          <w:color w:val="auto"/>
        </w:rPr>
        <w:t>. The Parties shall establish a research team comprised of at least one (1) senior scientist from each Party and one</w:t>
      </w:r>
    </w:p>
    <w:p>
      <w:pPr>
        <w:ind w:left="640"/>
        <w:spacing w:after="0" w:line="204" w:lineRule="auto"/>
        <w:rPr>
          <w:sz w:val="20"/>
          <w:szCs w:val="20"/>
          <w:color w:val="auto"/>
        </w:rPr>
      </w:pPr>
      <w:r>
        <w:rPr>
          <w:rFonts w:ascii="Times New Roman" w:cs="Times New Roman" w:eastAsia="Times New Roman" w:hAnsi="Times New Roman"/>
          <w:sz w:val="20"/>
          <w:szCs w:val="20"/>
          <w:color w:val="auto"/>
        </w:rPr>
        <w:t>individual to be the first contact for operational and scientific matters (“</w:t>
      </w:r>
      <w:r>
        <w:rPr>
          <w:rFonts w:ascii="Times New Roman" w:cs="Times New Roman" w:eastAsia="Times New Roman" w:hAnsi="Times New Roman"/>
          <w:sz w:val="20"/>
          <w:szCs w:val="20"/>
          <w:u w:val="single" w:color="auto"/>
          <w:color w:val="auto"/>
        </w:rPr>
        <w:t>Project Leader</w:t>
      </w:r>
      <w:r>
        <w:rPr>
          <w:rFonts w:ascii="Times New Roman" w:cs="Times New Roman" w:eastAsia="Times New Roman" w:hAnsi="Times New Roman"/>
          <w:sz w:val="20"/>
          <w:szCs w:val="20"/>
          <w:color w:val="auto"/>
        </w:rPr>
        <w:t>”) for each Project (each, a “</w:t>
      </w:r>
      <w:r>
        <w:rPr>
          <w:rFonts w:ascii="Times New Roman" w:cs="Times New Roman" w:eastAsia="Times New Roman" w:hAnsi="Times New Roman"/>
          <w:sz w:val="20"/>
          <w:szCs w:val="20"/>
          <w:u w:val="single" w:color="auto"/>
          <w:color w:val="auto"/>
        </w:rPr>
        <w:t>Joint Project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Team</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JPT</w:t>
      </w:r>
      <w:r>
        <w:rPr>
          <w:rFonts w:ascii="Times New Roman" w:cs="Times New Roman" w:eastAsia="Times New Roman" w:hAnsi="Times New Roman"/>
          <w:sz w:val="20"/>
          <w:szCs w:val="20"/>
          <w:color w:val="auto"/>
        </w:rPr>
        <w:t>”). Each Party shall appoint its respective representatives to the JPT from time to time, and may change its</w:t>
      </w:r>
    </w:p>
    <w:p>
      <w:pPr>
        <w:ind w:left="640"/>
        <w:spacing w:after="0" w:line="211" w:lineRule="auto"/>
        <w:rPr>
          <w:sz w:val="20"/>
          <w:szCs w:val="20"/>
          <w:color w:val="auto"/>
        </w:rPr>
      </w:pPr>
      <w:r>
        <w:rPr>
          <w:rFonts w:ascii="Times New Roman" w:cs="Times New Roman" w:eastAsia="Times New Roman" w:hAnsi="Times New Roman"/>
          <w:sz w:val="20"/>
          <w:szCs w:val="20"/>
          <w:color w:val="auto"/>
        </w:rPr>
        <w:t>representatives, in its sole discretion, effective upon notice to the other Party designating such change. The JPT shall meet no less</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 xml:space="preserve">frequently than once every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months in accordance with a schedule established by the JPT. The JPT shall operate by consensus and make recommendations to the JSC with respect to matters within its authority, but shall have no decision-making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JPT shall:</w:t>
      </w:r>
    </w:p>
    <w:p>
      <w:pPr>
        <w:spacing w:after="0" w:line="189" w:lineRule="exact"/>
        <w:rPr>
          <w:sz w:val="20"/>
          <w:szCs w:val="20"/>
          <w:color w:val="auto"/>
        </w:rPr>
      </w:pPr>
    </w:p>
    <w:p>
      <w:pPr>
        <w:ind w:left="1280" w:hanging="637"/>
        <w:spacing w:after="0" w:line="233" w:lineRule="auto"/>
        <w:tabs>
          <w:tab w:leader="none" w:pos="1260" w:val="left"/>
        </w:tabs>
        <w:rPr>
          <w:sz w:val="20"/>
          <w:szCs w:val="20"/>
          <w:color w:val="auto"/>
        </w:rPr>
      </w:pPr>
      <w:r>
        <w:rPr>
          <w:rFonts w:ascii="Times New Roman" w:cs="Times New Roman" w:eastAsia="Times New Roman" w:hAnsi="Times New Roman"/>
          <w:sz w:val="20"/>
          <w:szCs w:val="20"/>
          <w:color w:val="auto"/>
        </w:rPr>
        <w:t>3.4.1</w:t>
        <w:tab/>
        <w:t>be responsible for the day-to-day dealings within the respective Project and the Project Leader shall be the first contact person for the other Party for operational and scientific matters with regard to such Project;</w:t>
      </w:r>
    </w:p>
    <w:p>
      <w:pPr>
        <w:spacing w:after="0" w:line="16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19"/>
          <w:szCs w:val="19"/>
          <w:color w:val="auto"/>
        </w:rPr>
        <w:t>propose, as necessary, the initial Project Plan and amendments to the Project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9" w:right="339" w:bottom="1440" w:gutter="0" w:footer="0" w:header="0"/>
        </w:sectPr>
      </w:pPr>
    </w:p>
    <w:bookmarkStart w:id="230" w:name="page231"/>
    <w:bookmarkEnd w:id="230"/>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3.4.3</w:t>
      </w:r>
      <w:r>
        <w:rPr>
          <w:sz w:val="20"/>
          <w:szCs w:val="20"/>
          <w:color w:val="auto"/>
        </w:rPr>
        <w:tab/>
      </w:r>
      <w:r>
        <w:rPr>
          <w:rFonts w:ascii="Times New Roman" w:cs="Times New Roman" w:eastAsia="Times New Roman" w:hAnsi="Times New Roman"/>
          <w:sz w:val="19"/>
          <w:szCs w:val="19"/>
          <w:color w:val="auto"/>
        </w:rPr>
        <w:t>ensure that the research activities are performed in accordance with the Project Plan;</w:t>
      </w:r>
    </w:p>
    <w:p>
      <w:pPr>
        <w:spacing w:after="0" w:line="189" w:lineRule="exact"/>
        <w:rPr>
          <w:sz w:val="20"/>
          <w:szCs w:val="20"/>
          <w:color w:val="auto"/>
        </w:rPr>
      </w:pPr>
    </w:p>
    <w:p>
      <w:pPr>
        <w:jc w:val="both"/>
        <w:ind w:left="1280" w:hanging="637"/>
        <w:spacing w:after="0" w:line="215" w:lineRule="auto"/>
        <w:tabs>
          <w:tab w:leader="none" w:pos="1260" w:val="left"/>
        </w:tabs>
        <w:rPr>
          <w:sz w:val="20"/>
          <w:szCs w:val="20"/>
          <w:color w:val="auto"/>
        </w:rPr>
      </w:pPr>
      <w:r>
        <w:rPr>
          <w:rFonts w:ascii="Times New Roman" w:cs="Times New Roman" w:eastAsia="Times New Roman" w:hAnsi="Times New Roman"/>
          <w:sz w:val="20"/>
          <w:szCs w:val="20"/>
          <w:color w:val="auto"/>
        </w:rPr>
        <w:t>3.4.4</w:t>
        <w:tab/>
        <w:t>through the Project Leader, keep regular contact between each other and ensure that the Project Leader of the other Party is well informed about the progress of the Project and about relevant changes or obstacles that may occur during the Project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Term;</w:t>
      </w:r>
    </w:p>
    <w:p>
      <w:pPr>
        <w:spacing w:after="0" w:line="16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3.4.5</w:t>
      </w:r>
      <w:r>
        <w:rPr>
          <w:sz w:val="20"/>
          <w:szCs w:val="20"/>
          <w:color w:val="auto"/>
        </w:rPr>
        <w:tab/>
      </w:r>
      <w:r>
        <w:rPr>
          <w:rFonts w:ascii="Times New Roman" w:cs="Times New Roman" w:eastAsia="Times New Roman" w:hAnsi="Times New Roman"/>
          <w:sz w:val="19"/>
          <w:szCs w:val="19"/>
          <w:color w:val="auto"/>
        </w:rPr>
        <w:t>through the Project Leader, internally coordinate their respective project teams;</w:t>
      </w:r>
    </w:p>
    <w:p>
      <w:pPr>
        <w:spacing w:after="0" w:line="175" w:lineRule="exact"/>
        <w:rPr>
          <w:sz w:val="20"/>
          <w:szCs w:val="20"/>
          <w:color w:val="auto"/>
        </w:rPr>
      </w:pPr>
    </w:p>
    <w:p>
      <w:pPr>
        <w:jc w:val="both"/>
        <w:ind w:left="1280" w:hanging="637"/>
        <w:spacing w:after="0" w:line="230" w:lineRule="auto"/>
        <w:tabs>
          <w:tab w:leader="none" w:pos="1260" w:val="left"/>
        </w:tabs>
        <w:rPr>
          <w:sz w:val="20"/>
          <w:szCs w:val="20"/>
          <w:color w:val="auto"/>
        </w:rPr>
      </w:pPr>
      <w:r>
        <w:rPr>
          <w:rFonts w:ascii="Times New Roman" w:cs="Times New Roman" w:eastAsia="Times New Roman" w:hAnsi="Times New Roman"/>
          <w:sz w:val="20"/>
          <w:szCs w:val="20"/>
          <w:color w:val="auto"/>
        </w:rPr>
        <w:t>3.4.6</w:t>
        <w:tab/>
        <w:t>ensure the timely submission and accurate preparation of the reports as set forth in Section 3.9 and the Project Plan and record the Project Know-How, Project Compounds and Project IP Rights along with any Background IP Rights and Background Know-How that would be subject to a License Agreement under such Project; and</w:t>
      </w:r>
    </w:p>
    <w:p>
      <w:pPr>
        <w:spacing w:after="0" w:line="14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3.4.7</w:t>
      </w:r>
      <w:r>
        <w:rPr>
          <w:sz w:val="20"/>
          <w:szCs w:val="20"/>
          <w:color w:val="auto"/>
        </w:rPr>
        <w:tab/>
      </w:r>
      <w:r>
        <w:rPr>
          <w:rFonts w:ascii="Times New Roman" w:cs="Times New Roman" w:eastAsia="Times New Roman" w:hAnsi="Times New Roman"/>
          <w:sz w:val="19"/>
          <w:szCs w:val="19"/>
          <w:color w:val="auto"/>
        </w:rPr>
        <w:t>determine the specific Project Compounds to be included in a Lead Series.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color w:val="auto"/>
        </w:rPr>
        <w:t>. Each Party shall use Commercially Reasonable Efforts to perform (itself or through its Affiliates or by permitted</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Subcontractors) its respective obligations under the Collaboration Plan and each Project Plan and Sections 3.1 and 3.2 of this Agreement, and to reasonably cooperate with the other Party in such other Party’s performance of its responsibilities under the</w:t>
      </w:r>
    </w:p>
    <w:p>
      <w:pPr>
        <w:ind w:left="640"/>
        <w:spacing w:after="0" w:line="211" w:lineRule="auto"/>
        <w:rPr>
          <w:sz w:val="20"/>
          <w:szCs w:val="20"/>
          <w:color w:val="auto"/>
        </w:rPr>
      </w:pPr>
      <w:r>
        <w:rPr>
          <w:rFonts w:ascii="Times New Roman" w:cs="Times New Roman" w:eastAsia="Times New Roman" w:hAnsi="Times New Roman"/>
          <w:sz w:val="20"/>
          <w:szCs w:val="20"/>
          <w:color w:val="auto"/>
        </w:rPr>
        <w:t>Collaboration Plan and each Project Plan; provided that, notwithstanding anything herein to the contrary, neither Party shall be</w:t>
      </w:r>
    </w:p>
    <w:p>
      <w:pPr>
        <w:spacing w:after="0" w:line="1" w:lineRule="exact"/>
        <w:rPr>
          <w:sz w:val="20"/>
          <w:szCs w:val="20"/>
          <w:color w:val="auto"/>
        </w:rPr>
      </w:pPr>
    </w:p>
    <w:p>
      <w:pPr>
        <w:jc w:val="both"/>
        <w:ind w:left="640" w:right="20"/>
        <w:spacing w:after="0" w:line="221" w:lineRule="auto"/>
        <w:rPr>
          <w:sz w:val="20"/>
          <w:szCs w:val="20"/>
          <w:color w:val="auto"/>
        </w:rPr>
      </w:pPr>
      <w:r>
        <w:rPr>
          <w:rFonts w:ascii="Times New Roman" w:cs="Times New Roman" w:eastAsia="Times New Roman" w:hAnsi="Times New Roman"/>
          <w:sz w:val="20"/>
          <w:szCs w:val="20"/>
          <w:color w:val="auto"/>
        </w:rPr>
        <w:t>obligated to take any action under this Agreement or a Project that it in good faith determines would cause it to infringe the intellectual property rights of or contractual obligations towards a Third Party.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Parties acknowledge and agree that with respect to any research work to be performed under the Collaboration Plan or a Project</w:t>
      </w: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Plan no success is or can be assured and that failure to achieve desired results shall not in and of itself constitute a breach or default of any obligation in this Agreement.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Subcontracting</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1280" w:hanging="637"/>
        <w:spacing w:after="0" w:line="234" w:lineRule="auto"/>
        <w:tabs>
          <w:tab w:leader="none" w:pos="1260" w:val="left"/>
        </w:tabs>
        <w:rPr>
          <w:sz w:val="20"/>
          <w:szCs w:val="20"/>
          <w:color w:val="auto"/>
        </w:rPr>
      </w:pPr>
      <w:r>
        <w:rPr>
          <w:rFonts w:ascii="Times New Roman" w:cs="Times New Roman" w:eastAsia="Times New Roman" w:hAnsi="Times New Roman"/>
          <w:sz w:val="20"/>
          <w:szCs w:val="20"/>
          <w:color w:val="auto"/>
        </w:rPr>
        <w:t>3.7.1</w:t>
      </w:r>
      <w:r>
        <w:rPr>
          <w:sz w:val="20"/>
          <w:szCs w:val="20"/>
          <w:color w:val="auto"/>
        </w:rPr>
        <w:tab/>
      </w:r>
      <w:r>
        <w:rPr>
          <w:rFonts w:ascii="Times New Roman" w:cs="Times New Roman" w:eastAsia="Times New Roman" w:hAnsi="Times New Roman"/>
          <w:sz w:val="19"/>
          <w:szCs w:val="19"/>
          <w:color w:val="auto"/>
        </w:rPr>
        <w:t>Each Party may subcontract any of its activities to be performed under the Collaboration Plan or a Project Plan to its Affiliate or to a Third Party (collectively referred to as “</w:t>
      </w:r>
      <w:r>
        <w:rPr>
          <w:rFonts w:ascii="Times New Roman" w:cs="Times New Roman" w:eastAsia="Times New Roman" w:hAnsi="Times New Roman"/>
          <w:sz w:val="19"/>
          <w:szCs w:val="19"/>
          <w:u w:val="single" w:color="auto"/>
          <w:color w:val="auto"/>
        </w:rPr>
        <w:t>Subcontractor</w:t>
      </w:r>
      <w:r>
        <w:rPr>
          <w:rFonts w:ascii="Times New Roman" w:cs="Times New Roman" w:eastAsia="Times New Roman" w:hAnsi="Times New Roman"/>
          <w:sz w:val="19"/>
          <w:szCs w:val="19"/>
          <w:color w:val="auto"/>
        </w:rPr>
        <w:t>”) without the consent of the other Party, provided, however,</w:t>
      </w:r>
    </w:p>
    <w:p>
      <w:pPr>
        <w:spacing w:after="0" w:line="1" w:lineRule="exact"/>
        <w:rPr>
          <w:sz w:val="20"/>
          <w:szCs w:val="20"/>
          <w:color w:val="auto"/>
        </w:rPr>
      </w:pPr>
    </w:p>
    <w:p>
      <w:pPr>
        <w:ind w:left="1280"/>
        <w:spacing w:after="0" w:line="204" w:lineRule="auto"/>
        <w:rPr>
          <w:sz w:val="20"/>
          <w:szCs w:val="20"/>
          <w:color w:val="auto"/>
        </w:rPr>
      </w:pPr>
      <w:r>
        <w:rPr>
          <w:rFonts w:ascii="Times New Roman" w:cs="Times New Roman" w:eastAsia="Times New Roman" w:hAnsi="Times New Roman"/>
          <w:sz w:val="20"/>
          <w:szCs w:val="20"/>
          <w:color w:val="auto"/>
        </w:rPr>
        <w:t>that the Subcontractor is obligated by the subcontracting Party in such manner that the subcontracting Party can comply with its obligations under this Agreement. Particularly, but without limitation, the subcontracting Party must ensure that the</w:t>
      </w:r>
    </w:p>
    <w:p>
      <w:pPr>
        <w:jc w:val="right"/>
        <w:spacing w:after="0" w:line="211" w:lineRule="auto"/>
        <w:rPr>
          <w:sz w:val="20"/>
          <w:szCs w:val="20"/>
          <w:color w:val="auto"/>
        </w:rPr>
      </w:pPr>
      <w:r>
        <w:rPr>
          <w:rFonts w:ascii="Times New Roman" w:cs="Times New Roman" w:eastAsia="Times New Roman" w:hAnsi="Times New Roman"/>
          <w:sz w:val="20"/>
          <w:szCs w:val="20"/>
          <w:color w:val="auto"/>
        </w:rPr>
        <w:t>provisions  protecting  and  limiting  use,  disclosure  and  publication  of  Confidential  Information,  Materials,  Project</w:t>
      </w:r>
    </w:p>
    <w:p>
      <w:pPr>
        <w:spacing w:after="0" w:line="1" w:lineRule="exact"/>
        <w:rPr>
          <w:sz w:val="20"/>
          <w:szCs w:val="20"/>
          <w:color w:val="auto"/>
        </w:rPr>
      </w:pPr>
    </w:p>
    <w:p>
      <w:pPr>
        <w:ind w:left="1280"/>
        <w:spacing w:after="0" w:line="221" w:lineRule="auto"/>
        <w:rPr>
          <w:sz w:val="20"/>
          <w:szCs w:val="20"/>
          <w:color w:val="auto"/>
        </w:rPr>
      </w:pPr>
      <w:r>
        <w:rPr>
          <w:rFonts w:ascii="Times New Roman" w:cs="Times New Roman" w:eastAsia="Times New Roman" w:hAnsi="Times New Roman"/>
          <w:sz w:val="20"/>
          <w:szCs w:val="20"/>
          <w:color w:val="auto"/>
        </w:rPr>
        <w:t>Compounds, Intellectual Property Rights and Know-How flow down through to the Subcontractor and that it is granted by the Subcontractor all rights to the subcontracted works as necessary to fulfill its obligations under this Agreement.</w:t>
      </w:r>
    </w:p>
    <w:p>
      <w:pPr>
        <w:spacing w:after="0" w:line="15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3.6.1.</w:t>
        <w:tab/>
        <w:t>Each Party shall remain responsible and liable for the performance by its Subcontractors of its obligations hereunder, and</w:t>
      </w:r>
    </w:p>
    <w:p>
      <w:pPr>
        <w:ind w:left="1280"/>
        <w:spacing w:after="0" w:line="221" w:lineRule="auto"/>
        <w:rPr>
          <w:sz w:val="20"/>
          <w:szCs w:val="20"/>
          <w:color w:val="auto"/>
        </w:rPr>
      </w:pPr>
      <w:r>
        <w:rPr>
          <w:rFonts w:ascii="Times New Roman" w:cs="Times New Roman" w:eastAsia="Times New Roman" w:hAnsi="Times New Roman"/>
          <w:sz w:val="20"/>
          <w:szCs w:val="20"/>
          <w:color w:val="auto"/>
        </w:rPr>
        <w:t>shall require its Subcontractors to comply with the provisions of this Agreement. This shall without limitation apply, in particular to the representations and warranties set forth in Article 14.</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Exchange of Materials / Tool Compounds / Project Compounds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3.7.1  To the extent Materials and/or Tool Compounds are provided by one Party (the “</w:t>
      </w:r>
      <w:r>
        <w:rPr>
          <w:rFonts w:ascii="Times New Roman" w:cs="Times New Roman" w:eastAsia="Times New Roman" w:hAnsi="Times New Roman"/>
          <w:sz w:val="20"/>
          <w:szCs w:val="20"/>
          <w:u w:val="single" w:color="auto"/>
          <w:color w:val="auto"/>
        </w:rPr>
        <w:t>Providing Party</w:t>
      </w:r>
      <w:r>
        <w:rPr>
          <w:rFonts w:ascii="Times New Roman" w:cs="Times New Roman" w:eastAsia="Times New Roman" w:hAnsi="Times New Roman"/>
          <w:sz w:val="20"/>
          <w:szCs w:val="20"/>
          <w:color w:val="auto"/>
        </w:rPr>
        <w:t>”) to the other Party (the “</w:t>
      </w:r>
      <w:r>
        <w:rPr>
          <w:rFonts w:ascii="Times New Roman" w:cs="Times New Roman" w:eastAsia="Times New Roman" w:hAnsi="Times New Roman"/>
          <w:sz w:val="20"/>
          <w:szCs w:val="20"/>
          <w:u w:val="single" w:color="auto"/>
          <w:color w:val="auto"/>
        </w:rPr>
        <w:t>Using Party</w:t>
      </w:r>
      <w:r>
        <w:rPr>
          <w:rFonts w:ascii="Times New Roman" w:cs="Times New Roman" w:eastAsia="Times New Roman" w:hAnsi="Times New Roman"/>
          <w:sz w:val="20"/>
          <w:szCs w:val="20"/>
          <w:color w:val="auto"/>
        </w:rPr>
        <w:t>”) under this Agreement, each Party shall use such Materials and/or Tool Compounds only for the purposes of</w:t>
      </w:r>
    </w:p>
    <w:p>
      <w:pPr>
        <w:ind w:left="1280"/>
        <w:spacing w:after="0" w:line="212" w:lineRule="auto"/>
        <w:rPr>
          <w:sz w:val="20"/>
          <w:szCs w:val="20"/>
          <w:color w:val="auto"/>
        </w:rPr>
      </w:pPr>
      <w:r>
        <w:rPr>
          <w:rFonts w:ascii="Times New Roman" w:cs="Times New Roman" w:eastAsia="Times New Roman" w:hAnsi="Times New Roman"/>
          <w:sz w:val="20"/>
          <w:szCs w:val="20"/>
          <w:color w:val="auto"/>
        </w:rPr>
        <w:t>the respective Project and in accordance with the Collaboration Plan and/or the applicable Project Plan, the terms and</w:t>
      </w:r>
    </w:p>
    <w:p>
      <w:pPr>
        <w:spacing w:after="0" w:line="1" w:lineRule="exact"/>
        <w:rPr>
          <w:sz w:val="20"/>
          <w:szCs w:val="20"/>
          <w:color w:val="auto"/>
        </w:rPr>
      </w:pPr>
    </w:p>
    <w:p>
      <w:pPr>
        <w:ind w:left="1280"/>
        <w:spacing w:after="0" w:line="204" w:lineRule="auto"/>
        <w:rPr>
          <w:sz w:val="20"/>
          <w:szCs w:val="20"/>
          <w:color w:val="auto"/>
        </w:rPr>
      </w:pPr>
      <w:r>
        <w:rPr>
          <w:rFonts w:ascii="Times New Roman" w:cs="Times New Roman" w:eastAsia="Times New Roman" w:hAnsi="Times New Roman"/>
          <w:sz w:val="20"/>
          <w:szCs w:val="20"/>
          <w:color w:val="auto"/>
        </w:rPr>
        <w:t>conditions of this Agreement and in compliance with Applicable Law. The Using Party will not make the Materials and/or Tool Compounds available to any Third Party (other than Subcontractors) without the prior written consent of the Providing</w:t>
      </w:r>
    </w:p>
    <w:p>
      <w:pPr>
        <w:spacing w:after="0" w:line="1" w:lineRule="exact"/>
        <w:rPr>
          <w:sz w:val="20"/>
          <w:szCs w:val="20"/>
          <w:color w:val="auto"/>
        </w:rPr>
      </w:pPr>
    </w:p>
    <w:p>
      <w:pPr>
        <w:ind w:left="1280"/>
        <w:spacing w:after="0" w:line="228" w:lineRule="auto"/>
        <w:rPr>
          <w:sz w:val="20"/>
          <w:szCs w:val="20"/>
          <w:color w:val="auto"/>
        </w:rPr>
      </w:pPr>
      <w:r>
        <w:rPr>
          <w:rFonts w:ascii="Times New Roman" w:cs="Times New Roman" w:eastAsia="Times New Roman" w:hAnsi="Times New Roman"/>
          <w:sz w:val="20"/>
          <w:szCs w:val="20"/>
          <w:color w:val="auto"/>
        </w:rPr>
        <w:t>Party, will limit the access to such of its employees that are involved in the Collaboration Plan activities or the Project and may make the Materials and/or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9" w:right="339" w:bottom="1440" w:gutter="0" w:footer="0" w:header="0"/>
        </w:sectPr>
      </w:pPr>
    </w:p>
    <w:bookmarkStart w:id="231" w:name="page232"/>
    <w:bookmarkEnd w:id="231"/>
    <w:p>
      <w:pPr>
        <w:ind w:left="1280"/>
        <w:spacing w:after="0"/>
        <w:rPr>
          <w:sz w:val="20"/>
          <w:szCs w:val="20"/>
          <w:color w:val="auto"/>
        </w:rPr>
      </w:pPr>
      <w:r>
        <w:rPr>
          <w:rFonts w:ascii="Times New Roman" w:cs="Times New Roman" w:eastAsia="Times New Roman" w:hAnsi="Times New Roman"/>
          <w:sz w:val="20"/>
          <w:szCs w:val="20"/>
          <w:color w:val="auto"/>
        </w:rPr>
        <w:t>Compounds available to Affiliates and Subcontractors in accordance with Section 3.6 without the other Party’s consent only</w:t>
      </w:r>
    </w:p>
    <w:p>
      <w:pPr>
        <w:ind w:left="1280"/>
        <w:spacing w:after="0" w:line="221" w:lineRule="auto"/>
        <w:rPr>
          <w:sz w:val="20"/>
          <w:szCs w:val="20"/>
          <w:color w:val="auto"/>
        </w:rPr>
      </w:pPr>
      <w:r>
        <w:rPr>
          <w:rFonts w:ascii="Times New Roman" w:cs="Times New Roman" w:eastAsia="Times New Roman" w:hAnsi="Times New Roman"/>
          <w:sz w:val="20"/>
          <w:szCs w:val="20"/>
          <w:color w:val="auto"/>
        </w:rPr>
        <w:t>on a need-to-know basis for the performance of the subcontracted activities under the relevant Project. Legal title to such Materials and/or Tool Compounds shall remain with the Providing Party.</w:t>
      </w:r>
    </w:p>
    <w:p>
      <w:pPr>
        <w:spacing w:after="0" w:line="15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3.7.2</w:t>
        <w:tab/>
        <w:t>The Providing Party shall provide reasonable written instructions, including material safety sheets (as applicable), for all</w:t>
      </w:r>
    </w:p>
    <w:p>
      <w:pPr>
        <w:ind w:left="1280"/>
        <w:spacing w:after="0" w:line="215" w:lineRule="auto"/>
        <w:rPr>
          <w:sz w:val="20"/>
          <w:szCs w:val="20"/>
          <w:color w:val="auto"/>
        </w:rPr>
      </w:pPr>
      <w:r>
        <w:rPr>
          <w:rFonts w:ascii="Times New Roman" w:cs="Times New Roman" w:eastAsia="Times New Roman" w:hAnsi="Times New Roman"/>
          <w:sz w:val="19"/>
          <w:szCs w:val="19"/>
          <w:color w:val="auto"/>
        </w:rPr>
        <w:t>Materials, Tool Compounds and Project Compounds provided under this Agreement. The Providing Party shall provide such Materials, Tool Compounds and Project Compounds in accordance with Applicable Law, and shall transfer responsibility to</w:t>
      </w:r>
    </w:p>
    <w:p>
      <w:pPr>
        <w:ind w:left="1280"/>
        <w:spacing w:after="0" w:line="222" w:lineRule="auto"/>
        <w:rPr>
          <w:sz w:val="20"/>
          <w:szCs w:val="20"/>
          <w:color w:val="auto"/>
        </w:rPr>
      </w:pPr>
      <w:r>
        <w:rPr>
          <w:rFonts w:ascii="Times New Roman" w:cs="Times New Roman" w:eastAsia="Times New Roman" w:hAnsi="Times New Roman"/>
          <w:sz w:val="19"/>
          <w:szCs w:val="19"/>
          <w:color w:val="auto"/>
        </w:rPr>
        <w:t>the Using Party upon delivery in accordance with all applicable export/import control laws. Each Party acknowledges that all</w:t>
      </w:r>
    </w:p>
    <w:p>
      <w:pPr>
        <w:ind w:left="1280" w:right="20"/>
        <w:spacing w:after="0" w:line="204" w:lineRule="auto"/>
        <w:rPr>
          <w:sz w:val="20"/>
          <w:szCs w:val="20"/>
          <w:color w:val="auto"/>
        </w:rPr>
      </w:pPr>
      <w:r>
        <w:rPr>
          <w:rFonts w:ascii="Times New Roman" w:cs="Times New Roman" w:eastAsia="Times New Roman" w:hAnsi="Times New Roman"/>
          <w:sz w:val="20"/>
          <w:szCs w:val="20"/>
          <w:color w:val="auto"/>
        </w:rPr>
        <w:t>Materials, Tool Compounds and all Project Compounds exchanged hereunder are experimental and their properties are not completely known. The Using Party shall use, store and handle such Materials, Tool Compounds or Project Compounds in</w:t>
      </w:r>
    </w:p>
    <w:p>
      <w:pPr>
        <w:ind w:left="1280"/>
        <w:spacing w:after="0" w:line="223" w:lineRule="auto"/>
        <w:rPr>
          <w:sz w:val="20"/>
          <w:szCs w:val="20"/>
          <w:color w:val="auto"/>
        </w:rPr>
      </w:pPr>
      <w:r>
        <w:rPr>
          <w:rFonts w:ascii="Times New Roman" w:cs="Times New Roman" w:eastAsia="Times New Roman" w:hAnsi="Times New Roman"/>
          <w:sz w:val="19"/>
          <w:szCs w:val="19"/>
          <w:color w:val="auto"/>
        </w:rPr>
        <w:t>accordance with any reasonable written instructions provided by the Providing Party and all Applicable Law relating thereto.</w:t>
      </w:r>
    </w:p>
    <w:p>
      <w:pPr>
        <w:ind w:left="1280"/>
        <w:spacing w:after="0" w:line="221" w:lineRule="auto"/>
        <w:rPr>
          <w:sz w:val="20"/>
          <w:szCs w:val="20"/>
          <w:color w:val="auto"/>
        </w:rPr>
      </w:pPr>
      <w:r>
        <w:rPr>
          <w:rFonts w:ascii="Times New Roman" w:cs="Times New Roman" w:eastAsia="Times New Roman" w:hAnsi="Times New Roman"/>
          <w:sz w:val="20"/>
          <w:szCs w:val="20"/>
          <w:color w:val="auto"/>
        </w:rPr>
        <w:t>EACH PARTY AGREES THAT THE MATERIALS, TOOL COMPOUNDS OR PROJECT COMPOUNDS EXCHANGED UNDER THIS AGREEMENT ARE PROVIDED “AS IS”.</w:t>
      </w:r>
    </w:p>
    <w:p>
      <w:pPr>
        <w:spacing w:after="0" w:line="162" w:lineRule="exact"/>
        <w:rPr>
          <w:sz w:val="20"/>
          <w:szCs w:val="20"/>
          <w:color w:val="auto"/>
        </w:rPr>
      </w:pPr>
    </w:p>
    <w:p>
      <w:pPr>
        <w:ind w:left="128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3.7.3</w:t>
        <w:tab/>
        <w:t>Unless that the Providing Party agreed otherwise, any unused portion of the Materials or Tool Compounds shall be, at the Providing Party’s option, either returned to the Providing Party at their cost or destroyed.</w:t>
      </w:r>
    </w:p>
    <w:p>
      <w:pPr>
        <w:spacing w:after="0" w:line="148"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Debarment</w:t>
      </w:r>
      <w:r>
        <w:rPr>
          <w:rFonts w:ascii="Times New Roman" w:cs="Times New Roman" w:eastAsia="Times New Roman" w:hAnsi="Times New Roman"/>
          <w:sz w:val="20"/>
          <w:szCs w:val="20"/>
          <w:color w:val="auto"/>
        </w:rPr>
        <w:t>. The Parties shall not use in any capacity the services of anyone debarred or disqualified by any medical or government regulatory authority in any jurisdiction anywhere in the world in the performance of the Projects. Furthermore, each Party represents</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and warrants that neither itself nor its employees, agents or representatives involved in the performance of the Collaboration Plan or Projects have been debarred or disqualified, by any regulatory authority. During the term of this Agreement, each Party shall</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promptly notify the other Party should it or any of its employees, agents or representatives involved in the performance of the Collaboration Plan or Projects become debarred or disqualified.</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Information Exchange and Reporting</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 xml:space="preserve">3.9.1  </w:t>
      </w:r>
      <w:r>
        <w:rPr>
          <w:rFonts w:ascii="Times New Roman" w:cs="Times New Roman" w:eastAsia="Times New Roman" w:hAnsi="Times New Roman"/>
          <w:sz w:val="20"/>
          <w:szCs w:val="20"/>
          <w:u w:val="single" w:color="auto"/>
          <w:color w:val="auto"/>
        </w:rPr>
        <w:t>Regular Information Exchange</w:t>
      </w:r>
      <w:r>
        <w:rPr>
          <w:rFonts w:ascii="Times New Roman" w:cs="Times New Roman" w:eastAsia="Times New Roman" w:hAnsi="Times New Roman"/>
          <w:sz w:val="20"/>
          <w:szCs w:val="20"/>
          <w:color w:val="auto"/>
        </w:rPr>
        <w:t>. The Project Leaders and Alliance Managers of the Parties shall keep each other informed on a regular basis about the status and progress of the Projects and about any difficulties that may impact the Project Plans or</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otherwise have an important impact on the Collaboration.</w:t>
      </w:r>
    </w:p>
    <w:p>
      <w:pPr>
        <w:spacing w:after="0" w:line="167" w:lineRule="exact"/>
        <w:rPr>
          <w:sz w:val="20"/>
          <w:szCs w:val="20"/>
          <w:color w:val="auto"/>
        </w:rPr>
      </w:pPr>
    </w:p>
    <w:p>
      <w:pPr>
        <w:ind w:left="1280"/>
        <w:spacing w:after="0" w:line="233" w:lineRule="auto"/>
        <w:rPr>
          <w:sz w:val="20"/>
          <w:szCs w:val="20"/>
          <w:color w:val="auto"/>
        </w:rPr>
      </w:pPr>
      <w:r>
        <w:rPr>
          <w:rFonts w:ascii="Times New Roman" w:cs="Times New Roman" w:eastAsia="Times New Roman" w:hAnsi="Times New Roman"/>
          <w:sz w:val="20"/>
          <w:szCs w:val="20"/>
          <w:color w:val="auto"/>
        </w:rPr>
        <w:t>The JSC and JPT meeting participants shall agree on a meeting agenda prior to the beginning of every scientific meeting (including audio or video teleconferences).</w:t>
      </w:r>
    </w:p>
    <w:p>
      <w:pPr>
        <w:spacing w:after="0" w:line="15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3.9.2</w:t>
      </w:r>
      <w:r>
        <w:rPr>
          <w:sz w:val="20"/>
          <w:szCs w:val="20"/>
          <w:color w:val="auto"/>
        </w:rPr>
        <w:tab/>
      </w:r>
      <w:r>
        <w:rPr>
          <w:rFonts w:ascii="Times New Roman" w:cs="Times New Roman" w:eastAsia="Times New Roman" w:hAnsi="Times New Roman"/>
          <w:sz w:val="20"/>
          <w:szCs w:val="20"/>
          <w:u w:val="single" w:color="auto"/>
          <w:color w:val="auto"/>
        </w:rPr>
        <w:t>Progress Reports</w:t>
      </w:r>
      <w:r>
        <w:rPr>
          <w:rFonts w:ascii="Times New Roman" w:cs="Times New Roman" w:eastAsia="Times New Roman" w:hAnsi="Times New Roman"/>
          <w:sz w:val="20"/>
          <w:szCs w:val="20"/>
          <w:color w:val="auto"/>
        </w:rPr>
        <w:t>. During the Project Term, the Project Leaders shall furnish to the JSC as to each Project a written report</w:t>
      </w:r>
    </w:p>
    <w:p>
      <w:pPr>
        <w:ind w:left="1280"/>
        <w:spacing w:after="0" w:line="215" w:lineRule="auto"/>
        <w:rPr>
          <w:sz w:val="20"/>
          <w:szCs w:val="20"/>
          <w:color w:val="auto"/>
        </w:rPr>
      </w:pPr>
      <w:r>
        <w:rPr>
          <w:rFonts w:ascii="Times New Roman" w:cs="Times New Roman" w:eastAsia="Times New Roman" w:hAnsi="Times New Roman"/>
          <w:sz w:val="19"/>
          <w:szCs w:val="19"/>
          <w:color w:val="auto"/>
        </w:rPr>
        <w:t>(e.g., PowerPoint presentation, Word doc.) upon request of the JSC, that (i) describes the activities and progress of the Project during the relevant Calendar Quarter and (ii) includes a summary of the Project Results, particularly highlighting any</w:t>
      </w:r>
    </w:p>
    <w:p>
      <w:pPr>
        <w:ind w:left="1280"/>
        <w:spacing w:after="0" w:line="222" w:lineRule="auto"/>
        <w:rPr>
          <w:sz w:val="20"/>
          <w:szCs w:val="20"/>
          <w:color w:val="auto"/>
        </w:rPr>
      </w:pPr>
      <w:r>
        <w:rPr>
          <w:rFonts w:ascii="Times New Roman" w:cs="Times New Roman" w:eastAsia="Times New Roman" w:hAnsi="Times New Roman"/>
          <w:sz w:val="19"/>
          <w:szCs w:val="19"/>
          <w:color w:val="auto"/>
        </w:rPr>
        <w:t>Project IP Rights generated during the relevant Calendar Quarter, (iii) as well as any other topics requested to be included by</w:t>
      </w:r>
    </w:p>
    <w:p>
      <w:pPr>
        <w:ind w:left="1280"/>
        <w:spacing w:after="0" w:line="221" w:lineRule="auto"/>
        <w:rPr>
          <w:sz w:val="20"/>
          <w:szCs w:val="20"/>
          <w:color w:val="auto"/>
        </w:rPr>
      </w:pPr>
      <w:r>
        <w:rPr>
          <w:rFonts w:ascii="Times New Roman" w:cs="Times New Roman" w:eastAsia="Times New Roman" w:hAnsi="Times New Roman"/>
          <w:sz w:val="20"/>
          <w:szCs w:val="20"/>
          <w:color w:val="auto"/>
        </w:rPr>
        <w:t>the JSC. The Project Leaders shall furnish to the JSC as to each Project quarterly reports in writing with the names of the people working in each Project on a month by month basis.</w:t>
      </w:r>
    </w:p>
    <w:p>
      <w:pPr>
        <w:spacing w:after="0" w:line="15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3.9.3</w:t>
      </w:r>
      <w:r>
        <w:rPr>
          <w:sz w:val="20"/>
          <w:szCs w:val="20"/>
          <w:color w:val="auto"/>
        </w:rPr>
        <w:tab/>
      </w:r>
      <w:r>
        <w:rPr>
          <w:rFonts w:ascii="Times New Roman" w:cs="Times New Roman" w:eastAsia="Times New Roman" w:hAnsi="Times New Roman"/>
          <w:sz w:val="19"/>
          <w:szCs w:val="19"/>
          <w:u w:val="single" w:color="auto"/>
          <w:color w:val="auto"/>
        </w:rPr>
        <w:t>Final Project Report</w:t>
      </w:r>
      <w:r>
        <w:rPr>
          <w:rFonts w:ascii="Times New Roman" w:cs="Times New Roman" w:eastAsia="Times New Roman" w:hAnsi="Times New Roman"/>
          <w:sz w:val="19"/>
          <w:szCs w:val="19"/>
          <w:color w:val="auto"/>
        </w:rPr>
        <w:t>. Within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months after completion or termination of the works of a Project, the Project Leaders shall</w:t>
      </w:r>
    </w:p>
    <w:p>
      <w:pPr>
        <w:ind w:left="1280"/>
        <w:spacing w:after="0" w:line="221" w:lineRule="auto"/>
        <w:rPr>
          <w:sz w:val="20"/>
          <w:szCs w:val="20"/>
          <w:color w:val="auto"/>
        </w:rPr>
      </w:pPr>
      <w:r>
        <w:rPr>
          <w:rFonts w:ascii="Times New Roman" w:cs="Times New Roman" w:eastAsia="Times New Roman" w:hAnsi="Times New Roman"/>
          <w:sz w:val="20"/>
          <w:szCs w:val="20"/>
          <w:color w:val="auto"/>
        </w:rPr>
        <w:t>provide the JSC with a Final Project Report (e.g., PowerPoint, Word doc.), which shall, in addition to any other information required under the Project Plan, comprise the following information on the respective Project (“</w:t>
      </w:r>
      <w:r>
        <w:rPr>
          <w:rFonts w:ascii="Times New Roman" w:cs="Times New Roman" w:eastAsia="Times New Roman" w:hAnsi="Times New Roman"/>
          <w:sz w:val="20"/>
          <w:szCs w:val="20"/>
          <w:u w:val="single" w:color="auto"/>
          <w:color w:val="auto"/>
        </w:rPr>
        <w:t>Final Project Report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4" w:right="339" w:bottom="1440" w:gutter="0" w:footer="0" w:header="0"/>
        </w:sectPr>
      </w:pPr>
    </w:p>
    <w:bookmarkStart w:id="232" w:name="page233"/>
    <w:bookmarkEnd w:id="232"/>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3.9.3.1.</w:t>
        <w:tab/>
        <w:t>a short executive summary containing the Project title, the names of Project Leaders, the Project duration, a short</w:t>
      </w:r>
    </w:p>
    <w:p>
      <w:pPr>
        <w:ind w:left="2060"/>
        <w:spacing w:after="0" w:line="221" w:lineRule="auto"/>
        <w:rPr>
          <w:sz w:val="20"/>
          <w:szCs w:val="20"/>
          <w:color w:val="auto"/>
        </w:rPr>
      </w:pPr>
      <w:r>
        <w:rPr>
          <w:rFonts w:ascii="Times New Roman" w:cs="Times New Roman" w:eastAsia="Times New Roman" w:hAnsi="Times New Roman"/>
          <w:sz w:val="20"/>
          <w:szCs w:val="20"/>
          <w:color w:val="auto"/>
        </w:rPr>
        <w:t>project history describing the main scope and activities of the Project, main changes from the original Project Plan and a summary of the main results;</w:t>
      </w:r>
    </w:p>
    <w:p>
      <w:pPr>
        <w:spacing w:after="0" w:line="162"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3.9.3.2.</w:t>
      </w:r>
      <w:r>
        <w:rPr>
          <w:sz w:val="20"/>
          <w:szCs w:val="20"/>
          <w:color w:val="auto"/>
        </w:rPr>
        <w:tab/>
      </w:r>
      <w:r>
        <w:rPr>
          <w:rFonts w:ascii="Times New Roman" w:cs="Times New Roman" w:eastAsia="Times New Roman" w:hAnsi="Times New Roman"/>
          <w:sz w:val="19"/>
          <w:szCs w:val="19"/>
          <w:color w:val="auto"/>
        </w:rPr>
        <w:t>a detailed report consisting of:</w:t>
      </w:r>
    </w:p>
    <w:p>
      <w:pPr>
        <w:spacing w:after="0" w:line="202" w:lineRule="exact"/>
        <w:rPr>
          <w:sz w:val="20"/>
          <w:szCs w:val="20"/>
          <w:color w:val="auto"/>
        </w:rPr>
      </w:pPr>
    </w:p>
    <w:p>
      <w:pPr>
        <w:ind w:left="2560" w:hanging="511"/>
        <w:spacing w:after="0"/>
        <w:tabs>
          <w:tab w:leader="none" w:pos="25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introduction to the scientific background of the Project;</w:t>
      </w:r>
    </w:p>
    <w:p>
      <w:pPr>
        <w:spacing w:after="0" w:line="179" w:lineRule="exact"/>
        <w:rPr>
          <w:rFonts w:ascii="Times New Roman" w:cs="Times New Roman" w:eastAsia="Times New Roman" w:hAnsi="Times New Roman"/>
          <w:sz w:val="22"/>
          <w:szCs w:val="22"/>
          <w:color w:val="auto"/>
        </w:rPr>
      </w:pPr>
    </w:p>
    <w:p>
      <w:pPr>
        <w:ind w:left="2560" w:hanging="511"/>
        <w:spacing w:after="0"/>
        <w:tabs>
          <w:tab w:leader="none" w:pos="25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description of the methods used including references;</w:t>
      </w:r>
    </w:p>
    <w:p>
      <w:pPr>
        <w:spacing w:after="0" w:line="165" w:lineRule="exact"/>
        <w:rPr>
          <w:rFonts w:ascii="Times New Roman" w:cs="Times New Roman" w:eastAsia="Times New Roman" w:hAnsi="Times New Roman"/>
          <w:sz w:val="22"/>
          <w:szCs w:val="22"/>
          <w:color w:val="auto"/>
        </w:rPr>
      </w:pPr>
    </w:p>
    <w:p>
      <w:pPr>
        <w:ind w:left="2560" w:hanging="511"/>
        <w:spacing w:after="0" w:line="233" w:lineRule="auto"/>
        <w:tabs>
          <w:tab w:leader="none" w:pos="255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the persons involved in performing the Project (scientists and non-scientists) including a brief description of their responsibilities;</w:t>
      </w:r>
    </w:p>
    <w:p>
      <w:pPr>
        <w:spacing w:after="0" w:line="160" w:lineRule="exact"/>
        <w:rPr>
          <w:rFonts w:ascii="Times New Roman" w:cs="Times New Roman" w:eastAsia="Times New Roman" w:hAnsi="Times New Roman"/>
          <w:sz w:val="20"/>
          <w:szCs w:val="20"/>
          <w:color w:val="auto"/>
        </w:rPr>
      </w:pPr>
    </w:p>
    <w:p>
      <w:pPr>
        <w:ind w:left="2540" w:hanging="491"/>
        <w:spacing w:after="0"/>
        <w:tabs>
          <w:tab w:leader="none" w:pos="25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all changes to the Project Plan, including minor changes;</w:t>
      </w:r>
    </w:p>
    <w:p>
      <w:pPr>
        <w:spacing w:after="0" w:line="188" w:lineRule="exact"/>
        <w:rPr>
          <w:rFonts w:ascii="Times New Roman" w:cs="Times New Roman" w:eastAsia="Times New Roman" w:hAnsi="Times New Roman"/>
          <w:sz w:val="20"/>
          <w:szCs w:val="20"/>
          <w:color w:val="auto"/>
        </w:rPr>
      </w:pPr>
    </w:p>
    <w:p>
      <w:pPr>
        <w:ind w:left="2560" w:hanging="511"/>
        <w:spacing w:after="0"/>
        <w:tabs>
          <w:tab w:leader="none" w:pos="25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all Project Results;</w:t>
      </w:r>
    </w:p>
    <w:p>
      <w:pPr>
        <w:spacing w:after="0" w:line="175" w:lineRule="exact"/>
        <w:rPr>
          <w:rFonts w:ascii="Times New Roman" w:cs="Times New Roman" w:eastAsia="Times New Roman" w:hAnsi="Times New Roman"/>
          <w:sz w:val="20"/>
          <w:szCs w:val="20"/>
          <w:color w:val="auto"/>
        </w:rPr>
      </w:pPr>
    </w:p>
    <w:p>
      <w:pPr>
        <w:ind w:left="2560" w:hanging="511"/>
        <w:spacing w:after="0"/>
        <w:tabs>
          <w:tab w:leader="none" w:pos="25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the Project Results; and</w:t>
      </w:r>
    </w:p>
    <w:p>
      <w:pPr>
        <w:spacing w:after="0" w:line="188" w:lineRule="exact"/>
        <w:rPr>
          <w:rFonts w:ascii="Times New Roman" w:cs="Times New Roman" w:eastAsia="Times New Roman" w:hAnsi="Times New Roman"/>
          <w:sz w:val="20"/>
          <w:szCs w:val="20"/>
          <w:color w:val="auto"/>
        </w:rPr>
      </w:pPr>
    </w:p>
    <w:p>
      <w:pPr>
        <w:ind w:left="2540" w:hanging="491"/>
        <w:spacing w:after="0"/>
        <w:tabs>
          <w:tab w:leader="none" w:pos="25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of references.</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 xml:space="preserve">3.9.4  </w:t>
      </w:r>
      <w:r>
        <w:rPr>
          <w:rFonts w:ascii="Times New Roman" w:cs="Times New Roman" w:eastAsia="Times New Roman" w:hAnsi="Times New Roman"/>
          <w:sz w:val="20"/>
          <w:szCs w:val="20"/>
          <w:u w:val="single" w:color="auto"/>
          <w:color w:val="auto"/>
        </w:rPr>
        <w:t>Review by the JSC</w:t>
      </w:r>
      <w:r>
        <w:rPr>
          <w:rFonts w:ascii="Times New Roman" w:cs="Times New Roman" w:eastAsia="Times New Roman" w:hAnsi="Times New Roman"/>
          <w:sz w:val="20"/>
          <w:szCs w:val="20"/>
          <w:color w:val="auto"/>
        </w:rPr>
        <w:t xml:space="preserve">. The JSC shall review the Final Project Report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weeks of its receipt as to its completeness and sufficiency in detail, correctness and comprehensibility and, if applicable, request the Project Leaders to rectify any</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deficiencies in the report within a reasonable period of time.</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Recordkeeping</w:t>
      </w:r>
      <w:r>
        <w:rPr>
          <w:rFonts w:ascii="Times New Roman" w:cs="Times New Roman" w:eastAsia="Times New Roman" w:hAnsi="Times New Roman"/>
          <w:sz w:val="20"/>
          <w:szCs w:val="20"/>
          <w:color w:val="auto"/>
        </w:rPr>
        <w:t>.  Each  Party  shall  prepare  and  maintain  complete,  current,  accurate,  organized  and  legible  records  of  all documentation relating to its activities under this Agreement (“</w:t>
      </w:r>
      <w:r>
        <w:rPr>
          <w:rFonts w:ascii="Times New Roman" w:cs="Times New Roman" w:eastAsia="Times New Roman" w:hAnsi="Times New Roman"/>
          <w:sz w:val="20"/>
          <w:szCs w:val="20"/>
          <w:u w:val="single" w:color="auto"/>
          <w:color w:val="auto"/>
        </w:rPr>
        <w:t>Research Documentation</w:t>
      </w:r>
      <w:r>
        <w:rPr>
          <w:rFonts w:ascii="Times New Roman" w:cs="Times New Roman" w:eastAsia="Times New Roman" w:hAnsi="Times New Roman"/>
          <w:sz w:val="20"/>
          <w:szCs w:val="20"/>
          <w:color w:val="auto"/>
        </w:rPr>
        <w:t>”) in a manner as necessary for patent and</w:t>
      </w:r>
    </w:p>
    <w:p>
      <w:pPr>
        <w:ind w:left="640"/>
        <w:spacing w:after="0" w:line="212" w:lineRule="auto"/>
        <w:rPr>
          <w:sz w:val="20"/>
          <w:szCs w:val="20"/>
          <w:color w:val="auto"/>
        </w:rPr>
      </w:pPr>
      <w:r>
        <w:rPr>
          <w:rFonts w:ascii="Times New Roman" w:cs="Times New Roman" w:eastAsia="Times New Roman" w:hAnsi="Times New Roman"/>
          <w:sz w:val="20"/>
          <w:szCs w:val="20"/>
          <w:color w:val="auto"/>
        </w:rPr>
        <w:t>regulatory purposes and in full compliance with the Applicable Law. Each Party shall retain all Research Documentation during the</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Collaboration Term and thereafter until (a)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anniversary of the date that each Project Term expires or terminates; or (b) until such later date as may be required by Applicable Law (the “</w:t>
      </w:r>
      <w:r>
        <w:rPr>
          <w:rFonts w:ascii="Times New Roman" w:cs="Times New Roman" w:eastAsia="Times New Roman" w:hAnsi="Times New Roman"/>
          <w:sz w:val="20"/>
          <w:szCs w:val="20"/>
          <w:u w:val="single" w:color="auto"/>
          <w:color w:val="auto"/>
        </w:rPr>
        <w:t>Retention Period</w:t>
      </w:r>
      <w:r>
        <w:rPr>
          <w:rFonts w:ascii="Times New Roman" w:cs="Times New Roman" w:eastAsia="Times New Roman" w:hAnsi="Times New Roman"/>
          <w:sz w:val="20"/>
          <w:szCs w:val="20"/>
          <w:color w:val="auto"/>
        </w:rPr>
        <w:t>”). Each Party shall deliver copies of such Research</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Documentation to the other Party at the other Party’s reasonable request and cost.</w:t>
      </w:r>
    </w:p>
    <w:p>
      <w:pPr>
        <w:spacing w:after="0" w:line="15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auto"/>
        </w:rPr>
        <w:t>Audits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3.11.1  Bayer or its authorized representatives shall have the right, up to one (1) time per year, upon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prior notice and during</w:t>
      </w:r>
    </w:p>
    <w:p>
      <w:pPr>
        <w:ind w:left="1280"/>
        <w:spacing w:after="0" w:line="215" w:lineRule="auto"/>
        <w:rPr>
          <w:sz w:val="20"/>
          <w:szCs w:val="20"/>
          <w:color w:val="auto"/>
        </w:rPr>
      </w:pPr>
      <w:r>
        <w:rPr>
          <w:rFonts w:ascii="Times New Roman" w:cs="Times New Roman" w:eastAsia="Times New Roman" w:hAnsi="Times New Roman"/>
          <w:sz w:val="19"/>
          <w:szCs w:val="19"/>
          <w:color w:val="auto"/>
        </w:rPr>
        <w:t>regular business hours at days and times mutually agreed upon by both Parties, to: (a) monitor the conduct of the research activities being carried out by Recursion and its Subcontractors pursuant to this Agreement and to inspect Recursion’s and its</w:t>
      </w:r>
    </w:p>
    <w:p>
      <w:pPr>
        <w:ind w:left="1280"/>
        <w:spacing w:after="0" w:line="211" w:lineRule="auto"/>
        <w:rPr>
          <w:sz w:val="20"/>
          <w:szCs w:val="20"/>
          <w:color w:val="auto"/>
        </w:rPr>
      </w:pPr>
      <w:r>
        <w:rPr>
          <w:rFonts w:ascii="Times New Roman" w:cs="Times New Roman" w:eastAsia="Times New Roman" w:hAnsi="Times New Roman"/>
          <w:sz w:val="20"/>
          <w:szCs w:val="20"/>
          <w:color w:val="auto"/>
        </w:rPr>
        <w:t>Subcontractors premises where such activities are or are to be carried out, (b) review and audit during the Retention Period</w:t>
      </w:r>
    </w:p>
    <w:p>
      <w:pPr>
        <w:ind w:left="1280"/>
        <w:spacing w:after="0" w:line="204" w:lineRule="auto"/>
        <w:rPr>
          <w:sz w:val="20"/>
          <w:szCs w:val="20"/>
          <w:color w:val="auto"/>
        </w:rPr>
      </w:pPr>
      <w:r>
        <w:rPr>
          <w:rFonts w:ascii="Times New Roman" w:cs="Times New Roman" w:eastAsia="Times New Roman" w:hAnsi="Times New Roman"/>
          <w:sz w:val="20"/>
          <w:szCs w:val="20"/>
          <w:color w:val="auto"/>
        </w:rPr>
        <w:t>all Research Documentation and any other books, records, and data relating to such activities, and (c) interview relevant personnel; provided such personnel consents to be interviewed and provided that such rights may not be exercised in a</w:t>
      </w:r>
    </w:p>
    <w:p>
      <w:pPr>
        <w:ind w:left="1280"/>
        <w:spacing w:after="0" w:line="211" w:lineRule="auto"/>
        <w:rPr>
          <w:sz w:val="20"/>
          <w:szCs w:val="20"/>
          <w:color w:val="auto"/>
        </w:rPr>
      </w:pPr>
      <w:r>
        <w:rPr>
          <w:rFonts w:ascii="Times New Roman" w:cs="Times New Roman" w:eastAsia="Times New Roman" w:hAnsi="Times New Roman"/>
          <w:sz w:val="20"/>
          <w:szCs w:val="20"/>
          <w:color w:val="auto"/>
        </w:rPr>
        <w:t>manner that interferes with the normal operations and activities of Recursion’s and its Subcontractors’ personnel. Recursion</w:t>
      </w:r>
    </w:p>
    <w:p>
      <w:pPr>
        <w:spacing w:after="0" w:line="1" w:lineRule="exact"/>
        <w:rPr>
          <w:sz w:val="20"/>
          <w:szCs w:val="20"/>
          <w:color w:val="auto"/>
        </w:rPr>
      </w:pPr>
    </w:p>
    <w:p>
      <w:pPr>
        <w:ind w:left="1280"/>
        <w:spacing w:after="0" w:line="215" w:lineRule="auto"/>
        <w:rPr>
          <w:sz w:val="20"/>
          <w:szCs w:val="20"/>
          <w:color w:val="auto"/>
        </w:rPr>
      </w:pPr>
      <w:r>
        <w:rPr>
          <w:rFonts w:ascii="Times New Roman" w:cs="Times New Roman" w:eastAsia="Times New Roman" w:hAnsi="Times New Roman"/>
          <w:sz w:val="19"/>
          <w:szCs w:val="19"/>
          <w:color w:val="auto"/>
        </w:rPr>
        <w:t>shall, and shall require its and its Subcontractors’ personnel to, reasonably cooperate with any such activities. All monitoring must be conducted in accordance with Recursion’s and Subcontractors’ respective policies regarding personnel, and access to</w:t>
      </w:r>
    </w:p>
    <w:p>
      <w:pPr>
        <w:ind w:left="1280"/>
        <w:spacing w:after="0" w:line="211" w:lineRule="auto"/>
        <w:rPr>
          <w:sz w:val="20"/>
          <w:szCs w:val="20"/>
          <w:color w:val="auto"/>
        </w:rPr>
      </w:pPr>
      <w:r>
        <w:rPr>
          <w:rFonts w:ascii="Times New Roman" w:cs="Times New Roman" w:eastAsia="Times New Roman" w:hAnsi="Times New Roman"/>
          <w:sz w:val="20"/>
          <w:szCs w:val="20"/>
          <w:color w:val="auto"/>
        </w:rPr>
        <w:t>its respective facilities and information systems. Bayer will bear the costs associated with monitoring. Recursion shall</w:t>
      </w:r>
    </w:p>
    <w:p>
      <w:pPr>
        <w:ind w:left="1280"/>
        <w:spacing w:after="0" w:line="204" w:lineRule="auto"/>
        <w:rPr>
          <w:sz w:val="20"/>
          <w:szCs w:val="20"/>
          <w:color w:val="auto"/>
        </w:rPr>
      </w:pPr>
      <w:r>
        <w:rPr>
          <w:rFonts w:ascii="Times New Roman" w:cs="Times New Roman" w:eastAsia="Times New Roman" w:hAnsi="Times New Roman"/>
          <w:sz w:val="20"/>
          <w:szCs w:val="20"/>
          <w:color w:val="auto"/>
        </w:rPr>
        <w:t>promptly inform Bayer of any inspections and the like by authorities that relate to the research activities being carried under a Project pursuant to this Agreement and shall provide Bayer with a copy of any reports from such inspections to the extent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permissible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4" w:right="339" w:bottom="1440" w:gutter="0" w:footer="0" w:header="0"/>
        </w:sectPr>
      </w:pPr>
    </w:p>
    <w:bookmarkStart w:id="233" w:name="page234"/>
    <w:bookmarkEnd w:id="233"/>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u w:val="single" w:color="auto"/>
          <w:color w:val="auto"/>
        </w:rPr>
        <w:t>Animal Welfare</w:t>
      </w:r>
      <w:r>
        <w:rPr>
          <w:rFonts w:ascii="Times New Roman" w:cs="Times New Roman" w:eastAsia="Times New Roman" w:hAnsi="Times New Roman"/>
          <w:sz w:val="20"/>
          <w:szCs w:val="20"/>
          <w:color w:val="auto"/>
        </w:rPr>
        <w:t>. The Parties agree that animal welfare is considered an important issue for ethical reasons as well as for the sake of</w:t>
      </w: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quality of studies. In case the Projects comprise </w:t>
      </w:r>
      <w:r>
        <w:rPr>
          <w:rFonts w:ascii="Times New Roman" w:cs="Times New Roman" w:eastAsia="Times New Roman" w:hAnsi="Times New Roman"/>
          <w:sz w:val="20"/>
          <w:szCs w:val="20"/>
          <w:i w:val="1"/>
          <w:iCs w:val="1"/>
          <w:color w:val="auto"/>
        </w:rPr>
        <w:t>in-vivo</w:t>
      </w:r>
      <w:r>
        <w:rPr>
          <w:rFonts w:ascii="Times New Roman" w:cs="Times New Roman" w:eastAsia="Times New Roman" w:hAnsi="Times New Roman"/>
          <w:sz w:val="20"/>
          <w:szCs w:val="20"/>
          <w:color w:val="auto"/>
        </w:rPr>
        <w:t xml:space="preserve"> testing, the Parties agree to apply customary standards of animal care. Bayer represents and warrants to follow all relevant local as well as European animal welfare regulations. Recursion represents and</w:t>
      </w:r>
    </w:p>
    <w:p>
      <w:pPr>
        <w:ind w:left="640"/>
        <w:spacing w:after="0" w:line="211" w:lineRule="auto"/>
        <w:rPr>
          <w:sz w:val="20"/>
          <w:szCs w:val="20"/>
          <w:color w:val="auto"/>
        </w:rPr>
      </w:pPr>
      <w:r>
        <w:rPr>
          <w:rFonts w:ascii="Times New Roman" w:cs="Times New Roman" w:eastAsia="Times New Roman" w:hAnsi="Times New Roman"/>
          <w:sz w:val="20"/>
          <w:szCs w:val="20"/>
          <w:color w:val="auto"/>
        </w:rPr>
        <w:t>warrants that it holds a valid accreditation of the Association for Assessment and Accreditation of Laboratory Animal Care</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International (AAALAC) and that it will comply with all applicable standards AAALAC imposes on its accredited organizations and will promptly notify Bayer in the event of any debarment, conviction, or indictment related to its compliance to the AAALAC</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standards.</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Pharmacovigilance</w:t>
      </w:r>
      <w:r>
        <w:rPr>
          <w:rFonts w:ascii="Times New Roman" w:cs="Times New Roman" w:eastAsia="Times New Roman" w:hAnsi="Times New Roman"/>
          <w:sz w:val="20"/>
          <w:szCs w:val="20"/>
          <w:color w:val="auto"/>
        </w:rPr>
        <w:t xml:space="preserve">. With respect to a Tool Compound or a Project Compound that is in clinical development or therapeutic use Recursion shall forward without undue delay, at the latest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in written form (either via e-mail or via fax, letter etc.) to</w:t>
      </w:r>
    </w:p>
    <w:p>
      <w:pPr>
        <w:ind w:left="640"/>
        <w:spacing w:after="0" w:line="212" w:lineRule="auto"/>
        <w:rPr>
          <w:sz w:val="20"/>
          <w:szCs w:val="20"/>
          <w:color w:val="auto"/>
        </w:rPr>
      </w:pPr>
      <w:r>
        <w:rPr>
          <w:rFonts w:ascii="Times New Roman" w:cs="Times New Roman" w:eastAsia="Times New Roman" w:hAnsi="Times New Roman"/>
          <w:sz w:val="20"/>
          <w:szCs w:val="20"/>
          <w:color w:val="auto"/>
        </w:rPr>
        <w:t>the Bayer Project Leader specified in the Project Proposal and the drug safety department of Bayer (Bayer AG, Global</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Pharmacovigilance, Muellerstr.178, 13353 Berlin, Germany, Fax: + 49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E-Mail: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@bayer.com) any unexpected information/finding, which indicates or permits to deduce a (potential) serious health hazard associated with the Tool Compound or</w:t>
      </w:r>
    </w:p>
    <w:p>
      <w:pPr>
        <w:ind w:left="640"/>
        <w:spacing w:after="0" w:line="211" w:lineRule="auto"/>
        <w:rPr>
          <w:sz w:val="20"/>
          <w:szCs w:val="20"/>
          <w:color w:val="auto"/>
        </w:rPr>
      </w:pPr>
      <w:r>
        <w:rPr>
          <w:rFonts w:ascii="Times New Roman" w:cs="Times New Roman" w:eastAsia="Times New Roman" w:hAnsi="Times New Roman"/>
          <w:sz w:val="20"/>
          <w:szCs w:val="20"/>
          <w:color w:val="auto"/>
        </w:rPr>
        <w:t>Project Compound and which (as a consequence) may have an impact on the benefit/risk profile of the Tool Compound or Project</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Compound or the related product. If the Tool Compound is provided by Bayer, Bayer shall inform Recursion that the Tool Compound is in clinical or therapeutic use.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u w:val="single" w:color="auto"/>
          <w:color w:val="auto"/>
        </w:rPr>
        <w:t>Information Security.</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3.14.1. Each Party shall structure its internal organization so that it meets particular information security requirements for Confidential Information of the other Party. Technical and organizational measures must be adopted to guarantee reasonable</w:t>
      </w:r>
    </w:p>
    <w:p>
      <w:pPr>
        <w:spacing w:after="0" w:line="1" w:lineRule="exact"/>
        <w:rPr>
          <w:sz w:val="20"/>
          <w:szCs w:val="20"/>
          <w:color w:val="auto"/>
        </w:rPr>
      </w:pPr>
    </w:p>
    <w:p>
      <w:pPr>
        <w:ind w:left="1280"/>
        <w:spacing w:after="0" w:line="221" w:lineRule="auto"/>
        <w:rPr>
          <w:sz w:val="20"/>
          <w:szCs w:val="20"/>
          <w:color w:val="auto"/>
        </w:rPr>
      </w:pPr>
      <w:r>
        <w:rPr>
          <w:rFonts w:ascii="Times New Roman" w:cs="Times New Roman" w:eastAsia="Times New Roman" w:hAnsi="Times New Roman"/>
          <w:sz w:val="20"/>
          <w:szCs w:val="20"/>
          <w:color w:val="auto"/>
        </w:rPr>
        <w:t xml:space="preserve">protection of such Confidential Information. The safety measures to be taken by the Parties are specified in detail in </w:t>
      </w:r>
      <w:r>
        <w:rPr>
          <w:rFonts w:ascii="Times New Roman" w:cs="Times New Roman" w:eastAsia="Times New Roman" w:hAnsi="Times New Roman"/>
          <w:sz w:val="20"/>
          <w:szCs w:val="20"/>
          <w:b w:val="1"/>
          <w:bCs w:val="1"/>
          <w:u w:val="single" w:color="auto"/>
          <w:color w:val="auto"/>
        </w:rPr>
        <w:t>Appendix 5</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3.14.2. Each Party will have the right to check the effectiveness of the other Party’s technical and organizational measures to meet</w:t>
      </w:r>
    </w:p>
    <w:p>
      <w:pPr>
        <w:ind w:left="1280" w:right="20"/>
        <w:spacing w:after="0" w:line="221" w:lineRule="auto"/>
        <w:rPr>
          <w:sz w:val="20"/>
          <w:szCs w:val="20"/>
          <w:color w:val="auto"/>
        </w:rPr>
      </w:pPr>
      <w:r>
        <w:rPr>
          <w:rFonts w:ascii="Times New Roman" w:cs="Times New Roman" w:eastAsia="Times New Roman" w:hAnsi="Times New Roman"/>
          <w:sz w:val="20"/>
          <w:szCs w:val="20"/>
          <w:color w:val="auto"/>
        </w:rPr>
        <w:t xml:space="preserve">information security requirements on a regular basis up to one (1) time per year, at the checking Party’s cost. For this purpose, each Party shall have the right, upon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prior notice and during regular business hours, to:</w:t>
      </w:r>
    </w:p>
    <w:p>
      <w:pPr>
        <w:spacing w:after="0" w:line="162" w:lineRule="exact"/>
        <w:rPr>
          <w:sz w:val="20"/>
          <w:szCs w:val="20"/>
          <w:color w:val="auto"/>
        </w:rPr>
      </w:pPr>
    </w:p>
    <w:p>
      <w:pPr>
        <w:ind w:left="1780" w:hanging="496"/>
        <w:spacing w:after="0"/>
        <w:tabs>
          <w:tab w:leader="none" w:pos="178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information from the other Party (self-reporting);</w:t>
      </w:r>
    </w:p>
    <w:p>
      <w:pPr>
        <w:spacing w:after="0" w:line="188" w:lineRule="exact"/>
        <w:rPr>
          <w:rFonts w:ascii="Times New Roman" w:cs="Times New Roman" w:eastAsia="Times New Roman" w:hAnsi="Times New Roman"/>
          <w:sz w:val="20"/>
          <w:szCs w:val="20"/>
          <w:color w:val="auto"/>
        </w:rPr>
      </w:pPr>
    </w:p>
    <w:p>
      <w:pPr>
        <w:jc w:val="both"/>
        <w:ind w:left="1800" w:hanging="516"/>
        <w:spacing w:after="0" w:line="226" w:lineRule="auto"/>
        <w:tabs>
          <w:tab w:leader="none" w:pos="1791"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 personal on-site inspection of the other Party, or have such an inspection conducted by a qualified third party (on-site audit). For such on-site audit, each Party shall grant the other access to, in particular, the data processing systems, files and documents in question;</w:t>
      </w:r>
    </w:p>
    <w:p>
      <w:pPr>
        <w:spacing w:after="0" w:line="160" w:lineRule="exact"/>
        <w:rPr>
          <w:rFonts w:ascii="Times New Roman" w:cs="Times New Roman" w:eastAsia="Times New Roman" w:hAnsi="Times New Roman"/>
          <w:sz w:val="20"/>
          <w:szCs w:val="20"/>
          <w:color w:val="auto"/>
        </w:rPr>
      </w:pPr>
    </w:p>
    <w:p>
      <w:pPr>
        <w:ind w:left="1800" w:hanging="516"/>
        <w:spacing w:after="0" w:line="233" w:lineRule="auto"/>
        <w:tabs>
          <w:tab w:leader="none" w:pos="1791"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Interview relevant personnel, provided that such rights may not be exercised in a manner that interferes with the normal operations and activities of the other Party’s personnel.</w:t>
      </w:r>
    </w:p>
    <w:p>
      <w:pPr>
        <w:spacing w:after="0" w:line="160" w:lineRule="exact"/>
        <w:rPr>
          <w:rFonts w:ascii="Times New Roman" w:cs="Times New Roman" w:eastAsia="Times New Roman" w:hAnsi="Times New Roman"/>
          <w:sz w:val="20"/>
          <w:szCs w:val="20"/>
          <w:color w:val="auto"/>
        </w:rPr>
      </w:pPr>
    </w:p>
    <w:p>
      <w:pPr>
        <w:jc w:val="both"/>
        <w:ind w:left="1800" w:hanging="516"/>
        <w:spacing w:after="0" w:line="226" w:lineRule="auto"/>
        <w:tabs>
          <w:tab w:leader="none" w:pos="1791"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and shall cause its personnel to cooperate with any such activities. In particular, each Party shall immediately make available to the other all information and certifications that are necessary for the performance of the information security control.</w:t>
      </w:r>
    </w:p>
    <w:p>
      <w:pPr>
        <w:spacing w:after="0" w:line="16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GOVERNANCE</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Joint Steering Committee</w:t>
      </w:r>
      <w:r>
        <w:rPr>
          <w:rFonts w:ascii="Times New Roman" w:cs="Times New Roman" w:eastAsia="Times New Roman" w:hAnsi="Times New Roman"/>
          <w:sz w:val="20"/>
          <w:szCs w:val="20"/>
          <w:color w:val="auto"/>
        </w:rPr>
        <w:t>. The Parties shall establish a Joint Steering Committee (“</w:t>
      </w:r>
      <w:r>
        <w:rPr>
          <w:rFonts w:ascii="Times New Roman" w:cs="Times New Roman" w:eastAsia="Times New Roman" w:hAnsi="Times New Roman"/>
          <w:sz w:val="20"/>
          <w:szCs w:val="20"/>
          <w:u w:val="single" w:color="auto"/>
          <w:color w:val="auto"/>
        </w:rPr>
        <w:t>JSC</w:t>
      </w:r>
      <w:r>
        <w:rPr>
          <w:rFonts w:ascii="Times New Roman" w:cs="Times New Roman" w:eastAsia="Times New Roman" w:hAnsi="Times New Roman"/>
          <w:sz w:val="20"/>
          <w:szCs w:val="20"/>
          <w:color w:val="auto"/>
        </w:rPr>
        <w:t>”), comprised of two (2) representatives,</w:t>
      </w:r>
    </w:p>
    <w:p>
      <w:pPr>
        <w:ind w:left="640"/>
        <w:spacing w:after="0" w:line="215" w:lineRule="auto"/>
        <w:rPr>
          <w:sz w:val="20"/>
          <w:szCs w:val="20"/>
          <w:color w:val="auto"/>
        </w:rPr>
      </w:pPr>
      <w:r>
        <w:rPr>
          <w:rFonts w:ascii="Times New Roman" w:cs="Times New Roman" w:eastAsia="Times New Roman" w:hAnsi="Times New Roman"/>
          <w:sz w:val="19"/>
          <w:szCs w:val="19"/>
          <w:color w:val="auto"/>
        </w:rPr>
        <w:t>including at least one (1) senior executive, of Recursion (the “</w:t>
      </w:r>
      <w:r>
        <w:rPr>
          <w:rFonts w:ascii="Times New Roman" w:cs="Times New Roman" w:eastAsia="Times New Roman" w:hAnsi="Times New Roman"/>
          <w:sz w:val="19"/>
          <w:szCs w:val="19"/>
          <w:u w:val="single" w:color="auto"/>
          <w:color w:val="auto"/>
        </w:rPr>
        <w:t>Recursion JSC Members</w:t>
      </w:r>
      <w:r>
        <w:rPr>
          <w:rFonts w:ascii="Times New Roman" w:cs="Times New Roman" w:eastAsia="Times New Roman" w:hAnsi="Times New Roman"/>
          <w:sz w:val="19"/>
          <w:szCs w:val="19"/>
          <w:color w:val="auto"/>
        </w:rPr>
        <w:t>”) and two (2) representatives, including at least one (1) senior executive, of Bayer (the “</w:t>
      </w:r>
      <w:r>
        <w:rPr>
          <w:rFonts w:ascii="Times New Roman" w:cs="Times New Roman" w:eastAsia="Times New Roman" w:hAnsi="Times New Roman"/>
          <w:sz w:val="19"/>
          <w:szCs w:val="19"/>
          <w:u w:val="single" w:color="auto"/>
          <w:color w:val="auto"/>
        </w:rPr>
        <w:t>Bayer JSC Members</w:t>
      </w:r>
      <w:r>
        <w:rPr>
          <w:rFonts w:ascii="Times New Roman" w:cs="Times New Roman" w:eastAsia="Times New Roman" w:hAnsi="Times New Roman"/>
          <w:sz w:val="19"/>
          <w:szCs w:val="19"/>
          <w:color w:val="auto"/>
        </w:rPr>
        <w:t>”). The Parties shall nominate their respective initial JSC Members</w:t>
      </w:r>
    </w:p>
    <w:p>
      <w:pPr>
        <w:ind w:left="640"/>
        <w:spacing w:after="0" w:line="228" w:lineRule="auto"/>
        <w:rPr>
          <w:sz w:val="20"/>
          <w:szCs w:val="20"/>
          <w:color w:val="auto"/>
        </w:rPr>
      </w:pPr>
      <w:r>
        <w:rPr>
          <w:rFonts w:ascii="Times New Roman" w:cs="Times New Roman" w:eastAsia="Times New Roman" w:hAnsi="Times New Roman"/>
          <w:sz w:val="20"/>
          <w:szCs w:val="20"/>
          <w:color w:val="auto"/>
        </w:rPr>
        <w:t>upon the Restatement Effective Date and inform each other respectively. In addition, the Alliance Manager of each Party shall be an associate member of the JSC.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4" w:right="339" w:bottom="1440" w:gutter="0" w:footer="0" w:header="0"/>
        </w:sectPr>
      </w:pPr>
    </w:p>
    <w:bookmarkStart w:id="234" w:name="page235"/>
    <w:bookmarkEnd w:id="234"/>
    <w:p>
      <w:pPr>
        <w:ind w:left="640"/>
        <w:spacing w:after="0"/>
        <w:rPr>
          <w:sz w:val="20"/>
          <w:szCs w:val="20"/>
          <w:color w:val="auto"/>
        </w:rPr>
      </w:pPr>
      <w:r>
        <w:rPr>
          <w:rFonts w:ascii="Times New Roman" w:cs="Times New Roman" w:eastAsia="Times New Roman" w:hAnsi="Times New Roman"/>
          <w:sz w:val="19"/>
          <w:szCs w:val="19"/>
          <w:color w:val="auto"/>
        </w:rPr>
        <w:t>may replace its members of the JSC at any time upon written notice to the other Party. The Parties may mutually agree to invite non-</w:t>
      </w:r>
    </w:p>
    <w:p>
      <w:pPr>
        <w:spacing w:after="0" w:line="6"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voting employees and consultants to attend meetings of the JSC, subject to their agreement to be bound to obligations necessary to ensure their compliance with the provisions hereunder concerning confidentiality, publication, use restrictions, the grant of licenses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and rights and any other provisions of this Agreement that may be relevant in that context.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Meetings</w:t>
      </w:r>
      <w:r>
        <w:rPr>
          <w:rFonts w:ascii="Times New Roman" w:cs="Times New Roman" w:eastAsia="Times New Roman" w:hAnsi="Times New Roman"/>
          <w:sz w:val="20"/>
          <w:szCs w:val="20"/>
          <w:color w:val="auto"/>
        </w:rPr>
        <w:t>. Unless otherwise agreed to by the Parties, the JSC shall meet during the first Calendar Year of this Agreement at least twice and thereafter at least two times each Calendar Year. Additional meetings may be requested by any JSC member of either Party</w:t>
      </w:r>
    </w:p>
    <w:p>
      <w:pPr>
        <w:ind w:left="640"/>
        <w:spacing w:after="0" w:line="224" w:lineRule="auto"/>
        <w:rPr>
          <w:sz w:val="20"/>
          <w:szCs w:val="20"/>
          <w:color w:val="auto"/>
        </w:rPr>
      </w:pPr>
      <w:r>
        <w:rPr>
          <w:rFonts w:ascii="Times New Roman" w:cs="Times New Roman" w:eastAsia="Times New Roman" w:hAnsi="Times New Roman"/>
          <w:sz w:val="19"/>
          <w:szCs w:val="19"/>
          <w:color w:val="auto"/>
        </w:rPr>
        <w:t xml:space="preserve">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days’ prior written notice to the Alliance Manager. JSC meetings can be held by audio or video conference and at least once</w:t>
      </w:r>
    </w:p>
    <w:p>
      <w:pPr>
        <w:ind w:left="640"/>
        <w:spacing w:after="0" w:line="204" w:lineRule="auto"/>
        <w:rPr>
          <w:sz w:val="20"/>
          <w:szCs w:val="20"/>
          <w:color w:val="auto"/>
        </w:rPr>
      </w:pPr>
      <w:r>
        <w:rPr>
          <w:rFonts w:ascii="Times New Roman" w:cs="Times New Roman" w:eastAsia="Times New Roman" w:hAnsi="Times New Roman"/>
          <w:sz w:val="20"/>
          <w:szCs w:val="20"/>
          <w:color w:val="auto"/>
        </w:rPr>
        <w:t>each Calendar Year in person. Meetings of a JSC shall be effective only if at least one JSC Member of each Party is present at the meeting or participating by teleconference. Each Party shall be responsible for all of its own expenses of participating in JSC</w:t>
      </w:r>
    </w:p>
    <w:p>
      <w:pPr>
        <w:ind w:left="640"/>
        <w:spacing w:after="0" w:line="211" w:lineRule="auto"/>
        <w:rPr>
          <w:sz w:val="20"/>
          <w:szCs w:val="20"/>
          <w:color w:val="auto"/>
        </w:rPr>
      </w:pPr>
      <w:r>
        <w:rPr>
          <w:rFonts w:ascii="Times New Roman" w:cs="Times New Roman" w:eastAsia="Times New Roman" w:hAnsi="Times New Roman"/>
          <w:sz w:val="20"/>
          <w:szCs w:val="20"/>
          <w:color w:val="auto"/>
        </w:rPr>
        <w:t>meetings. The Parties shall endeavor to schedule meetings of the JSC timely in advance. The Alliance Managers shall prepare the</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meeting agenda and shall circulate for review and approval by each Party written minutes of such meeting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after such meeting. The Parties shall agree on the minutes of each meeting promptly, but in no event later than the next meeting of the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JSC.</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Alliance Manager</w:t>
      </w:r>
      <w:r>
        <w:rPr>
          <w:rFonts w:ascii="Times New Roman" w:cs="Times New Roman" w:eastAsia="Times New Roman" w:hAnsi="Times New Roman"/>
          <w:sz w:val="20"/>
          <w:szCs w:val="20"/>
          <w:color w:val="auto"/>
        </w:rPr>
        <w:t>. Each Party shall nominate an alliance manager who shall be the primary point of contact for the Parties for overall matters regarding the Collaboration and shall facilitate the communication regarding all activities hereunder (each an “</w:t>
      </w:r>
      <w:r>
        <w:rPr>
          <w:rFonts w:ascii="Times New Roman" w:cs="Times New Roman" w:eastAsia="Times New Roman" w:hAnsi="Times New Roman"/>
          <w:sz w:val="20"/>
          <w:szCs w:val="20"/>
          <w:u w:val="single" w:color="auto"/>
          <w:color w:val="auto"/>
        </w:rPr>
        <w:t>Alliance</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u w:val="single" w:color="auto"/>
          <w:color w:val="auto"/>
        </w:rPr>
        <w:t>Manager</w:t>
      </w:r>
      <w:r>
        <w:rPr>
          <w:rFonts w:ascii="Times New Roman" w:cs="Times New Roman" w:eastAsia="Times New Roman" w:hAnsi="Times New Roman"/>
          <w:sz w:val="20"/>
          <w:szCs w:val="20"/>
          <w:color w:val="auto"/>
        </w:rPr>
        <w:t>”). Each Party may replace its Alliance Manager at any time upon written notice to the other Party. For the avoidance of doubt, the Alliance Manager shall be an employee of the respective Party or the respective Party’s Affiliate.</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Responsibilities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280" w:hanging="637"/>
        <w:spacing w:after="0" w:line="233" w:lineRule="auto"/>
        <w:tabs>
          <w:tab w:leader="none" w:pos="1260" w:val="left"/>
        </w:tabs>
        <w:rPr>
          <w:sz w:val="20"/>
          <w:szCs w:val="20"/>
          <w:color w:val="auto"/>
        </w:rPr>
      </w:pPr>
      <w:r>
        <w:rPr>
          <w:rFonts w:ascii="Times New Roman" w:cs="Times New Roman" w:eastAsia="Times New Roman" w:hAnsi="Times New Roman"/>
          <w:sz w:val="20"/>
          <w:szCs w:val="20"/>
          <w:color w:val="auto"/>
        </w:rPr>
        <w:t>4.4.1.</w:t>
      </w:r>
      <w:r>
        <w:rPr>
          <w:sz w:val="20"/>
          <w:szCs w:val="20"/>
          <w:color w:val="auto"/>
        </w:rPr>
        <w:tab/>
      </w:r>
      <w:r>
        <w:rPr>
          <w:rFonts w:ascii="Times New Roman" w:cs="Times New Roman" w:eastAsia="Times New Roman" w:hAnsi="Times New Roman"/>
          <w:sz w:val="20"/>
          <w:szCs w:val="20"/>
          <w:u w:val="single" w:color="auto"/>
          <w:color w:val="auto"/>
        </w:rPr>
        <w:t>Responsibilities of the JSC</w:t>
      </w:r>
      <w:r>
        <w:rPr>
          <w:rFonts w:ascii="Times New Roman" w:cs="Times New Roman" w:eastAsia="Times New Roman" w:hAnsi="Times New Roman"/>
          <w:sz w:val="20"/>
          <w:szCs w:val="20"/>
          <w:color w:val="auto"/>
        </w:rPr>
        <w:t>. The JSC, subject to Sections 4.5 and 4.6, shall oversee and supervise the overall Collaboration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the relationship between the Parties hereunder, and within such scope shall:</w:t>
      </w:r>
    </w:p>
    <w:p>
      <w:pPr>
        <w:spacing w:after="0" w:line="161"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4.4.1.1.</w:t>
      </w:r>
      <w:r>
        <w:rPr>
          <w:sz w:val="20"/>
          <w:szCs w:val="20"/>
          <w:color w:val="auto"/>
        </w:rPr>
        <w:tab/>
      </w:r>
      <w:r>
        <w:rPr>
          <w:rFonts w:ascii="Times New Roman" w:cs="Times New Roman" w:eastAsia="Times New Roman" w:hAnsi="Times New Roman"/>
          <w:sz w:val="19"/>
          <w:szCs w:val="19"/>
          <w:color w:val="auto"/>
        </w:rPr>
        <w:t>define the Collaboration goals and strategic direction;</w:t>
      </w:r>
    </w:p>
    <w:p>
      <w:pPr>
        <w:spacing w:after="0" w:line="189"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4.4.1.2.</w:t>
      </w:r>
      <w:r>
        <w:rPr>
          <w:sz w:val="20"/>
          <w:szCs w:val="20"/>
          <w:color w:val="auto"/>
        </w:rPr>
        <w:tab/>
      </w:r>
      <w:r>
        <w:rPr>
          <w:rFonts w:ascii="Times New Roman" w:cs="Times New Roman" w:eastAsia="Times New Roman" w:hAnsi="Times New Roman"/>
          <w:sz w:val="19"/>
          <w:szCs w:val="19"/>
          <w:color w:val="auto"/>
        </w:rPr>
        <w:t>prioritize Projects and respective activities;</w:t>
      </w:r>
    </w:p>
    <w:p>
      <w:pPr>
        <w:spacing w:after="0" w:line="175"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4.4.1.3.</w:t>
      </w:r>
      <w:r>
        <w:rPr>
          <w:sz w:val="20"/>
          <w:szCs w:val="20"/>
          <w:color w:val="auto"/>
        </w:rPr>
        <w:tab/>
      </w:r>
      <w:r>
        <w:rPr>
          <w:rFonts w:ascii="Times New Roman" w:cs="Times New Roman" w:eastAsia="Times New Roman" w:hAnsi="Times New Roman"/>
          <w:sz w:val="19"/>
          <w:szCs w:val="19"/>
          <w:color w:val="auto"/>
        </w:rPr>
        <w:t>closely interact with Joint Project Teams and steer Projects towards achievements of Lead Candidate Criteria;</w:t>
      </w:r>
    </w:p>
    <w:p>
      <w:pPr>
        <w:spacing w:after="0" w:line="189"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4.4.1.4.</w:t>
      </w:r>
      <w:r>
        <w:rPr>
          <w:sz w:val="20"/>
          <w:szCs w:val="20"/>
          <w:color w:val="auto"/>
        </w:rPr>
        <w:tab/>
      </w:r>
      <w:r>
        <w:rPr>
          <w:rFonts w:ascii="Times New Roman" w:cs="Times New Roman" w:eastAsia="Times New Roman" w:hAnsi="Times New Roman"/>
          <w:sz w:val="19"/>
          <w:szCs w:val="19"/>
          <w:color w:val="auto"/>
        </w:rPr>
        <w:t>review the efforts of the Parties under the Collaboration Plan and the Project Plans, as reported by the JPT;</w:t>
      </w:r>
    </w:p>
    <w:p>
      <w:pPr>
        <w:spacing w:after="0" w:line="189" w:lineRule="exact"/>
        <w:rPr>
          <w:sz w:val="20"/>
          <w:szCs w:val="20"/>
          <w:color w:val="auto"/>
        </w:rPr>
      </w:pPr>
    </w:p>
    <w:p>
      <w:pPr>
        <w:jc w:val="both"/>
        <w:ind w:left="2040" w:hanging="765"/>
        <w:spacing w:after="0" w:line="215" w:lineRule="auto"/>
        <w:tabs>
          <w:tab w:leader="none" w:pos="2020" w:val="left"/>
        </w:tabs>
        <w:rPr>
          <w:sz w:val="20"/>
          <w:szCs w:val="20"/>
          <w:color w:val="auto"/>
        </w:rPr>
      </w:pPr>
      <w:r>
        <w:rPr>
          <w:rFonts w:ascii="Times New Roman" w:cs="Times New Roman" w:eastAsia="Times New Roman" w:hAnsi="Times New Roman"/>
          <w:sz w:val="20"/>
          <w:szCs w:val="20"/>
          <w:color w:val="auto"/>
        </w:rPr>
        <w:t>4.4.1.5.</w:t>
        <w:tab/>
        <w:t>approve Project Plans, and approve, with any necessary modifications, changes to the Collaboration Plan and/or Project Plans; provided that such modifications to the Project Plans are made in alignment with the respective</w:t>
      </w:r>
    </w:p>
    <w:p>
      <w:pPr>
        <w:spacing w:after="0" w:line="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Project Leaders;</w:t>
      </w:r>
    </w:p>
    <w:p>
      <w:pPr>
        <w:spacing w:after="0" w:line="167"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4.4.1.6.</w:t>
      </w:r>
      <w:r>
        <w:rPr>
          <w:sz w:val="20"/>
          <w:szCs w:val="20"/>
          <w:color w:val="auto"/>
        </w:rPr>
        <w:tab/>
      </w:r>
      <w:r>
        <w:rPr>
          <w:rFonts w:ascii="Times New Roman" w:cs="Times New Roman" w:eastAsia="Times New Roman" w:hAnsi="Times New Roman"/>
          <w:sz w:val="19"/>
          <w:szCs w:val="19"/>
          <w:color w:val="auto"/>
        </w:rPr>
        <w:t>approve the deconvolution of the target for each Project;</w:t>
      </w:r>
    </w:p>
    <w:p>
      <w:pPr>
        <w:spacing w:after="0" w:line="175" w:lineRule="exact"/>
        <w:rPr>
          <w:sz w:val="20"/>
          <w:szCs w:val="20"/>
          <w:color w:val="auto"/>
        </w:rPr>
      </w:pPr>
    </w:p>
    <w:p>
      <w:pPr>
        <w:jc w:val="both"/>
        <w:ind w:left="2040" w:hanging="765"/>
        <w:spacing w:after="0" w:line="230" w:lineRule="auto"/>
        <w:tabs>
          <w:tab w:leader="none" w:pos="2020" w:val="left"/>
        </w:tabs>
        <w:rPr>
          <w:sz w:val="20"/>
          <w:szCs w:val="20"/>
          <w:color w:val="auto"/>
        </w:rPr>
      </w:pPr>
      <w:r>
        <w:rPr>
          <w:rFonts w:ascii="Times New Roman" w:cs="Times New Roman" w:eastAsia="Times New Roman" w:hAnsi="Times New Roman"/>
          <w:sz w:val="20"/>
          <w:szCs w:val="20"/>
          <w:color w:val="auto"/>
        </w:rPr>
        <w:t>4.4.1.7.</w:t>
        <w:tab/>
        <w:t>if applicable, determine lead candidate criteria a for a Project, provided that, as a general rule, such lead candidate criteria shall correspond to the Lead Candidate Criteria, unless the Bayer representatives in the JSC agree that a deviation from such Lead Candidate Criteria would be acceptable;</w:t>
      </w:r>
    </w:p>
    <w:p>
      <w:pPr>
        <w:spacing w:after="0" w:line="149" w:lineRule="exact"/>
        <w:rPr>
          <w:sz w:val="20"/>
          <w:szCs w:val="20"/>
          <w:color w:val="auto"/>
        </w:rPr>
      </w:pPr>
    </w:p>
    <w:p>
      <w:pPr>
        <w:jc w:val="both"/>
        <w:ind w:left="2040" w:hanging="765"/>
        <w:spacing w:after="0" w:line="230" w:lineRule="auto"/>
        <w:tabs>
          <w:tab w:leader="none" w:pos="2020" w:val="left"/>
        </w:tabs>
        <w:rPr>
          <w:sz w:val="20"/>
          <w:szCs w:val="20"/>
          <w:color w:val="auto"/>
        </w:rPr>
      </w:pPr>
      <w:r>
        <w:rPr>
          <w:rFonts w:ascii="Times New Roman" w:cs="Times New Roman" w:eastAsia="Times New Roman" w:hAnsi="Times New Roman"/>
          <w:sz w:val="20"/>
          <w:szCs w:val="20"/>
          <w:color w:val="auto"/>
        </w:rPr>
        <w:t>4.4.1.8.</w:t>
        <w:tab/>
        <w:t>endorse Lead Candidate Criteria achievement and other Lead Candidate selections, always provided that the achievement of the respective Lead Candidate Criteria or Lead Candidate selection is confirmed by the Bayer Criteria Committee in accordance with Section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9" w:right="339" w:bottom="1440" w:gutter="0" w:footer="0" w:header="0"/>
        </w:sectPr>
      </w:pPr>
    </w:p>
    <w:bookmarkStart w:id="235" w:name="page236"/>
    <w:bookmarkEnd w:id="235"/>
    <w:p>
      <w:pPr>
        <w:jc w:val="both"/>
        <w:ind w:left="1400" w:hanging="765"/>
        <w:spacing w:after="0"/>
        <w:tabs>
          <w:tab w:leader="none" w:pos="1380" w:val="left"/>
        </w:tabs>
        <w:rPr>
          <w:sz w:val="20"/>
          <w:szCs w:val="20"/>
          <w:color w:val="auto"/>
        </w:rPr>
      </w:pPr>
      <w:r>
        <w:rPr>
          <w:rFonts w:ascii="Times New Roman" w:cs="Times New Roman" w:eastAsia="Times New Roman" w:hAnsi="Times New Roman"/>
          <w:sz w:val="20"/>
          <w:szCs w:val="20"/>
          <w:color w:val="auto"/>
        </w:rPr>
        <w:t>4.4.1.9.</w:t>
        <w:tab/>
        <w:t>approve the Project Leaders recommendation for Qualified Hits/ Qualified Hit Series and for Lead Series and confirm the JPT’s determination of the specific Project Compounds to be included in a Lead Series;</w:t>
      </w:r>
    </w:p>
    <w:p>
      <w:pPr>
        <w:spacing w:after="0" w:line="148" w:lineRule="exact"/>
        <w:rPr>
          <w:sz w:val="20"/>
          <w:szCs w:val="20"/>
          <w:color w:val="auto"/>
        </w:rPr>
      </w:pPr>
    </w:p>
    <w:p>
      <w:pPr>
        <w:jc w:val="both"/>
        <w:ind w:left="1420" w:hanging="765"/>
        <w:spacing w:after="0" w:line="230" w:lineRule="auto"/>
        <w:rPr>
          <w:sz w:val="20"/>
          <w:szCs w:val="20"/>
          <w:color w:val="auto"/>
        </w:rPr>
      </w:pPr>
      <w:r>
        <w:rPr>
          <w:rFonts w:ascii="Times New Roman" w:cs="Times New Roman" w:eastAsia="Times New Roman" w:hAnsi="Times New Roman"/>
          <w:sz w:val="20"/>
          <w:szCs w:val="20"/>
          <w:color w:val="auto"/>
        </w:rPr>
        <w:t xml:space="preserve">4.4.1.10. decide whether to discontinue a Project or any activities under a Project Plan, or to reduce activities under a Project Plan, whereby the JSC shall consider a reasonable wind-down period which shall not exceed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months in case the Project is discontinued;</w:t>
      </w:r>
    </w:p>
    <w:p>
      <w:pPr>
        <w:spacing w:after="0" w:line="149" w:lineRule="exact"/>
        <w:rPr>
          <w:sz w:val="20"/>
          <w:szCs w:val="20"/>
          <w:color w:val="auto"/>
        </w:rPr>
      </w:pPr>
    </w:p>
    <w:p>
      <w:pPr>
        <w:jc w:val="both"/>
        <w:ind w:left="1420" w:hanging="765"/>
        <w:spacing w:after="0"/>
        <w:rPr>
          <w:sz w:val="20"/>
          <w:szCs w:val="20"/>
          <w:color w:val="auto"/>
        </w:rPr>
      </w:pPr>
      <w:r>
        <w:rPr>
          <w:rFonts w:ascii="Times New Roman" w:cs="Times New Roman" w:eastAsia="Times New Roman" w:hAnsi="Times New Roman"/>
          <w:sz w:val="20"/>
          <w:szCs w:val="20"/>
          <w:color w:val="auto"/>
        </w:rPr>
        <w:t>4.4.1.11. form such other committees or working groups as the JSC may deem appropriate, provided that such committees may make recommendations to the JSC but may not be delegated JSC decision-making authority;</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4.4.1.12. support the filing and prosecution of the Project IP Rights;</w:t>
      </w:r>
    </w:p>
    <w:p>
      <w:pPr>
        <w:spacing w:after="0" w:line="175" w:lineRule="exact"/>
        <w:rPr>
          <w:sz w:val="20"/>
          <w:szCs w:val="20"/>
          <w:color w:val="auto"/>
        </w:rPr>
      </w:pPr>
    </w:p>
    <w:p>
      <w:pPr>
        <w:jc w:val="both"/>
        <w:ind w:left="1420" w:right="20" w:hanging="765"/>
        <w:spacing w:after="0"/>
        <w:rPr>
          <w:sz w:val="20"/>
          <w:szCs w:val="20"/>
          <w:color w:val="auto"/>
        </w:rPr>
      </w:pPr>
      <w:r>
        <w:rPr>
          <w:rFonts w:ascii="Times New Roman" w:cs="Times New Roman" w:eastAsia="Times New Roman" w:hAnsi="Times New Roman"/>
          <w:sz w:val="20"/>
          <w:szCs w:val="20"/>
          <w:color w:val="auto"/>
        </w:rPr>
        <w:t>4.4.1.13. address such other matters relating to the activities of the Parties under this Agreement as either Party may bring before the JSC, including any matters that are expressly for the JSC to decide as provided in this Agreement;</w:t>
      </w:r>
    </w:p>
    <w:p>
      <w:pPr>
        <w:spacing w:after="0" w:line="161" w:lineRule="exact"/>
        <w:rPr>
          <w:sz w:val="20"/>
          <w:szCs w:val="20"/>
          <w:color w:val="auto"/>
        </w:rPr>
      </w:pPr>
    </w:p>
    <w:p>
      <w:pPr>
        <w:jc w:val="both"/>
        <w:ind w:left="1420" w:hanging="765"/>
        <w:spacing w:after="0" w:line="233" w:lineRule="auto"/>
        <w:rPr>
          <w:sz w:val="20"/>
          <w:szCs w:val="20"/>
          <w:color w:val="auto"/>
        </w:rPr>
      </w:pPr>
      <w:r>
        <w:rPr>
          <w:rFonts w:ascii="Times New Roman" w:cs="Times New Roman" w:eastAsia="Times New Roman" w:hAnsi="Times New Roman"/>
          <w:sz w:val="20"/>
          <w:szCs w:val="20"/>
          <w:color w:val="auto"/>
        </w:rPr>
        <w:t>4.4.1.14. assist the Parties in their efforts to resolve any disputes on an informal basis, including any unresolved disputes from the Joint Project Teams;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4.4.1.15. confirm that a target or combination of targets for Project/Lead Series has been properly deconvoluted; and</w:t>
      </w:r>
    </w:p>
    <w:p>
      <w:pPr>
        <w:spacing w:after="0" w:line="189" w:lineRule="exact"/>
        <w:rPr>
          <w:sz w:val="20"/>
          <w:szCs w:val="20"/>
          <w:color w:val="auto"/>
        </w:rPr>
      </w:pPr>
    </w:p>
    <w:p>
      <w:pPr>
        <w:jc w:val="both"/>
        <w:ind w:left="1420" w:hanging="765"/>
        <w:spacing w:after="0" w:line="233" w:lineRule="auto"/>
        <w:rPr>
          <w:sz w:val="20"/>
          <w:szCs w:val="20"/>
          <w:color w:val="auto"/>
        </w:rPr>
      </w:pPr>
      <w:r>
        <w:rPr>
          <w:rFonts w:ascii="Times New Roman" w:cs="Times New Roman" w:eastAsia="Times New Roman" w:hAnsi="Times New Roman"/>
          <w:sz w:val="20"/>
          <w:szCs w:val="20"/>
          <w:color w:val="auto"/>
        </w:rPr>
        <w:t>4.4.1.16. confirm the Project Know-How, Project Compounds and Project IP Rights along with any Background IP Rights and Background Know-How that would be subject to a License Agreement under such Project.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4.4.2.</w:t>
      </w:r>
      <w:r>
        <w:rPr>
          <w:sz w:val="20"/>
          <w:szCs w:val="20"/>
          <w:color w:val="auto"/>
        </w:rPr>
        <w:tab/>
      </w:r>
      <w:r>
        <w:rPr>
          <w:rFonts w:ascii="Times New Roman" w:cs="Times New Roman" w:eastAsia="Times New Roman" w:hAnsi="Times New Roman"/>
          <w:sz w:val="19"/>
          <w:szCs w:val="19"/>
          <w:u w:val="single" w:color="auto"/>
          <w:color w:val="auto"/>
        </w:rPr>
        <w:t>Responsibilities of the Alliance Managers</w:t>
      </w:r>
      <w:r>
        <w:rPr>
          <w:rFonts w:ascii="Times New Roman" w:cs="Times New Roman" w:eastAsia="Times New Roman" w:hAnsi="Times New Roman"/>
          <w:sz w:val="19"/>
          <w:szCs w:val="19"/>
          <w:color w:val="auto"/>
        </w:rPr>
        <w:t>. The Alliance Managers shall:</w:t>
      </w:r>
    </w:p>
    <w:p>
      <w:pPr>
        <w:spacing w:after="0" w:line="189"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4.4.2.1.</w:t>
      </w:r>
      <w:r>
        <w:rPr>
          <w:sz w:val="20"/>
          <w:szCs w:val="20"/>
          <w:color w:val="auto"/>
        </w:rPr>
        <w:tab/>
      </w:r>
      <w:r>
        <w:rPr>
          <w:rFonts w:ascii="Times New Roman" w:cs="Times New Roman" w:eastAsia="Times New Roman" w:hAnsi="Times New Roman"/>
          <w:sz w:val="19"/>
          <w:szCs w:val="19"/>
          <w:color w:val="auto"/>
        </w:rPr>
        <w:t>prepare and manage the JSC meetings in particular:</w:t>
      </w:r>
    </w:p>
    <w:p>
      <w:pPr>
        <w:spacing w:after="0" w:line="189" w:lineRule="exact"/>
        <w:rPr>
          <w:sz w:val="20"/>
          <w:szCs w:val="20"/>
          <w:color w:val="auto"/>
        </w:rPr>
      </w:pPr>
    </w:p>
    <w:p>
      <w:pPr>
        <w:ind w:left="1920" w:hanging="511"/>
        <w:spacing w:after="0" w:line="229" w:lineRule="auto"/>
        <w:tabs>
          <w:tab w:leader="none" w:pos="191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notify each Party at least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in advance of each such JSC meeting (or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with respect to additional meetings requested by a Party’s members);</w:t>
      </w:r>
    </w:p>
    <w:p>
      <w:pPr>
        <w:spacing w:after="0" w:line="173" w:lineRule="exact"/>
        <w:rPr>
          <w:rFonts w:ascii="Times New Roman" w:cs="Times New Roman" w:eastAsia="Times New Roman" w:hAnsi="Times New Roman"/>
          <w:sz w:val="22"/>
          <w:szCs w:val="22"/>
          <w:color w:val="auto"/>
        </w:rPr>
      </w:pPr>
    </w:p>
    <w:p>
      <w:pPr>
        <w:ind w:left="1920" w:hanging="511"/>
        <w:spacing w:after="0"/>
        <w:tabs>
          <w:tab w:leader="none" w:pos="19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collect and organize agenda items for each such JSC meeting; and</w:t>
      </w:r>
    </w:p>
    <w:p>
      <w:pPr>
        <w:spacing w:after="0" w:line="179" w:lineRule="exact"/>
        <w:rPr>
          <w:rFonts w:ascii="Times New Roman" w:cs="Times New Roman" w:eastAsia="Times New Roman" w:hAnsi="Times New Roman"/>
          <w:sz w:val="22"/>
          <w:szCs w:val="22"/>
          <w:color w:val="auto"/>
        </w:rPr>
      </w:pPr>
    </w:p>
    <w:p>
      <w:pPr>
        <w:ind w:left="1920" w:hanging="511"/>
        <w:spacing w:after="0"/>
        <w:tabs>
          <w:tab w:leader="none" w:pos="191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prepare the written minutes of each such JSC meeting and circulate such minutes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days after such meeting for review and approval by the Parties, and identify action items to be carried out by the Parties;</w:t>
      </w:r>
    </w:p>
    <w:p>
      <w:pPr>
        <w:spacing w:after="0" w:line="148"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4.4.2.2.</w:t>
      </w:r>
      <w:r>
        <w:rPr>
          <w:sz w:val="20"/>
          <w:szCs w:val="20"/>
          <w:color w:val="auto"/>
        </w:rPr>
        <w:tab/>
      </w:r>
      <w:r>
        <w:rPr>
          <w:rFonts w:ascii="Times New Roman" w:cs="Times New Roman" w:eastAsia="Times New Roman" w:hAnsi="Times New Roman"/>
          <w:sz w:val="19"/>
          <w:szCs w:val="19"/>
          <w:color w:val="auto"/>
        </w:rPr>
        <w:t>ensure proper communication between the JSC and the JPTs;</w:t>
      </w:r>
    </w:p>
    <w:p>
      <w:pPr>
        <w:spacing w:after="0" w:line="189"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4.4.2.3.</w:t>
      </w:r>
      <w:r>
        <w:rPr>
          <w:sz w:val="20"/>
          <w:szCs w:val="20"/>
          <w:color w:val="auto"/>
        </w:rPr>
        <w:tab/>
      </w:r>
      <w:r>
        <w:rPr>
          <w:rFonts w:ascii="Times New Roman" w:cs="Times New Roman" w:eastAsia="Times New Roman" w:hAnsi="Times New Roman"/>
          <w:sz w:val="19"/>
          <w:szCs w:val="19"/>
          <w:color w:val="auto"/>
        </w:rPr>
        <w:t>have an overview on the ongoing Projects;</w:t>
      </w:r>
    </w:p>
    <w:p>
      <w:pPr>
        <w:spacing w:after="0" w:line="189"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4.4.2.4.</w:t>
      </w:r>
      <w:r>
        <w:rPr>
          <w:sz w:val="20"/>
          <w:szCs w:val="20"/>
          <w:color w:val="auto"/>
        </w:rPr>
        <w:tab/>
      </w:r>
      <w:r>
        <w:rPr>
          <w:rFonts w:ascii="Times New Roman" w:cs="Times New Roman" w:eastAsia="Times New Roman" w:hAnsi="Times New Roman"/>
          <w:sz w:val="19"/>
          <w:szCs w:val="19"/>
          <w:color w:val="auto"/>
        </w:rPr>
        <w:t>oversee the budget and resources in the Projects;</w:t>
      </w:r>
    </w:p>
    <w:p>
      <w:pPr>
        <w:spacing w:after="0" w:line="175"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4.4.2.5.</w:t>
      </w:r>
      <w:r>
        <w:rPr>
          <w:sz w:val="20"/>
          <w:szCs w:val="20"/>
          <w:color w:val="auto"/>
        </w:rPr>
        <w:tab/>
      </w:r>
      <w:r>
        <w:rPr>
          <w:rFonts w:ascii="Times New Roman" w:cs="Times New Roman" w:eastAsia="Times New Roman" w:hAnsi="Times New Roman"/>
          <w:sz w:val="19"/>
          <w:szCs w:val="19"/>
          <w:color w:val="auto"/>
        </w:rPr>
        <w:t>attempt to resolve any conflicts on an informal basis; and</w:t>
      </w:r>
    </w:p>
    <w:p>
      <w:pPr>
        <w:spacing w:after="0" w:line="183"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4.4.2.6.</w:t>
      </w:r>
      <w:r>
        <w:rPr>
          <w:sz w:val="20"/>
          <w:szCs w:val="20"/>
          <w:color w:val="auto"/>
        </w:rPr>
        <w:tab/>
      </w:r>
      <w:r>
        <w:rPr>
          <w:rFonts w:ascii="Times New Roman" w:cs="Times New Roman" w:eastAsia="Times New Roman" w:hAnsi="Times New Roman"/>
          <w:sz w:val="19"/>
          <w:szCs w:val="19"/>
          <w:color w:val="auto"/>
        </w:rPr>
        <w:t>be the first point of contact for external communication (press releases, presentations at partnering conferences etc.)</w:t>
      </w:r>
    </w:p>
    <w:p>
      <w:pPr>
        <w:ind w:left="1420"/>
        <w:spacing w:after="0" w:line="204" w:lineRule="auto"/>
        <w:rPr>
          <w:sz w:val="20"/>
          <w:szCs w:val="20"/>
          <w:color w:val="auto"/>
        </w:rPr>
      </w:pPr>
      <w:r>
        <w:rPr>
          <w:rFonts w:ascii="Times New Roman" w:cs="Times New Roman" w:eastAsia="Times New Roman" w:hAnsi="Times New Roman"/>
          <w:sz w:val="20"/>
          <w:szCs w:val="20"/>
          <w:color w:val="auto"/>
        </w:rPr>
        <w:t>regarding this Agreement and the Projects and be responsible for ensuring alignment with their internal communication functions. All such external communications must be made in accordance with Sections 13 and</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600"/>
          </w:cols>
          <w:pgMar w:left="960" w:top="1399" w:right="339" w:bottom="1440" w:gutter="0" w:footer="0" w:header="0"/>
        </w:sectPr>
      </w:pPr>
    </w:p>
    <w:bookmarkStart w:id="236" w:name="page237"/>
    <w:bookmarkEnd w:id="236"/>
    <w:p>
      <w:pPr>
        <w:spacing w:after="0"/>
        <w:tabs>
          <w:tab w:leader="none" w:pos="6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Decision-Making and Amicable Dispute Resolution</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128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4.5.1.</w:t>
        <w:tab/>
        <w:t>Decisions of the JSC shall be unanimous (with Bayer JSC Members collectively having one vote and Recursion JSC Members collectively having one vote).</w:t>
      </w:r>
    </w:p>
    <w:p>
      <w:pPr>
        <w:spacing w:after="0" w:line="134" w:lineRule="exact"/>
        <w:rPr>
          <w:sz w:val="20"/>
          <w:szCs w:val="20"/>
          <w:color w:val="auto"/>
        </w:rPr>
      </w:pPr>
    </w:p>
    <w:p>
      <w:pPr>
        <w:jc w:val="both"/>
        <w:ind w:left="1280"/>
        <w:spacing w:after="0"/>
        <w:rPr>
          <w:sz w:val="20"/>
          <w:szCs w:val="20"/>
          <w:color w:val="auto"/>
        </w:rPr>
      </w:pPr>
      <w:r>
        <w:rPr>
          <w:rFonts w:ascii="Times New Roman" w:cs="Times New Roman" w:eastAsia="Times New Roman" w:hAnsi="Times New Roman"/>
          <w:sz w:val="20"/>
          <w:szCs w:val="20"/>
          <w:color w:val="auto"/>
        </w:rPr>
        <w:t>On matters which the JSC cannot reach a unanimous decision and subject to the limitations set forth in Section 4.5.2 and 4.6, the Bayer JSC Members shall have the casting vote.</w:t>
      </w:r>
    </w:p>
    <w:p>
      <w:pPr>
        <w:spacing w:after="0" w:line="134" w:lineRule="exact"/>
        <w:rPr>
          <w:sz w:val="20"/>
          <w:szCs w:val="20"/>
          <w:color w:val="auto"/>
        </w:rPr>
      </w:pPr>
    </w:p>
    <w:p>
      <w:pPr>
        <w:ind w:left="128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4.5.2.</w:t>
        <w:tab/>
        <w:t>The following matters shall only be adopted or decided by unanimous decision of the Recursion and Bayer JSC Members and Bayer shall have no casting vote with respect to such matters:</w:t>
      </w:r>
    </w:p>
    <w:p>
      <w:pPr>
        <w:spacing w:after="0" w:line="161"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4.5.2.1.</w:t>
      </w:r>
      <w:r>
        <w:rPr>
          <w:sz w:val="20"/>
          <w:szCs w:val="20"/>
          <w:color w:val="auto"/>
        </w:rPr>
        <w:tab/>
      </w:r>
      <w:r>
        <w:rPr>
          <w:rFonts w:ascii="Times New Roman" w:cs="Times New Roman" w:eastAsia="Times New Roman" w:hAnsi="Times New Roman"/>
          <w:sz w:val="19"/>
          <w:szCs w:val="19"/>
          <w:color w:val="auto"/>
        </w:rPr>
        <w:t>change of the Collaboration goals and strategic direction;</w:t>
      </w:r>
    </w:p>
    <w:p>
      <w:pPr>
        <w:spacing w:after="0" w:line="175"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4.5.2.2.</w:t>
      </w:r>
      <w:r>
        <w:rPr>
          <w:sz w:val="20"/>
          <w:szCs w:val="20"/>
          <w:color w:val="auto"/>
        </w:rPr>
        <w:tab/>
      </w:r>
      <w:r>
        <w:rPr>
          <w:rFonts w:ascii="Times New Roman" w:cs="Times New Roman" w:eastAsia="Times New Roman" w:hAnsi="Times New Roman"/>
          <w:sz w:val="19"/>
          <w:szCs w:val="19"/>
          <w:color w:val="auto"/>
        </w:rPr>
        <w:t>changes to the Collaboration Plan;</w:t>
      </w:r>
    </w:p>
    <w:p>
      <w:pPr>
        <w:spacing w:after="0" w:line="189"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20"/>
          <w:szCs w:val="20"/>
          <w:color w:val="auto"/>
        </w:rPr>
        <w:t>4.5.2.3.</w:t>
      </w:r>
      <w:r>
        <w:rPr>
          <w:sz w:val="20"/>
          <w:szCs w:val="20"/>
          <w:color w:val="auto"/>
        </w:rPr>
        <w:tab/>
      </w:r>
      <w:r>
        <w:rPr>
          <w:rFonts w:ascii="Times New Roman" w:cs="Times New Roman" w:eastAsia="Times New Roman" w:hAnsi="Times New Roman"/>
          <w:sz w:val="19"/>
          <w:szCs w:val="19"/>
          <w:color w:val="auto"/>
        </w:rPr>
        <w:t>approval of, or changes to, the Project Plans.</w:t>
      </w:r>
    </w:p>
    <w:p>
      <w:pPr>
        <w:spacing w:after="0" w:line="18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4.5.3.</w:t>
      </w:r>
      <w:r>
        <w:rPr>
          <w:sz w:val="20"/>
          <w:szCs w:val="20"/>
          <w:color w:val="auto"/>
        </w:rPr>
        <w:tab/>
      </w:r>
      <w:r>
        <w:rPr>
          <w:rFonts w:ascii="Times New Roman" w:cs="Times New Roman" w:eastAsia="Times New Roman" w:hAnsi="Times New Roman"/>
          <w:sz w:val="19"/>
          <w:szCs w:val="19"/>
          <w:color w:val="auto"/>
        </w:rPr>
        <w:t>If the JSC cannot reach a unanimous decision on the matters set forth in Section 4.5.2 the following shall apply:</w:t>
      </w:r>
    </w:p>
    <w:p>
      <w:pPr>
        <w:spacing w:after="0" w:line="175" w:lineRule="exact"/>
        <w:rPr>
          <w:sz w:val="20"/>
          <w:szCs w:val="20"/>
          <w:color w:val="auto"/>
        </w:rPr>
      </w:pPr>
    </w:p>
    <w:p>
      <w:pPr>
        <w:jc w:val="both"/>
        <w:ind w:left="1280"/>
        <w:spacing w:after="0" w:line="222" w:lineRule="auto"/>
        <w:rPr>
          <w:sz w:val="20"/>
          <w:szCs w:val="20"/>
          <w:color w:val="auto"/>
        </w:rPr>
      </w:pPr>
      <w:r>
        <w:rPr>
          <w:rFonts w:ascii="Times New Roman" w:cs="Times New Roman" w:eastAsia="Times New Roman" w:hAnsi="Times New Roman"/>
          <w:sz w:val="20"/>
          <w:szCs w:val="20"/>
          <w:color w:val="auto"/>
        </w:rPr>
        <w:t>The Recursion and Bayer JSC Members shall first try to resolve such matter in a second JSC meeting to be held within twenty (20) Business Days from the JSC meeting in which such matter remained unsolved. If the JSC is again unable to</w:t>
      </w:r>
    </w:p>
    <w:p>
      <w:pPr>
        <w:spacing w:after="0" w:line="2" w:lineRule="exact"/>
        <w:rPr>
          <w:sz w:val="20"/>
          <w:szCs w:val="20"/>
          <w:color w:val="auto"/>
        </w:rPr>
      </w:pPr>
    </w:p>
    <w:p>
      <w:pPr>
        <w:jc w:val="both"/>
        <w:ind w:left="1280"/>
        <w:spacing w:after="0" w:line="215" w:lineRule="auto"/>
        <w:rPr>
          <w:sz w:val="20"/>
          <w:szCs w:val="20"/>
          <w:color w:val="auto"/>
        </w:rPr>
      </w:pPr>
      <w:r>
        <w:rPr>
          <w:rFonts w:ascii="Times New Roman" w:cs="Times New Roman" w:eastAsia="Times New Roman" w:hAnsi="Times New Roman"/>
          <w:sz w:val="19"/>
          <w:szCs w:val="19"/>
          <w:color w:val="auto"/>
        </w:rPr>
        <w:t>resolve such matter the Recursion and/or the Bayer JSC Members can refer the matter to senior representatives of each Party for resolution. Such individuals shall convene for a meeting (by audio or video conference or in presence) and shall endeavor</w:t>
      </w:r>
    </w:p>
    <w:p>
      <w:pPr>
        <w:ind w:left="1280"/>
        <w:spacing w:after="0"/>
        <w:rPr>
          <w:sz w:val="20"/>
          <w:szCs w:val="20"/>
          <w:color w:val="auto"/>
        </w:rPr>
      </w:pPr>
      <w:r>
        <w:rPr>
          <w:rFonts w:ascii="Times New Roman" w:cs="Times New Roman" w:eastAsia="Times New Roman" w:hAnsi="Times New Roman"/>
          <w:sz w:val="20"/>
          <w:szCs w:val="20"/>
          <w:color w:val="auto"/>
        </w:rPr>
        <w:t>in good faith to resolve such matter within thirty (30) Business Days following such referral.</w:t>
      </w:r>
    </w:p>
    <w:p>
      <w:pPr>
        <w:spacing w:after="0" w:line="153" w:lineRule="exact"/>
        <w:rPr>
          <w:sz w:val="20"/>
          <w:szCs w:val="20"/>
          <w:color w:val="auto"/>
        </w:rPr>
      </w:pPr>
    </w:p>
    <w:p>
      <w:pPr>
        <w:jc w:val="both"/>
        <w:ind w:left="1280"/>
        <w:spacing w:after="0" w:line="230" w:lineRule="auto"/>
        <w:rPr>
          <w:sz w:val="20"/>
          <w:szCs w:val="20"/>
          <w:color w:val="auto"/>
        </w:rPr>
      </w:pPr>
      <w:r>
        <w:rPr>
          <w:rFonts w:ascii="Times New Roman" w:cs="Times New Roman" w:eastAsia="Times New Roman" w:hAnsi="Times New Roman"/>
          <w:sz w:val="20"/>
          <w:szCs w:val="20"/>
          <w:color w:val="auto"/>
        </w:rPr>
        <w:t>If the Parties cannot resolve the matter within such period, the matter shall be deemed as finally rejected, without recourse to any further escalation or dispute resolution procedure. Notwithstanding the foregoing, the Parties termination rights with regard to a particular Project or the complete Agreement remain unimpaired.</w:t>
      </w:r>
    </w:p>
    <w:p>
      <w:pPr>
        <w:spacing w:after="0" w:line="149" w:lineRule="exact"/>
        <w:rPr>
          <w:sz w:val="20"/>
          <w:szCs w:val="20"/>
          <w:color w:val="auto"/>
        </w:rPr>
      </w:pPr>
    </w:p>
    <w:p>
      <w:pPr>
        <w:jc w:val="both"/>
        <w:ind w:left="640" w:hanging="637"/>
        <w:spacing w:after="0" w:line="222" w:lineRule="auto"/>
        <w:tabs>
          <w:tab w:leader="none" w:pos="62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u w:val="single" w:color="auto"/>
          <w:color w:val="auto"/>
        </w:rPr>
        <w:t>Limitations on JSC Authority</w:t>
      </w:r>
      <w:r>
        <w:rPr>
          <w:rFonts w:ascii="Times New Roman" w:cs="Times New Roman" w:eastAsia="Times New Roman" w:hAnsi="Times New Roman"/>
          <w:sz w:val="20"/>
          <w:szCs w:val="20"/>
          <w:color w:val="auto"/>
        </w:rPr>
        <w:t>. Each Party shall retain the rights, powers and discretion granted to it under this Agreement and no</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such rights, powers, or discretion shall be delegated to or vested in the JSC unless such delegation or vesting of rights is expressly</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provided for in this Agreement or the Parties expressly so agree in writing. It is understood and agreed that issues to be formally decided by the JSC are limited to those specific issues that are expressly provided in Section 4.4 of this Agreement and the disputes</w:t>
      </w:r>
    </w:p>
    <w:p>
      <w:pPr>
        <w:ind w:left="640"/>
        <w:spacing w:after="0" w:line="211" w:lineRule="auto"/>
        <w:rPr>
          <w:sz w:val="20"/>
          <w:szCs w:val="20"/>
          <w:color w:val="auto"/>
        </w:rPr>
      </w:pPr>
      <w:r>
        <w:rPr>
          <w:rFonts w:ascii="Times New Roman" w:cs="Times New Roman" w:eastAsia="Times New Roman" w:hAnsi="Times New Roman"/>
          <w:sz w:val="20"/>
          <w:szCs w:val="20"/>
          <w:color w:val="auto"/>
        </w:rPr>
        <w:t>which relate to the subjects other than those set forth in Section 4.4 will be handled according to Article 16. None of the JSC, Bayer</w:t>
      </w:r>
    </w:p>
    <w:p>
      <w:pPr>
        <w:spacing w:after="0" w:line="1" w:lineRule="exact"/>
        <w:rPr>
          <w:sz w:val="20"/>
          <w:szCs w:val="20"/>
          <w:color w:val="auto"/>
        </w:rPr>
      </w:pP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via exercise of its final decision-making authority as specified in Section 4.5.1, or the JPT shall have the power to determine any issue in a manner that would (a) conflict with the terms and conditions of this Agreement (except as specified in Section 3.3), (b)</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modify or amend this Agreement, or (c) determine whether either Party has breached this Agreement or resolve any dispute regarding the existence or amount of any payment owed under this Agreement.</w:t>
      </w:r>
    </w:p>
    <w:p>
      <w:pPr>
        <w:spacing w:after="0" w:line="149" w:lineRule="exact"/>
        <w:rPr>
          <w:sz w:val="20"/>
          <w:szCs w:val="20"/>
          <w:color w:val="auto"/>
        </w:rPr>
      </w:pPr>
    </w:p>
    <w:p>
      <w:pPr>
        <w:jc w:val="both"/>
        <w:ind w:left="640" w:hanging="63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u w:val="single" w:color="auto"/>
          <w:color w:val="auto"/>
        </w:rPr>
        <w:t>Discontinuation of Projects</w:t>
      </w:r>
      <w:r>
        <w:rPr>
          <w:rFonts w:ascii="Times New Roman" w:cs="Times New Roman" w:eastAsia="Times New Roman" w:hAnsi="Times New Roman"/>
          <w:sz w:val="20"/>
          <w:szCs w:val="20"/>
          <w:color w:val="auto"/>
        </w:rPr>
        <w:t>. In the event that a Project is discontinued in accordance with Sections 3.1.4, 3.1.6, 3.1.7, 3.2.4, 4.4.1.10,</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or as otherwise provided for in this Agreement, the Parties shall cooperate with each other in winding down their activities under the respective Project.</w:t>
      </w:r>
    </w:p>
    <w:p>
      <w:pPr>
        <w:spacing w:after="0" w:line="149" w:lineRule="exact"/>
        <w:rPr>
          <w:sz w:val="20"/>
          <w:szCs w:val="20"/>
          <w:color w:val="auto"/>
        </w:rPr>
      </w:pPr>
    </w:p>
    <w:p>
      <w:pPr>
        <w:jc w:val="both"/>
        <w:ind w:left="640" w:hanging="637"/>
        <w:spacing w:after="0" w:line="222" w:lineRule="auto"/>
        <w:tabs>
          <w:tab w:leader="none" w:pos="62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u w:val="single" w:color="auto"/>
          <w:color w:val="auto"/>
        </w:rPr>
        <w:t>Bayer Criteria Committee</w:t>
      </w:r>
      <w:r>
        <w:rPr>
          <w:rFonts w:ascii="Times New Roman" w:cs="Times New Roman" w:eastAsia="Times New Roman" w:hAnsi="Times New Roman"/>
          <w:sz w:val="20"/>
          <w:szCs w:val="20"/>
          <w:color w:val="auto"/>
        </w:rPr>
        <w:t>. Bayer shall establish or designate a committee, internal to Bayer and in accordance with Bayer’s internal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guidelines, as the “</w:t>
      </w:r>
      <w:r>
        <w:rPr>
          <w:rFonts w:ascii="Times New Roman" w:cs="Times New Roman" w:eastAsia="Times New Roman" w:hAnsi="Times New Roman"/>
          <w:sz w:val="20"/>
          <w:szCs w:val="20"/>
          <w:b w:val="1"/>
          <w:bCs w:val="1"/>
          <w:color w:val="auto"/>
        </w:rPr>
        <w:t>Bayer Criteria Committee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The Bayer Criteria Committee shall have authority only to approve or reject</w:t>
      </w:r>
    </w:p>
    <w:p>
      <w:pPr>
        <w:spacing w:after="0" w:line="2"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Project Compounds endorsed by the JSC pursuant to Section 4.4.1.8 as Lead Candidates in accordance with the foregoing, and shall have no other decision-making authority under this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9" w:right="339" w:bottom="1440" w:gutter="0" w:footer="0" w:header="0"/>
        </w:sectPr>
      </w:pPr>
    </w:p>
    <w:bookmarkStart w:id="237" w:name="page238"/>
    <w:bookmarkEnd w:id="237"/>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Chapter C – Financials</w:t>
      </w:r>
    </w:p>
    <w:p>
      <w:pPr>
        <w:spacing w:after="0" w:line="202"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Upfront Payment, Achievement Lead Candidate Criteria Fee</w:t>
      </w:r>
    </w:p>
    <w:p>
      <w:pPr>
        <w:spacing w:after="0" w:line="170"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Original Agreement Upfront Payment</w:t>
      </w:r>
      <w:r>
        <w:rPr>
          <w:rFonts w:ascii="Times New Roman" w:cs="Times New Roman" w:eastAsia="Times New Roman" w:hAnsi="Times New Roman"/>
          <w:sz w:val="20"/>
          <w:szCs w:val="20"/>
          <w:color w:val="auto"/>
        </w:rPr>
        <w:t>. The Parties agree and acknowledge that (i) in consideration for the rights granted under the Original Agreement, Bayer paid a one-time lump-sum fee in the amount of US $ 30,000,000 (in words thirty million US Dollars)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Agreement Upfront Payment</w:t>
      </w:r>
      <w:r>
        <w:rPr>
          <w:rFonts w:ascii="Times New Roman" w:cs="Times New Roman" w:eastAsia="Times New Roman" w:hAnsi="Times New Roman"/>
          <w:sz w:val="20"/>
          <w:szCs w:val="20"/>
          <w:color w:val="auto"/>
        </w:rPr>
        <w:t>”), which was non-refundable and non-creditable.</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u w:val="single" w:color="auto"/>
          <w:color w:val="auto"/>
        </w:rPr>
        <w:t>Other costs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ADDITIONAL PAYMENTS AFTER OPTION EXERCISE</w:t>
      </w:r>
    </w:p>
    <w:p>
      <w:pPr>
        <w:spacing w:after="0" w:line="170" w:lineRule="exact"/>
        <w:rPr>
          <w:sz w:val="20"/>
          <w:szCs w:val="20"/>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Subject to Bayer’s exercise of the Bayer Lead Series Option with regard to a Project and the execution of a respective License Agreement, Bayer shall pay Recursion, as consideration for the licenses granted by Recursion to Bayer, the option exercise fee, milestone payments and royalties set forth in the License Agreement.</w:t>
      </w:r>
    </w:p>
    <w:p>
      <w:pPr>
        <w:spacing w:after="0" w:line="158"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GENERAL PAYMENT PROVISIONS</w:t>
      </w:r>
    </w:p>
    <w:p>
      <w:pPr>
        <w:spacing w:after="0" w:line="170"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u w:val="single" w:color="auto"/>
          <w:color w:val="auto"/>
        </w:rPr>
        <w:t>Payment Rule</w:t>
      </w:r>
      <w:r>
        <w:rPr>
          <w:rFonts w:ascii="Times New Roman" w:cs="Times New Roman" w:eastAsia="Times New Roman" w:hAnsi="Times New Roman"/>
          <w:sz w:val="20"/>
          <w:szCs w:val="20"/>
          <w:color w:val="auto"/>
        </w:rPr>
        <w:t>. Unless otherwise agreed herein, all payments under this Agreement shall be made within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days after receipt of a</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correct invoice that is compliant with this Agreement.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Payment Address</w:t>
      </w:r>
      <w:r>
        <w:rPr>
          <w:rFonts w:ascii="Times New Roman" w:cs="Times New Roman" w:eastAsia="Times New Roman" w:hAnsi="Times New Roman"/>
          <w:sz w:val="19"/>
          <w:szCs w:val="19"/>
          <w:color w:val="auto"/>
        </w:rPr>
        <w:t>. All invoices of Recursion shall be sent to the following address: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Bayer AG</w:t>
      </w:r>
    </w:p>
    <w:p>
      <w:pPr>
        <w:jc w:val="center"/>
        <w:spacing w:after="0" w:line="200" w:lineRule="auto"/>
        <w:rPr>
          <w:sz w:val="20"/>
          <w:szCs w:val="20"/>
          <w:color w:val="auto"/>
        </w:rPr>
      </w:pPr>
      <w:r>
        <w:rPr>
          <w:rFonts w:ascii="Times New Roman" w:cs="Times New Roman" w:eastAsia="Times New Roman" w:hAnsi="Times New Roman"/>
          <w:sz w:val="18"/>
          <w:szCs w:val="18"/>
          <w:b w:val="1"/>
          <w:bCs w:val="1"/>
          <w:color w:val="auto"/>
        </w:rPr>
        <w:t>[***]</w:t>
      </w:r>
    </w:p>
    <w:p>
      <w:pPr>
        <w:jc w:val="center"/>
        <w:spacing w:after="0" w:line="211" w:lineRule="auto"/>
        <w:rPr>
          <w:sz w:val="20"/>
          <w:szCs w:val="20"/>
          <w:color w:val="auto"/>
        </w:rPr>
      </w:pPr>
      <w:r>
        <w:rPr>
          <w:rFonts w:ascii="Times New Roman" w:cs="Times New Roman" w:eastAsia="Times New Roman" w:hAnsi="Times New Roman"/>
          <w:sz w:val="20"/>
          <w:szCs w:val="20"/>
          <w:color w:val="auto"/>
        </w:rPr>
        <w:t>51368 Leverkusen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Germany</w:t>
      </w:r>
    </w:p>
    <w:p>
      <w:pPr>
        <w:spacing w:after="0" w:line="167" w:lineRule="exact"/>
        <w:rPr>
          <w:sz w:val="20"/>
          <w:szCs w:val="20"/>
          <w:color w:val="auto"/>
        </w:rPr>
      </w:pPr>
    </w:p>
    <w:p>
      <w:pPr>
        <w:ind w:left="640"/>
        <w:spacing w:after="0" w:line="233" w:lineRule="auto"/>
        <w:rPr>
          <w:sz w:val="20"/>
          <w:szCs w:val="20"/>
          <w:color w:val="auto"/>
        </w:rPr>
      </w:pPr>
      <w:r>
        <w:rPr>
          <w:rFonts w:ascii="Times New Roman" w:cs="Times New Roman" w:eastAsia="Times New Roman" w:hAnsi="Times New Roman"/>
          <w:sz w:val="20"/>
          <w:szCs w:val="20"/>
          <w:color w:val="auto"/>
        </w:rPr>
        <w:t>Each invoice for payments mentioning the aforementioned address and reference shall be sent electronically in portable document format (pdf) via email without electronic signature (“pdf-invoicing”), to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@bayer.com</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thus replacing a corresponding paper form.</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Bank Account</w:t>
      </w:r>
      <w:r>
        <w:rPr>
          <w:rFonts w:ascii="Times New Roman" w:cs="Times New Roman" w:eastAsia="Times New Roman" w:hAnsi="Times New Roman"/>
          <w:sz w:val="20"/>
          <w:szCs w:val="20"/>
          <w:color w:val="auto"/>
        </w:rPr>
        <w:t>. All payments to Recursion under this Agreement shall be made by wire transfer to the following bank account of Recursion, or such other bank account as notified by Recursion to Bayer at least fifteen (15) Business Days prior to the payment date:</w:t>
      </w:r>
    </w:p>
    <w:p>
      <w:pPr>
        <w:spacing w:after="0" w:line="1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For ACH delivery:</w:t>
      </w:r>
    </w:p>
    <w:p>
      <w:pPr>
        <w:ind w:left="19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For Wire Transfers:</w:t>
      </w:r>
    </w:p>
    <w:p>
      <w:pPr>
        <w:ind w:left="1960"/>
        <w:spacing w:after="0" w:line="200" w:lineRule="auto"/>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jc w:val="right"/>
        <w:spacing w:after="0" w:line="21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Late Payments</w:t>
      </w:r>
      <w:r>
        <w:rPr>
          <w:rFonts w:ascii="Times New Roman" w:cs="Times New Roman" w:eastAsia="Times New Roman" w:hAnsi="Times New Roman"/>
          <w:sz w:val="20"/>
          <w:szCs w:val="20"/>
          <w:color w:val="auto"/>
        </w:rPr>
        <w:t xml:space="preserve">. All payments not made by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after the respective Payment Date set out in this Agreement shall be subject to Late Payment interest at the United States Secured Overnight Financing Rate (“</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currently published on Bloomberg screen</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SOFRRATE Index, fixed two Business Days prior to the respective Payment Date and reset to the prevailing SOFR at monthly intervals thereafter, plus a premium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(or the maximum applicable legal rate of interest if lower). Interest shall be calculated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based on the actual number of days in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38" w:name="page239"/>
    <w:bookmarkEnd w:id="238"/>
    <w:p>
      <w:pPr>
        <w:ind w:left="640"/>
        <w:spacing w:after="0"/>
        <w:rPr>
          <w:sz w:val="20"/>
          <w:szCs w:val="20"/>
          <w:color w:val="auto"/>
        </w:rPr>
      </w:pPr>
      <w:r>
        <w:rPr>
          <w:rFonts w:ascii="Times New Roman" w:cs="Times New Roman" w:eastAsia="Times New Roman" w:hAnsi="Times New Roman"/>
          <w:sz w:val="20"/>
          <w:szCs w:val="20"/>
          <w:color w:val="auto"/>
        </w:rPr>
        <w:t>period divided by 360 and shall be calculated from the respective Payment Date (inclusive) until the date of payment (exclusive).</w:t>
      </w:r>
    </w:p>
    <w:p>
      <w:pPr>
        <w:spacing w:after="0" w:line="189"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Value Added Tax</w:t>
      </w:r>
      <w:r>
        <w:rPr>
          <w:rFonts w:ascii="Times New Roman" w:cs="Times New Roman" w:eastAsia="Times New Roman" w:hAnsi="Times New Roman"/>
          <w:sz w:val="20"/>
          <w:szCs w:val="20"/>
          <w:color w:val="auto"/>
        </w:rPr>
        <w:t>. All agreed consideration is exclusive of “VAT” (European Value Added Tax, goods and service tax and similar taxes). If VAT is applicable, VAT shall be invoiced additionally according to applicable VAT law. Such VAT shall be paid to</w:t>
      </w:r>
    </w:p>
    <w:p>
      <w:pPr>
        <w:ind w:left="640"/>
        <w:spacing w:after="0" w:line="224" w:lineRule="auto"/>
        <w:rPr>
          <w:sz w:val="20"/>
          <w:szCs w:val="20"/>
          <w:color w:val="auto"/>
        </w:rPr>
      </w:pPr>
      <w:r>
        <w:rPr>
          <w:rFonts w:ascii="Times New Roman" w:cs="Times New Roman" w:eastAsia="Times New Roman" w:hAnsi="Times New Roman"/>
          <w:sz w:val="19"/>
          <w:szCs w:val="19"/>
          <w:color w:val="auto"/>
        </w:rPr>
        <w:t>Recursion only if Recursion is obliged to transfer such VAT to respective tax authorities and after receipt of a corresponding invoice.</w:t>
      </w:r>
    </w:p>
    <w:p>
      <w:pPr>
        <w:ind w:left="640"/>
        <w:spacing w:after="0"/>
        <w:rPr>
          <w:sz w:val="20"/>
          <w:szCs w:val="20"/>
          <w:color w:val="auto"/>
        </w:rPr>
      </w:pPr>
      <w:r>
        <w:rPr>
          <w:rFonts w:ascii="Times New Roman" w:cs="Times New Roman" w:eastAsia="Times New Roman" w:hAnsi="Times New Roman"/>
          <w:sz w:val="20"/>
          <w:szCs w:val="20"/>
          <w:color w:val="auto"/>
        </w:rPr>
        <w:t>Recursion shall issue correct invoices in accordance with the applicable VAT law.</w:t>
      </w:r>
    </w:p>
    <w:p>
      <w:pPr>
        <w:spacing w:after="0" w:line="153"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Any Party required to make a payment pursuant to this Agreement shall be entitled to deduct and withhold from the amount payable the tax for which paying Party on behalf of payee is liable under any provisions of Applicable Law (such tax,</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Tax</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640"/>
        <w:spacing w:after="0" w:line="234" w:lineRule="auto"/>
        <w:rPr>
          <w:sz w:val="20"/>
          <w:szCs w:val="20"/>
          <w:color w:val="auto"/>
        </w:rPr>
      </w:pPr>
      <w:r>
        <w:rPr>
          <w:rFonts w:ascii="Times New Roman" w:cs="Times New Roman" w:eastAsia="Times New Roman" w:hAnsi="Times New Roman"/>
          <w:sz w:val="19"/>
          <w:szCs w:val="19"/>
          <w:color w:val="auto"/>
        </w:rPr>
        <w:t>If the Withholding Tax rate is reduced according to the regulations in the Double Tax Treaty no deduction shall be made or a reduced amount shall be deducted only if paying Party is timely furnished with necessary documents (Freistellungsbescheid) by payee issued</w:t>
      </w:r>
    </w:p>
    <w:p>
      <w:pPr>
        <w:spacing w:after="0" w:line="1"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from the German Tax Authority (Bundeszentralamt für Steuern), certifying that the payment is exempt from Withholding Tax or subject to a reduced Withholding Tax rate.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Any withheld Withholding Tax shall be treated as having been paid by paying Party to payee for all purposes of this Agreement.</w:t>
      </w:r>
    </w:p>
    <w:p>
      <w:pPr>
        <w:ind w:left="640"/>
        <w:spacing w:after="0" w:line="204" w:lineRule="auto"/>
        <w:rPr>
          <w:sz w:val="20"/>
          <w:szCs w:val="20"/>
          <w:color w:val="auto"/>
        </w:rPr>
      </w:pPr>
      <w:r>
        <w:rPr>
          <w:rFonts w:ascii="Times New Roman" w:cs="Times New Roman" w:eastAsia="Times New Roman" w:hAnsi="Times New Roman"/>
          <w:sz w:val="20"/>
          <w:szCs w:val="20"/>
          <w:color w:val="auto"/>
        </w:rPr>
        <w:t>Paying Party shall timely forward to the payee the tax receipts certifying the payments of Withholding Tax on behalf of payee. In case paying Party must pay, but cannot deduct the Withholding Tax due to fulfilment and completion of its payment obligation by</w:t>
      </w:r>
    </w:p>
    <w:p>
      <w:pPr>
        <w:ind w:left="640"/>
        <w:spacing w:after="0" w:line="211" w:lineRule="auto"/>
        <w:rPr>
          <w:sz w:val="20"/>
          <w:szCs w:val="20"/>
          <w:color w:val="auto"/>
        </w:rPr>
      </w:pPr>
      <w:r>
        <w:rPr>
          <w:rFonts w:ascii="Times New Roman" w:cs="Times New Roman" w:eastAsia="Times New Roman" w:hAnsi="Times New Roman"/>
          <w:sz w:val="20"/>
          <w:szCs w:val="20"/>
          <w:color w:val="auto"/>
        </w:rPr>
        <w:t>settlement or set-off, payee will pay the Withholding Tax to paying Party separately. If paying Party reasonably failed to deduct</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Withholding Tax, but is still required by Applicable Law to pay such Withholding Tax on account of payee to the tax authorities, payee shall reasonably assist paying Party with regard to all procedures required in order to obtain reimbursement by tax authorities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or, in case tax authorities will not reimburse withholding tax to paying Party, payee will immediately refund the tax amount.</w:t>
      </w:r>
    </w:p>
    <w:p>
      <w:pPr>
        <w:spacing w:after="0" w:line="153"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3.4    Notwithstanding anything in this Agreement to the contrary, if any assignment by a Party of its rights or obligations under this Agreement without the consent of the other Party results in the imposition of Withholding Tax on a payment to be made by such</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Party that would not have been imposed in the absence of such assignment (or in an increase in Withholding Tax from the amount that would have been imposed in the absence of such assignment) and the Parties cannot reasonably cooperate as described above to</w:t>
      </w:r>
    </w:p>
    <w:p>
      <w:pPr>
        <w:ind w:left="640"/>
        <w:spacing w:after="0" w:line="223" w:lineRule="auto"/>
        <w:rPr>
          <w:sz w:val="20"/>
          <w:szCs w:val="20"/>
          <w:color w:val="auto"/>
        </w:rPr>
      </w:pPr>
      <w:r>
        <w:rPr>
          <w:rFonts w:ascii="Times New Roman" w:cs="Times New Roman" w:eastAsia="Times New Roman" w:hAnsi="Times New Roman"/>
          <w:sz w:val="19"/>
          <w:szCs w:val="19"/>
          <w:color w:val="auto"/>
        </w:rPr>
        <w:t>eliminate such additional Withholding Tax, then the amount payable by the assigning Party shall be increased to the extent necessary</w:t>
      </w:r>
    </w:p>
    <w:p>
      <w:pPr>
        <w:ind w:left="640"/>
        <w:spacing w:after="0" w:line="233" w:lineRule="auto"/>
        <w:rPr>
          <w:sz w:val="20"/>
          <w:szCs w:val="20"/>
          <w:color w:val="auto"/>
        </w:rPr>
      </w:pPr>
      <w:r>
        <w:rPr>
          <w:rFonts w:ascii="Times New Roman" w:cs="Times New Roman" w:eastAsia="Times New Roman" w:hAnsi="Times New Roman"/>
          <w:sz w:val="19"/>
          <w:szCs w:val="19"/>
          <w:color w:val="auto"/>
        </w:rPr>
        <w:t>to ensure that the other Party receives a net amount equal to the amount that it would have received had no such assignment occurred (taking into account any Withholding Tax on such additional amounts), unless the payee has approved or requested this assignment.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To the extent relevant for U.S. federal income tax purposes, the Parties intend to treat the payments contemplated by this Agreement</w:t>
      </w:r>
    </w:p>
    <w:p>
      <w:pPr>
        <w:ind w:left="640"/>
        <w:spacing w:after="0" w:line="204" w:lineRule="auto"/>
        <w:rPr>
          <w:sz w:val="20"/>
          <w:szCs w:val="20"/>
          <w:color w:val="auto"/>
        </w:rPr>
      </w:pPr>
      <w:r>
        <w:rPr>
          <w:rFonts w:ascii="Times New Roman" w:cs="Times New Roman" w:eastAsia="Times New Roman" w:hAnsi="Times New Roman"/>
          <w:sz w:val="20"/>
          <w:szCs w:val="20"/>
          <w:color w:val="auto"/>
        </w:rPr>
        <w:t>as “foreign-derived deduction eligible income” within the meaning of Section 250 of the U.S. Internal Revenue Code of 1986, as amended, and the U.S. Treasury regulations thereunder, and the Parties shall reasonably cooperate to provide a certification 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documentation to demonstrate eligibility for the deduction for “foreign-derived intangible income” pursuant to Section 250.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Chapter D - Options</w:t>
      </w:r>
    </w:p>
    <w:p>
      <w:pPr>
        <w:spacing w:after="0" w:line="189"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Bayer Lead Series Option; Recursion Option</w:t>
      </w:r>
    </w:p>
    <w:p>
      <w:pPr>
        <w:spacing w:after="0" w:line="170"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u w:val="single" w:color="auto"/>
          <w:color w:val="auto"/>
        </w:rPr>
        <w:t>Bayer Lead Series Option</w:t>
      </w:r>
      <w:r>
        <w:rPr>
          <w:rFonts w:ascii="Times New Roman" w:cs="Times New Roman" w:eastAsia="Times New Roman" w:hAnsi="Times New Roman"/>
          <w:sz w:val="20"/>
          <w:szCs w:val="20"/>
          <w:color w:val="auto"/>
        </w:rPr>
        <w:t>. During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day period following Achievement of Lead Candidate Criteria with respect to a Lead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Series (the “</w:t>
      </w:r>
      <w:r>
        <w:rPr>
          <w:rFonts w:ascii="Times New Roman" w:cs="Times New Roman" w:eastAsia="Times New Roman" w:hAnsi="Times New Roman"/>
          <w:sz w:val="20"/>
          <w:szCs w:val="20"/>
          <w:u w:val="single" w:color="auto"/>
          <w:color w:val="auto"/>
        </w:rPr>
        <w:t>Bayer Lead Series Option Period</w:t>
      </w:r>
      <w:r>
        <w:rPr>
          <w:rFonts w:ascii="Times New Roman" w:cs="Times New Roman" w:eastAsia="Times New Roman" w:hAnsi="Times New Roman"/>
          <w:sz w:val="20"/>
          <w:szCs w:val="20"/>
          <w:color w:val="auto"/>
        </w:rPr>
        <w:t>”), Recursion hereby grants to Bayer an exclusive option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9" w:right="339" w:bottom="1440" w:gutter="0" w:footer="0" w:header="0"/>
        </w:sectPr>
      </w:pPr>
    </w:p>
    <w:bookmarkStart w:id="239" w:name="page240"/>
    <w:bookmarkEnd w:id="239"/>
    <w:p>
      <w:pPr>
        <w:ind w:left="1160" w:right="100" w:hanging="514"/>
        <w:spacing w:after="0" w:line="216" w:lineRule="auto"/>
        <w:tabs>
          <w:tab w:leader="none" w:pos="115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 exclusive (even as to Recursion) license under Recursion’s rights, title and interest in the Project Compounds in such Lead Series and the Backup Compounds for such Lead Series (including the Project IP Rights claiming such Project Compounds and Backup Compound) and certain Project Know-How (including the applicable Deconvoluted Target and all data relating to such Project Compounds) generated with respect to such Lead Series and Backup Compounds; and</w:t>
      </w:r>
    </w:p>
    <w:p>
      <w:pPr>
        <w:spacing w:after="0" w:line="177" w:lineRule="exact"/>
        <w:rPr>
          <w:rFonts w:ascii="Times New Roman" w:cs="Times New Roman" w:eastAsia="Times New Roman" w:hAnsi="Times New Roman"/>
          <w:sz w:val="22"/>
          <w:szCs w:val="22"/>
          <w:color w:val="auto"/>
        </w:rPr>
      </w:pPr>
    </w:p>
    <w:p>
      <w:pPr>
        <w:ind w:left="1160" w:right="260" w:hanging="514"/>
        <w:spacing w:after="0" w:line="229" w:lineRule="auto"/>
        <w:tabs>
          <w:tab w:leader="none" w:pos="115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non-exclusive license to Recursion’s Background IP Rights and Background Know-How which are necessary for Bayer to use the Project Results described in (i) above,</w:t>
      </w:r>
    </w:p>
    <w:p>
      <w:pPr>
        <w:spacing w:after="0" w:line="160" w:lineRule="exact"/>
        <w:rPr>
          <w:rFonts w:ascii="Times New Roman" w:cs="Times New Roman" w:eastAsia="Times New Roman" w:hAnsi="Times New Roman"/>
          <w:sz w:val="22"/>
          <w:szCs w:val="22"/>
          <w:color w:val="auto"/>
        </w:rPr>
      </w:pPr>
    </w:p>
    <w:p>
      <w:pPr>
        <w:jc w:val="both"/>
        <w:ind w:left="1160"/>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each case (i) and (ii), to do or have done research on, develop or have developed, make, have made, use, have used, sell, have sold, offer for sale, have offered for sale, import and have imported Products incorporating such Lead Series, Backup Compounds or Derivatives thereof in the Field in the Territory and to use such Project Compounds as tools in independent research and development projects of Bayer (as to each Project, the “</w:t>
      </w:r>
      <w:r>
        <w:rPr>
          <w:rFonts w:ascii="Times New Roman" w:cs="Times New Roman" w:eastAsia="Times New Roman" w:hAnsi="Times New Roman"/>
          <w:sz w:val="20"/>
          <w:szCs w:val="20"/>
          <w:u w:val="single" w:color="auto"/>
          <w:color w:val="auto"/>
        </w:rPr>
        <w:t>Bayer Lead Series Option</w:t>
      </w:r>
      <w:r>
        <w:rPr>
          <w:rFonts w:ascii="Times New Roman" w:cs="Times New Roman" w:eastAsia="Times New Roman" w:hAnsi="Times New Roman"/>
          <w:sz w:val="20"/>
          <w:szCs w:val="20"/>
          <w:color w:val="auto"/>
        </w:rPr>
        <w:t>”), all on the license terms and financial considerations set forth in the License Agreement.</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64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u w:val="single" w:color="auto"/>
          <w:color w:val="auto"/>
        </w:rPr>
        <w:t>Option Exercise</w:t>
      </w:r>
      <w:r>
        <w:rPr>
          <w:rFonts w:ascii="Times New Roman" w:cs="Times New Roman" w:eastAsia="Times New Roman" w:hAnsi="Times New Roman"/>
          <w:sz w:val="20"/>
          <w:szCs w:val="20"/>
          <w:color w:val="auto"/>
        </w:rPr>
        <w:t>. Bayer may exercise the Bayer Lead Series Option at any time during the Bayer Lead Series Option Period by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notifying Recursion in writing (each such notice being an “</w:t>
      </w:r>
      <w:r>
        <w:rPr>
          <w:rFonts w:ascii="Times New Roman" w:cs="Times New Roman" w:eastAsia="Times New Roman" w:hAnsi="Times New Roman"/>
          <w:sz w:val="20"/>
          <w:szCs w:val="20"/>
          <w:u w:val="single" w:color="auto"/>
          <w:color w:val="auto"/>
        </w:rPr>
        <w:t>Option Exercise Notice</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Execution of License Agreement</w:t>
      </w:r>
      <w:r>
        <w:rPr>
          <w:rFonts w:ascii="Times New Roman" w:cs="Times New Roman" w:eastAsia="Times New Roman" w:hAnsi="Times New Roman"/>
          <w:sz w:val="19"/>
          <w:szCs w:val="19"/>
          <w:color w:val="auto"/>
        </w:rPr>
        <w:t>. As for each Option exercised by Bayer, the Parties shall execute a License Agreement no later than</w:t>
      </w:r>
    </w:p>
    <w:p>
      <w:pPr>
        <w:ind w:left="1080" w:hanging="434"/>
        <w:spacing w:after="0"/>
        <w:tabs>
          <w:tab w:leader="none" w:pos="10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days after Recursion’s receipt of the Option Notice, unless otherwise mutually agreed to by the Parties.</w:t>
      </w:r>
    </w:p>
    <w:p>
      <w:pPr>
        <w:spacing w:after="0" w:line="153"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Recursion Option</w:t>
      </w:r>
      <w:r>
        <w:rPr>
          <w:rFonts w:ascii="Times New Roman" w:cs="Times New Roman" w:eastAsia="Times New Roman" w:hAnsi="Times New Roman"/>
          <w:sz w:val="20"/>
          <w:szCs w:val="20"/>
          <w:color w:val="auto"/>
        </w:rPr>
        <w:t xml:space="preserve">. Bayer hereby grants Recursion an option, exercisable during the applicable Recursion Option Period, to negotiate for a period of no less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after such exercise (the “</w:t>
      </w:r>
      <w:r>
        <w:rPr>
          <w:rFonts w:ascii="Times New Roman" w:cs="Times New Roman" w:eastAsia="Times New Roman" w:hAnsi="Times New Roman"/>
          <w:sz w:val="20"/>
          <w:szCs w:val="20"/>
          <w:u w:val="single" w:color="auto"/>
          <w:color w:val="auto"/>
        </w:rPr>
        <w:t>Negotiation Period</w:t>
      </w:r>
      <w:r>
        <w:rPr>
          <w:rFonts w:ascii="Times New Roman" w:cs="Times New Roman" w:eastAsia="Times New Roman" w:hAnsi="Times New Roman"/>
          <w:sz w:val="20"/>
          <w:szCs w:val="20"/>
          <w:color w:val="auto"/>
        </w:rPr>
        <w:t>”) in good faith to obtain (x) a worldwide exclusive</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license under Bayer’s interest in the Project Compounds in the applicable Lead Series and Backup Compounds for such Lead Series (including the Project IP Rights claiming such Project Compounds) and the Project Know-How (including the applicable</w:t>
      </w:r>
    </w:p>
    <w:p>
      <w:pPr>
        <w:spacing w:after="0" w:line="1" w:lineRule="exact"/>
        <w:rPr>
          <w:sz w:val="20"/>
          <w:szCs w:val="20"/>
          <w:color w:val="auto"/>
        </w:rPr>
      </w:pPr>
    </w:p>
    <w:p>
      <w:pPr>
        <w:ind w:left="640" w:right="20"/>
        <w:spacing w:after="0" w:line="204" w:lineRule="auto"/>
        <w:rPr>
          <w:sz w:val="20"/>
          <w:szCs w:val="20"/>
          <w:color w:val="auto"/>
        </w:rPr>
      </w:pPr>
      <w:r>
        <w:rPr>
          <w:rFonts w:ascii="Times New Roman" w:cs="Times New Roman" w:eastAsia="Times New Roman" w:hAnsi="Times New Roman"/>
          <w:sz w:val="20"/>
          <w:szCs w:val="20"/>
          <w:color w:val="auto"/>
        </w:rPr>
        <w:t>Deconvoluted Target, and all data relating to such Project Compounds) generated with respect to such Project Compounds and (y) a non-exclusive license to Bayer’s Background IP Rights and Background Know-How which are necessary for Recursion to use the</w:t>
      </w:r>
    </w:p>
    <w:p>
      <w:pPr>
        <w:ind w:left="640"/>
        <w:spacing w:after="0" w:line="223" w:lineRule="auto"/>
        <w:rPr>
          <w:sz w:val="20"/>
          <w:szCs w:val="20"/>
          <w:color w:val="auto"/>
        </w:rPr>
      </w:pPr>
      <w:r>
        <w:rPr>
          <w:rFonts w:ascii="Times New Roman" w:cs="Times New Roman" w:eastAsia="Times New Roman" w:hAnsi="Times New Roman"/>
          <w:sz w:val="19"/>
          <w:szCs w:val="19"/>
          <w:color w:val="auto"/>
        </w:rPr>
        <w:t>licensed Project Results, in each case ((x) and (y)) to make, have made, use, sell and import Products incorporating such Lead Series,</w:t>
      </w:r>
    </w:p>
    <w:p>
      <w:pPr>
        <w:ind w:left="640"/>
        <w:spacing w:after="0" w:line="204" w:lineRule="auto"/>
        <w:rPr>
          <w:sz w:val="20"/>
          <w:szCs w:val="20"/>
          <w:color w:val="auto"/>
        </w:rPr>
      </w:pPr>
      <w:r>
        <w:rPr>
          <w:rFonts w:ascii="Times New Roman" w:cs="Times New Roman" w:eastAsia="Times New Roman" w:hAnsi="Times New Roman"/>
          <w:sz w:val="20"/>
          <w:szCs w:val="20"/>
          <w:color w:val="auto"/>
        </w:rPr>
        <w:t>Backup Compounds or Derivatives thereof in the Field in the Territory and to use such Project Compounds as tools in independent research and development projects of Recursion (the “</w:t>
      </w:r>
      <w:r>
        <w:rPr>
          <w:rFonts w:ascii="Times New Roman" w:cs="Times New Roman" w:eastAsia="Times New Roman" w:hAnsi="Times New Roman"/>
          <w:sz w:val="20"/>
          <w:szCs w:val="20"/>
          <w:u w:val="single" w:color="auto"/>
          <w:color w:val="auto"/>
        </w:rPr>
        <w:t>Recursion Option</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Recursion Option Period</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-day</w:t>
      </w:r>
    </w:p>
    <w:p>
      <w:pPr>
        <w:ind w:left="640"/>
        <w:spacing w:after="0" w:line="211" w:lineRule="auto"/>
        <w:rPr>
          <w:sz w:val="20"/>
          <w:szCs w:val="20"/>
          <w:color w:val="auto"/>
        </w:rPr>
      </w:pPr>
      <w:r>
        <w:rPr>
          <w:rFonts w:ascii="Times New Roman" w:cs="Times New Roman" w:eastAsia="Times New Roman" w:hAnsi="Times New Roman"/>
          <w:sz w:val="20"/>
          <w:szCs w:val="20"/>
          <w:color w:val="auto"/>
        </w:rPr>
        <w:t>period immediately following (a) expiration of the Bayer Lead Series Option Period, if Bayer does not exercise the Bayer Lead</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Series Option with respect to a particular Lead Series, (b) the date of exclusion of Project Compound from a Project pursuant to Section 3.2.4;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(c) expiration or termination of the Project Term, with respect to a Project discontinued for any reason other than</w:t>
      </w:r>
    </w:p>
    <w:p>
      <w:pPr>
        <w:ind w:left="640"/>
        <w:spacing w:after="0" w:line="211" w:lineRule="auto"/>
        <w:rPr>
          <w:sz w:val="20"/>
          <w:szCs w:val="20"/>
          <w:color w:val="auto"/>
        </w:rPr>
      </w:pPr>
      <w:r>
        <w:rPr>
          <w:rFonts w:ascii="Times New Roman" w:cs="Times New Roman" w:eastAsia="Times New Roman" w:hAnsi="Times New Roman"/>
          <w:sz w:val="20"/>
          <w:szCs w:val="20"/>
          <w:color w:val="auto"/>
        </w:rPr>
        <w:t>termination of the Project or this Agreement for Recursion’s breach of this Agreement, (d) expiration of the period set forth in</w:t>
      </w:r>
    </w:p>
    <w:p>
      <w:pPr>
        <w:ind w:left="640"/>
        <w:spacing w:after="0" w:line="215" w:lineRule="auto"/>
        <w:rPr>
          <w:sz w:val="20"/>
          <w:szCs w:val="20"/>
          <w:color w:val="auto"/>
        </w:rPr>
      </w:pPr>
      <w:r>
        <w:rPr>
          <w:rFonts w:ascii="Times New Roman" w:cs="Times New Roman" w:eastAsia="Times New Roman" w:hAnsi="Times New Roman"/>
          <w:sz w:val="19"/>
          <w:szCs w:val="19"/>
          <w:color w:val="auto"/>
        </w:rPr>
        <w:t>Section 8.4, with respect to any Lead Series for which Bayer exercises its Bayer Lead Series Option pursuant to Section 8.1 but does not execute a License Agreement,(e) a determination by the Bayer Criteria Committee that a Lead Candidate does not achieve the</w:t>
      </w:r>
    </w:p>
    <w:p>
      <w:pPr>
        <w:ind w:left="640"/>
        <w:spacing w:after="0" w:line="222" w:lineRule="auto"/>
        <w:rPr>
          <w:sz w:val="20"/>
          <w:szCs w:val="20"/>
          <w:color w:val="auto"/>
        </w:rPr>
      </w:pPr>
      <w:r>
        <w:rPr>
          <w:rFonts w:ascii="Times New Roman" w:cs="Times New Roman" w:eastAsia="Times New Roman" w:hAnsi="Times New Roman"/>
          <w:sz w:val="19"/>
          <w:szCs w:val="19"/>
          <w:color w:val="auto"/>
        </w:rPr>
        <w:t>Lead Candidate Criteria, and is not otherwise selected by the Bayer Criteria Committee as a Lead Candidate. Recursion may exercise</w:t>
      </w:r>
    </w:p>
    <w:p>
      <w:pPr>
        <w:ind w:left="640"/>
        <w:spacing w:after="0" w:line="204" w:lineRule="auto"/>
        <w:rPr>
          <w:sz w:val="20"/>
          <w:szCs w:val="20"/>
          <w:color w:val="auto"/>
        </w:rPr>
      </w:pPr>
      <w:r>
        <w:rPr>
          <w:rFonts w:ascii="Times New Roman" w:cs="Times New Roman" w:eastAsia="Times New Roman" w:hAnsi="Times New Roman"/>
          <w:sz w:val="20"/>
          <w:szCs w:val="20"/>
          <w:color w:val="auto"/>
        </w:rPr>
        <w:t>the Recursion Option for a Project at any time during the applicable Recursion Option Period by notifying Bayer in writing thereof, and upon Bayer’s receipt of such notice the Parties shall negotiate in good faith the terms of the applicable license agreement during</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Negotiation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13"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Chapter E – Intellectual Property</w:t>
      </w:r>
    </w:p>
    <w:p>
      <w:pPr>
        <w:spacing w:after="0" w:line="202"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OWNERSHIP OF BACKGROUND RIGHTS AND PROJECT RESULTS</w:t>
      </w:r>
    </w:p>
    <w:p>
      <w:pPr>
        <w:spacing w:after="0" w:line="170" w:lineRule="exact"/>
        <w:rPr>
          <w:sz w:val="20"/>
          <w:szCs w:val="20"/>
          <w:color w:val="auto"/>
        </w:rPr>
      </w:pPr>
    </w:p>
    <w:p>
      <w:pPr>
        <w:jc w:val="both"/>
        <w:ind w:left="640" w:hanging="637"/>
        <w:spacing w:after="0" w:line="215" w:lineRule="auto"/>
        <w:tabs>
          <w:tab w:leader="none" w:pos="62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u w:val="single" w:color="auto"/>
          <w:color w:val="auto"/>
        </w:rPr>
        <w:t>Ownership of Background Rights</w:t>
      </w:r>
      <w:r>
        <w:rPr>
          <w:rFonts w:ascii="Times New Roman" w:cs="Times New Roman" w:eastAsia="Times New Roman" w:hAnsi="Times New Roman"/>
          <w:sz w:val="20"/>
          <w:szCs w:val="20"/>
          <w:color w:val="auto"/>
        </w:rPr>
        <w:t>. Each Party will retain ownership of its Background IP Rights, Background Know-How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Excluded IP. Each Party shall assign, and hereby assigns, to the other Party all rights, title and interest it may have in and to any</w:t>
      </w:r>
    </w:p>
    <w:p>
      <w:pPr>
        <w:ind w:left="640"/>
        <w:spacing w:after="0" w:line="212" w:lineRule="auto"/>
        <w:rPr>
          <w:sz w:val="20"/>
          <w:szCs w:val="20"/>
          <w:color w:val="auto"/>
        </w:rPr>
      </w:pPr>
      <w:r>
        <w:rPr>
          <w:rFonts w:ascii="Times New Roman" w:cs="Times New Roman" w:eastAsia="Times New Roman" w:hAnsi="Times New Roman"/>
          <w:sz w:val="20"/>
          <w:szCs w:val="20"/>
          <w:color w:val="auto"/>
        </w:rPr>
        <w:t>Excluded IP or the Recursion Technology that is to be owned by the other Party pursuant to this Section 9.1 or Section 9.3.</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Notwithstanding the foregoing, with respect to a particular Project after Project Initiation Approval for such Project, any Recursion ISMI IP Rights and Recursion ISMI Know-How with respect to such Project, shall be thereafter deemed Project Results and treated</w:t>
      </w:r>
    </w:p>
    <w:p>
      <w:pPr>
        <w:ind w:left="640"/>
        <w:spacing w:after="0" w:line="211" w:lineRule="auto"/>
        <w:rPr>
          <w:sz w:val="20"/>
          <w:szCs w:val="20"/>
          <w:color w:val="auto"/>
        </w:rPr>
      </w:pPr>
      <w:r>
        <w:rPr>
          <w:rFonts w:ascii="Times New Roman" w:cs="Times New Roman" w:eastAsia="Times New Roman" w:hAnsi="Times New Roman"/>
          <w:sz w:val="20"/>
          <w:szCs w:val="20"/>
          <w:color w:val="auto"/>
        </w:rPr>
        <w:t xml:space="preserve">as such under this Agreement; provided that, if the Project Term for such Project terminates or expires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Recursion ISMI IP</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Rights and Recursion ISMI Know-How shall no longer be deemed Project Results, all rights, title and interest in and to such Recursion ISMI IP Rights and Recursion ISMI Know-How shall revert to Recursion and shall be deemed Recursion’s Confidential</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Information, and Bayer shall assign and hereby does assign to Recursion any and all rights, title and interest it may have in and to such Recursion ISMI IP Rights and Recursion ISMI Know-How.</w:t>
      </w:r>
    </w:p>
    <w:p>
      <w:pPr>
        <w:spacing w:after="0" w:line="149" w:lineRule="exact"/>
        <w:rPr>
          <w:sz w:val="20"/>
          <w:szCs w:val="20"/>
          <w:color w:val="auto"/>
        </w:rPr>
      </w:pPr>
    </w:p>
    <w:p>
      <w:pPr>
        <w:jc w:val="both"/>
        <w:ind w:left="640" w:hanging="637"/>
        <w:spacing w:after="0" w:line="222" w:lineRule="auto"/>
        <w:tabs>
          <w:tab w:leader="none" w:pos="6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u w:val="single" w:color="auto"/>
          <w:color w:val="auto"/>
        </w:rPr>
        <w:t>Ownership of Project Results</w:t>
      </w:r>
      <w:r>
        <w:rPr>
          <w:rFonts w:ascii="Times New Roman" w:cs="Times New Roman" w:eastAsia="Times New Roman" w:hAnsi="Times New Roman"/>
          <w:sz w:val="20"/>
          <w:szCs w:val="20"/>
          <w:color w:val="auto"/>
        </w:rPr>
        <w:t>. Subject to Section 9.3, all Project Results shall be jointly owned in equal and undivided shares by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Bayer and Recursion independently of which Party Created such Project Results. Each Party (the “</w:t>
      </w:r>
      <w:r>
        <w:rPr>
          <w:rFonts w:ascii="Times New Roman" w:cs="Times New Roman" w:eastAsia="Times New Roman" w:hAnsi="Times New Roman"/>
          <w:sz w:val="20"/>
          <w:szCs w:val="20"/>
          <w:u w:val="single" w:color="auto"/>
          <w:color w:val="auto"/>
        </w:rPr>
        <w:t>Assigning Party</w:t>
      </w:r>
      <w:r>
        <w:rPr>
          <w:rFonts w:ascii="Times New Roman" w:cs="Times New Roman" w:eastAsia="Times New Roman" w:hAnsi="Times New Roman"/>
          <w:sz w:val="20"/>
          <w:szCs w:val="20"/>
          <w:color w:val="auto"/>
        </w:rPr>
        <w:t>”), shall, and</w:t>
      </w:r>
    </w:p>
    <w:p>
      <w:pPr>
        <w:spacing w:after="0" w:line="2"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hereby does, assign to the other Party (the “</w:t>
      </w:r>
      <w:r>
        <w:rPr>
          <w:rFonts w:ascii="Times New Roman" w:cs="Times New Roman" w:eastAsia="Times New Roman" w:hAnsi="Times New Roman"/>
          <w:sz w:val="20"/>
          <w:szCs w:val="20"/>
          <w:u w:val="single" w:color="auto"/>
          <w:color w:val="auto"/>
        </w:rPr>
        <w:t>Assigned Party</w:t>
      </w:r>
      <w:r>
        <w:rPr>
          <w:rFonts w:ascii="Times New Roman" w:cs="Times New Roman" w:eastAsia="Times New Roman" w:hAnsi="Times New Roman"/>
          <w:sz w:val="20"/>
          <w:szCs w:val="20"/>
          <w:color w:val="auto"/>
        </w:rPr>
        <w:t>”) an undivided joint interest in the rights, title and interests the Assigning Party has in and to any such Project Results and the Assigned Party hereby accepts such assignment.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u w:val="single" w:color="auto"/>
          <w:color w:val="auto"/>
        </w:rPr>
        <w:t>Recursion Technology</w:t>
      </w:r>
      <w:r>
        <w:rPr>
          <w:rFonts w:ascii="Times New Roman" w:cs="Times New Roman" w:eastAsia="Times New Roman" w:hAnsi="Times New Roman"/>
          <w:sz w:val="20"/>
          <w:szCs w:val="20"/>
          <w:color w:val="auto"/>
        </w:rPr>
        <w:t>. Notwithstanding Section 9.2, the Parties agree that any improvement or modification made by Recursion in</w:t>
      </w:r>
    </w:p>
    <w:p>
      <w:pPr>
        <w:ind w:left="640"/>
        <w:spacing w:after="0" w:line="204" w:lineRule="auto"/>
        <w:rPr>
          <w:sz w:val="20"/>
          <w:szCs w:val="20"/>
          <w:color w:val="auto"/>
        </w:rPr>
      </w:pPr>
      <w:r>
        <w:rPr>
          <w:rFonts w:ascii="Times New Roman" w:cs="Times New Roman" w:eastAsia="Times New Roman" w:hAnsi="Times New Roman"/>
          <w:sz w:val="20"/>
          <w:szCs w:val="20"/>
          <w:color w:val="auto"/>
        </w:rPr>
        <w:t>the course of a Project or activities under the Collaboration Plan directly relating to the Recursion Technology and which are not specific for a Project or any Bayer Library Compounds are the exclusive property of Recursion and such improvement 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modification shall be considered Recursion Technology.</w:t>
      </w:r>
    </w:p>
    <w:p>
      <w:pPr>
        <w:spacing w:after="0" w:line="153" w:lineRule="exact"/>
        <w:rPr>
          <w:sz w:val="20"/>
          <w:szCs w:val="20"/>
          <w:color w:val="auto"/>
        </w:rPr>
      </w:pPr>
    </w:p>
    <w:p>
      <w:pPr>
        <w:jc w:val="both"/>
        <w:ind w:left="640" w:hanging="63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Cooperation Duties</w:t>
      </w:r>
      <w:r>
        <w:rPr>
          <w:rFonts w:ascii="Times New Roman" w:cs="Times New Roman" w:eastAsia="Times New Roman" w:hAnsi="Times New Roman"/>
          <w:sz w:val="20"/>
          <w:szCs w:val="20"/>
          <w:color w:val="auto"/>
        </w:rPr>
        <w:t>. Each Party shall reasonably cooperate with and assist the other Party and execute, and cause its employees,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agents and subcontractors to execute such documents as necessary to grant the other Party the ownership rights described under this Article 9.</w:t>
      </w:r>
    </w:p>
    <w:p>
      <w:pPr>
        <w:spacing w:after="0" w:line="149" w:lineRule="exact"/>
        <w:rPr>
          <w:sz w:val="20"/>
          <w:szCs w:val="20"/>
          <w:color w:val="auto"/>
        </w:rPr>
      </w:pPr>
    </w:p>
    <w:p>
      <w:pPr>
        <w:jc w:val="both"/>
        <w:ind w:left="640" w:hanging="63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Employee’s Invention Compensation</w:t>
      </w:r>
      <w:r>
        <w:rPr>
          <w:rFonts w:ascii="Times New Roman" w:cs="Times New Roman" w:eastAsia="Times New Roman" w:hAnsi="Times New Roman"/>
          <w:sz w:val="20"/>
          <w:szCs w:val="20"/>
          <w:color w:val="auto"/>
        </w:rPr>
        <w:t>. Each Party is solely responsible and shall compensate its own employees in accordance with</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law applicable to the employer for any inventions generated by such employees in course of a Project or activities under the Collaboration Plan.</w:t>
      </w:r>
    </w:p>
    <w:p>
      <w:pPr>
        <w:spacing w:after="0" w:line="158"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LICENSE GRANTS AND USAGE RIGHTS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Research License</w:t>
      </w:r>
    </w:p>
    <w:p>
      <w:pPr>
        <w:spacing w:after="0" w:line="187"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u w:val="single" w:color="auto"/>
          <w:color w:val="auto"/>
        </w:rPr>
        <w:t>Research License</w:t>
      </w:r>
      <w:r>
        <w:rPr>
          <w:rFonts w:ascii="Times New Roman" w:cs="Times New Roman" w:eastAsia="Times New Roman" w:hAnsi="Times New Roman"/>
          <w:sz w:val="20"/>
          <w:szCs w:val="20"/>
          <w:color w:val="auto"/>
        </w:rPr>
        <w:t>. Each Party shall and hereby does grant to the other Party, during the Collaboration Term, a worldwide, non-</w:t>
      </w:r>
    </w:p>
    <w:p>
      <w:pPr>
        <w:ind w:left="640"/>
        <w:spacing w:after="0" w:line="204" w:lineRule="auto"/>
        <w:rPr>
          <w:sz w:val="20"/>
          <w:szCs w:val="20"/>
          <w:color w:val="auto"/>
        </w:rPr>
      </w:pPr>
      <w:r>
        <w:rPr>
          <w:rFonts w:ascii="Times New Roman" w:cs="Times New Roman" w:eastAsia="Times New Roman" w:hAnsi="Times New Roman"/>
          <w:sz w:val="20"/>
          <w:szCs w:val="20"/>
          <w:color w:val="auto"/>
        </w:rPr>
        <w:t>exclusive, royalty-free license, without the right to sublicense, under its right, title and interest to the Project Results, and its Background IP Rights, Background Know-How, and Excluded IP to the extent necessary to enable the other Party to perform its</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tasks and obligations under the Project Plan for such Project (or have performed such activities and obligations by a Subcontractor subject to the provisions for subcontracting in Section 3.6) (the “</w:t>
      </w:r>
      <w:r>
        <w:rPr>
          <w:rFonts w:ascii="Times New Roman" w:cs="Times New Roman" w:eastAsia="Times New Roman" w:hAnsi="Times New Roman"/>
          <w:sz w:val="20"/>
          <w:szCs w:val="20"/>
          <w:u w:val="single" w:color="auto"/>
          <w:color w:val="auto"/>
        </w:rPr>
        <w:t>Research License</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640" w:right="20"/>
        <w:spacing w:after="0"/>
        <w:rPr>
          <w:sz w:val="20"/>
          <w:szCs w:val="20"/>
          <w:color w:val="auto"/>
        </w:rPr>
      </w:pPr>
      <w:r>
        <w:rPr>
          <w:rFonts w:ascii="Times New Roman" w:cs="Times New Roman" w:eastAsia="Times New Roman" w:hAnsi="Times New Roman"/>
          <w:sz w:val="20"/>
          <w:szCs w:val="20"/>
          <w:color w:val="auto"/>
        </w:rPr>
        <w:t>The disclosure and use of any Background IP Rights under the Research License shall not constitute any right of prior use for the recipient.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Use and Exploitation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241" w:name="page242"/>
    <w:bookmarkEnd w:id="241"/>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Use and Exploitation of Project Results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With respect to Project Results from a Project, the Parties shall have the following usage and exploitation rights:</w:t>
      </w:r>
    </w:p>
    <w:p>
      <w:pPr>
        <w:spacing w:after="0" w:line="175" w:lineRule="exact"/>
        <w:rPr>
          <w:sz w:val="20"/>
          <w:szCs w:val="20"/>
          <w:color w:val="auto"/>
        </w:rPr>
      </w:pPr>
    </w:p>
    <w:p>
      <w:pPr>
        <w:jc w:val="right"/>
        <w:ind w:left="640" w:right="20"/>
        <w:spacing w:after="0" w:line="222" w:lineRule="auto"/>
        <w:rPr>
          <w:sz w:val="20"/>
          <w:szCs w:val="20"/>
          <w:color w:val="auto"/>
        </w:rPr>
      </w:pPr>
      <w:r>
        <w:rPr>
          <w:rFonts w:ascii="Times New Roman" w:cs="Times New Roman" w:eastAsia="Times New Roman" w:hAnsi="Times New Roman"/>
          <w:sz w:val="20"/>
          <w:szCs w:val="20"/>
          <w:color w:val="auto"/>
        </w:rPr>
        <w:t xml:space="preserve">10.2.1. </w:t>
      </w:r>
      <w:r>
        <w:rPr>
          <w:rFonts w:ascii="Times New Roman" w:cs="Times New Roman" w:eastAsia="Times New Roman" w:hAnsi="Times New Roman"/>
          <w:sz w:val="20"/>
          <w:szCs w:val="20"/>
          <w:u w:val="single" w:color="auto"/>
          <w:color w:val="auto"/>
        </w:rPr>
        <w:t>Prior to expiry of Option Period / prior to Option exercise</w:t>
      </w:r>
      <w:r>
        <w:rPr>
          <w:rFonts w:ascii="Times New Roman" w:cs="Times New Roman" w:eastAsia="Times New Roman" w:hAnsi="Times New Roman"/>
          <w:sz w:val="20"/>
          <w:szCs w:val="20"/>
          <w:color w:val="auto"/>
        </w:rPr>
        <w:t>. Beginning upon commencement of activities under the Collaboration Plan in preparation for a Project and during the Project Term for such Project, to the extent the Option Periods</w:t>
      </w:r>
    </w:p>
    <w:p>
      <w:pPr>
        <w:spacing w:after="0" w:line="2" w:lineRule="exact"/>
        <w:rPr>
          <w:sz w:val="20"/>
          <w:szCs w:val="20"/>
          <w:color w:val="auto"/>
        </w:rPr>
      </w:pPr>
    </w:p>
    <w:p>
      <w:pPr>
        <w:jc w:val="both"/>
        <w:ind w:left="1280"/>
        <w:spacing w:after="0" w:line="215" w:lineRule="auto"/>
        <w:rPr>
          <w:sz w:val="20"/>
          <w:szCs w:val="20"/>
          <w:color w:val="auto"/>
        </w:rPr>
      </w:pPr>
      <w:r>
        <w:rPr>
          <w:rFonts w:ascii="Times New Roman" w:cs="Times New Roman" w:eastAsia="Times New Roman" w:hAnsi="Times New Roman"/>
          <w:sz w:val="19"/>
          <w:szCs w:val="19"/>
          <w:color w:val="auto"/>
        </w:rPr>
        <w:t>for the respective Project have not expired and the Parties have not exercised their respective Options, the Parties shall only use the Project Results for such Project within the limits of the Research License and for purposes of determining whether to</w:t>
      </w:r>
    </w:p>
    <w:p>
      <w:pPr>
        <w:ind w:left="1280"/>
        <w:spacing w:after="0" w:line="211" w:lineRule="auto"/>
        <w:rPr>
          <w:sz w:val="20"/>
          <w:szCs w:val="20"/>
          <w:color w:val="auto"/>
        </w:rPr>
      </w:pPr>
      <w:r>
        <w:rPr>
          <w:rFonts w:ascii="Times New Roman" w:cs="Times New Roman" w:eastAsia="Times New Roman" w:hAnsi="Times New Roman"/>
          <w:sz w:val="20"/>
          <w:szCs w:val="20"/>
          <w:color w:val="auto"/>
        </w:rPr>
        <w:t>exercise its Options for such Project. In addition to the foregoing, with regard to any Project Know-How that has been</w:t>
      </w:r>
    </w:p>
    <w:p>
      <w:pPr>
        <w:jc w:val="both"/>
        <w:ind w:left="1280"/>
        <w:spacing w:after="0" w:line="215" w:lineRule="auto"/>
        <w:rPr>
          <w:sz w:val="20"/>
          <w:szCs w:val="20"/>
          <w:color w:val="auto"/>
        </w:rPr>
      </w:pPr>
      <w:r>
        <w:rPr>
          <w:rFonts w:ascii="Times New Roman" w:cs="Times New Roman" w:eastAsia="Times New Roman" w:hAnsi="Times New Roman"/>
          <w:sz w:val="19"/>
          <w:szCs w:val="19"/>
          <w:color w:val="auto"/>
        </w:rPr>
        <w:t>disclosed to the respective Party, each Party shall have the right during such period to use, practice, develop and exploit their share in such Project Know-How of the respective Project solely for internal research and development purposes, including</w:t>
      </w:r>
    </w:p>
    <w:p>
      <w:pPr>
        <w:ind w:left="1280"/>
        <w:spacing w:after="0" w:line="211" w:lineRule="auto"/>
        <w:rPr>
          <w:sz w:val="20"/>
          <w:szCs w:val="20"/>
          <w:color w:val="auto"/>
        </w:rPr>
      </w:pPr>
      <w:r>
        <w:rPr>
          <w:rFonts w:ascii="Times New Roman" w:cs="Times New Roman" w:eastAsia="Times New Roman" w:hAnsi="Times New Roman"/>
          <w:sz w:val="20"/>
          <w:szCs w:val="20"/>
          <w:color w:val="auto"/>
        </w:rPr>
        <w:t>the right to sublicense its interest in the Project Results to Affiliates and Third Parties working for, with, or on behalf of the</w:t>
      </w:r>
    </w:p>
    <w:p>
      <w:pPr>
        <w:jc w:val="both"/>
        <w:ind w:left="1280" w:right="20"/>
        <w:spacing w:after="0" w:line="204" w:lineRule="auto"/>
        <w:rPr>
          <w:sz w:val="20"/>
          <w:szCs w:val="20"/>
          <w:color w:val="auto"/>
        </w:rPr>
      </w:pPr>
      <w:r>
        <w:rPr>
          <w:rFonts w:ascii="Times New Roman" w:cs="Times New Roman" w:eastAsia="Times New Roman" w:hAnsi="Times New Roman"/>
          <w:sz w:val="20"/>
          <w:szCs w:val="20"/>
          <w:color w:val="auto"/>
        </w:rPr>
        <w:t xml:space="preserve">sublicensing Party for such purpose, without the consent of the other Party and without a duty of accounting to the other Party,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neither Party may use any Project Know-How or allow its Affiliates or sublicensees to use of</w:t>
      </w:r>
    </w:p>
    <w:p>
      <w:pPr>
        <w:ind w:left="1280"/>
        <w:spacing w:after="0" w:line="211" w:lineRule="auto"/>
        <w:rPr>
          <w:sz w:val="20"/>
          <w:szCs w:val="20"/>
          <w:color w:val="auto"/>
        </w:rPr>
      </w:pPr>
      <w:r>
        <w:rPr>
          <w:rFonts w:ascii="Times New Roman" w:cs="Times New Roman" w:eastAsia="Times New Roman" w:hAnsi="Times New Roman"/>
          <w:sz w:val="20"/>
          <w:szCs w:val="20"/>
          <w:color w:val="auto"/>
        </w:rPr>
        <w:t>any Project Know-How for a Competing Project. Where such consent is required by Applicable Law, it is deemed hereby</w:t>
      </w:r>
    </w:p>
    <w:p>
      <w:pPr>
        <w:spacing w:after="0" w:line="1" w:lineRule="exact"/>
        <w:rPr>
          <w:sz w:val="20"/>
          <w:szCs w:val="20"/>
          <w:color w:val="auto"/>
        </w:rPr>
      </w:pPr>
    </w:p>
    <w:p>
      <w:pPr>
        <w:jc w:val="both"/>
        <w:ind w:left="1280"/>
        <w:spacing w:after="0" w:line="215" w:lineRule="auto"/>
        <w:rPr>
          <w:sz w:val="20"/>
          <w:szCs w:val="20"/>
          <w:color w:val="auto"/>
        </w:rPr>
      </w:pPr>
      <w:r>
        <w:rPr>
          <w:rFonts w:ascii="Times New Roman" w:cs="Times New Roman" w:eastAsia="Times New Roman" w:hAnsi="Times New Roman"/>
          <w:sz w:val="19"/>
          <w:szCs w:val="19"/>
          <w:color w:val="auto"/>
        </w:rPr>
        <w:t>granted and where a duty of accounting to the other Party exists by Applicable Law, such duty is hereby waived. Where the Applicable Law in any country prevents that such consent or waiver is given in advance the Parties shall be obligated to give</w:t>
      </w:r>
    </w:p>
    <w:p>
      <w:pPr>
        <w:ind w:left="1280"/>
        <w:spacing w:after="0" w:line="211" w:lineRule="auto"/>
        <w:rPr>
          <w:sz w:val="20"/>
          <w:szCs w:val="20"/>
          <w:color w:val="auto"/>
        </w:rPr>
      </w:pPr>
      <w:r>
        <w:rPr>
          <w:rFonts w:ascii="Times New Roman" w:cs="Times New Roman" w:eastAsia="Times New Roman" w:hAnsi="Times New Roman"/>
          <w:sz w:val="20"/>
          <w:szCs w:val="20"/>
          <w:color w:val="auto"/>
        </w:rPr>
        <w:t>their consent or waiver at the given point in time. Notwithstanding the foregoing due to the joint ownership of the Project</w:t>
      </w:r>
    </w:p>
    <w:p>
      <w:pPr>
        <w:jc w:val="both"/>
        <w:ind w:left="1280"/>
        <w:spacing w:after="0" w:line="204" w:lineRule="auto"/>
        <w:rPr>
          <w:sz w:val="20"/>
          <w:szCs w:val="20"/>
          <w:color w:val="auto"/>
        </w:rPr>
      </w:pPr>
      <w:r>
        <w:rPr>
          <w:rFonts w:ascii="Times New Roman" w:cs="Times New Roman" w:eastAsia="Times New Roman" w:hAnsi="Times New Roman"/>
          <w:sz w:val="20"/>
          <w:szCs w:val="20"/>
          <w:color w:val="auto"/>
        </w:rPr>
        <w:t>Know-How, neither Party shall have the right to assign the entire Project Know-How or entire rights to the Project Know-How without the other Party’s prior written consent (except in connection with a permitted assignment of this Agreement in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accordance with Section 17.5).</w:t>
      </w:r>
    </w:p>
    <w:p>
      <w:pPr>
        <w:spacing w:after="0" w:line="126" w:lineRule="exact"/>
        <w:rPr>
          <w:sz w:val="20"/>
          <w:szCs w:val="20"/>
          <w:color w:val="auto"/>
        </w:rPr>
      </w:pPr>
    </w:p>
    <w:p>
      <w:pPr>
        <w:jc w:val="both"/>
        <w:ind w:left="1280"/>
        <w:spacing w:after="0" w:line="230" w:lineRule="auto"/>
        <w:rPr>
          <w:sz w:val="20"/>
          <w:szCs w:val="20"/>
          <w:color w:val="auto"/>
        </w:rPr>
      </w:pPr>
      <w:r>
        <w:rPr>
          <w:rFonts w:ascii="Times New Roman" w:cs="Times New Roman" w:eastAsia="Times New Roman" w:hAnsi="Times New Roman"/>
          <w:sz w:val="20"/>
          <w:szCs w:val="20"/>
          <w:color w:val="auto"/>
        </w:rPr>
        <w:t>The Parties shall protect and maintain the confidentiality of the Project Know-How and shall ensure that any sublicensee pursuant to this Section is bound by confidentiality and non-use obligations consistent with the confidentiality provisions of this Agreement as they apply to the Parties.</w:t>
      </w:r>
    </w:p>
    <w:p>
      <w:pPr>
        <w:spacing w:after="0" w:line="149" w:lineRule="exact"/>
        <w:rPr>
          <w:sz w:val="20"/>
          <w:szCs w:val="20"/>
          <w:color w:val="auto"/>
        </w:rPr>
      </w:pPr>
    </w:p>
    <w:p>
      <w:pPr>
        <w:jc w:val="right"/>
        <w:ind w:left="640"/>
        <w:spacing w:after="0" w:line="222" w:lineRule="auto"/>
        <w:rPr>
          <w:sz w:val="20"/>
          <w:szCs w:val="20"/>
          <w:color w:val="auto"/>
        </w:rPr>
      </w:pPr>
      <w:r>
        <w:rPr>
          <w:rFonts w:ascii="Times New Roman" w:cs="Times New Roman" w:eastAsia="Times New Roman" w:hAnsi="Times New Roman"/>
          <w:sz w:val="20"/>
          <w:szCs w:val="20"/>
          <w:color w:val="auto"/>
        </w:rPr>
        <w:t xml:space="preserve">10.2.2. </w:t>
      </w:r>
      <w:r>
        <w:rPr>
          <w:rFonts w:ascii="Times New Roman" w:cs="Times New Roman" w:eastAsia="Times New Roman" w:hAnsi="Times New Roman"/>
          <w:sz w:val="20"/>
          <w:szCs w:val="20"/>
          <w:u w:val="single" w:color="auto"/>
          <w:color w:val="auto"/>
        </w:rPr>
        <w:t>If no Option exercise</w:t>
      </w:r>
      <w:r>
        <w:rPr>
          <w:rFonts w:ascii="Times New Roman" w:cs="Times New Roman" w:eastAsia="Times New Roman" w:hAnsi="Times New Roman"/>
          <w:sz w:val="20"/>
          <w:szCs w:val="20"/>
          <w:color w:val="auto"/>
        </w:rPr>
        <w:t>. In case that the Project Term for such Project terminates or expires and (i) neither Party has exercised any of its Options for such Project or (ii) an Option for such Project was exercised but no license agreement was executed as</w:t>
      </w:r>
    </w:p>
    <w:p>
      <w:pPr>
        <w:spacing w:after="0" w:line="2" w:lineRule="exact"/>
        <w:rPr>
          <w:sz w:val="20"/>
          <w:szCs w:val="20"/>
          <w:color w:val="auto"/>
        </w:rPr>
      </w:pPr>
    </w:p>
    <w:p>
      <w:pPr>
        <w:ind w:left="1280"/>
        <w:spacing w:after="0" w:line="204" w:lineRule="auto"/>
        <w:rPr>
          <w:sz w:val="20"/>
          <w:szCs w:val="20"/>
          <w:color w:val="auto"/>
        </w:rPr>
      </w:pPr>
      <w:r>
        <w:rPr>
          <w:rFonts w:ascii="Times New Roman" w:cs="Times New Roman" w:eastAsia="Times New Roman" w:hAnsi="Times New Roman"/>
          <w:sz w:val="20"/>
          <w:szCs w:val="20"/>
          <w:color w:val="auto"/>
        </w:rPr>
        <w:t>a result (either a License Agreement if a Bayer Lead Series Option was exercised or an agreement on the Recursion Option if the Recursion Option was exercised), or (iii) to the extent Project Results are not exclusively licensed to a Party under the</w:t>
      </w:r>
    </w:p>
    <w:p>
      <w:pPr>
        <w:ind w:left="1280"/>
        <w:spacing w:after="0" w:line="211" w:lineRule="auto"/>
        <w:rPr>
          <w:sz w:val="20"/>
          <w:szCs w:val="20"/>
          <w:color w:val="auto"/>
        </w:rPr>
      </w:pPr>
      <w:r>
        <w:rPr>
          <w:rFonts w:ascii="Times New Roman" w:cs="Times New Roman" w:eastAsia="Times New Roman" w:hAnsi="Times New Roman"/>
          <w:sz w:val="20"/>
          <w:szCs w:val="20"/>
          <w:color w:val="auto"/>
        </w:rPr>
        <w:t>respective license agreement, and further subject to Section 10.2.3, each Party shall, after the expiry of the Project Term for</w:t>
      </w:r>
    </w:p>
    <w:p>
      <w:pPr>
        <w:spacing w:after="0" w:line="1" w:lineRule="exact"/>
        <w:rPr>
          <w:sz w:val="20"/>
          <w:szCs w:val="20"/>
          <w:color w:val="auto"/>
        </w:rPr>
      </w:pPr>
    </w:p>
    <w:p>
      <w:pPr>
        <w:ind w:left="1280"/>
        <w:spacing w:after="0" w:line="204" w:lineRule="auto"/>
        <w:rPr>
          <w:sz w:val="20"/>
          <w:szCs w:val="20"/>
          <w:color w:val="auto"/>
        </w:rPr>
      </w:pPr>
      <w:r>
        <w:rPr>
          <w:rFonts w:ascii="Times New Roman" w:cs="Times New Roman" w:eastAsia="Times New Roman" w:hAnsi="Times New Roman"/>
          <w:sz w:val="20"/>
          <w:szCs w:val="20"/>
          <w:color w:val="auto"/>
        </w:rPr>
        <w:t>such Project have the right to use, practice, develop and exploit their share in the Project Results of the respective Project solely for internal research and development purposes, including the right to sublicense its interest in the Project Results to</w:t>
      </w:r>
    </w:p>
    <w:p>
      <w:pPr>
        <w:ind w:left="1280"/>
        <w:spacing w:after="0" w:line="223" w:lineRule="auto"/>
        <w:rPr>
          <w:sz w:val="20"/>
          <w:szCs w:val="20"/>
          <w:color w:val="auto"/>
        </w:rPr>
      </w:pPr>
      <w:r>
        <w:rPr>
          <w:rFonts w:ascii="Times New Roman" w:cs="Times New Roman" w:eastAsia="Times New Roman" w:hAnsi="Times New Roman"/>
          <w:sz w:val="19"/>
          <w:szCs w:val="19"/>
          <w:color w:val="auto"/>
        </w:rPr>
        <w:t>Affiliates and Third Parties working for, with, or on behalf of the sublicensing Party for such purpose, without the consent of</w:t>
      </w:r>
    </w:p>
    <w:p>
      <w:pPr>
        <w:ind w:left="1280"/>
        <w:spacing w:after="0" w:line="215" w:lineRule="auto"/>
        <w:rPr>
          <w:sz w:val="20"/>
          <w:szCs w:val="20"/>
          <w:color w:val="auto"/>
        </w:rPr>
      </w:pPr>
      <w:r>
        <w:rPr>
          <w:rFonts w:ascii="Times New Roman" w:cs="Times New Roman" w:eastAsia="Times New Roman" w:hAnsi="Times New Roman"/>
          <w:sz w:val="19"/>
          <w:szCs w:val="19"/>
          <w:color w:val="auto"/>
        </w:rPr>
        <w:t xml:space="preserve">the other Party and without a duty of accounting to the other Party,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that neither Party may use any Project Know-How or allow its sublicensees to use of any Project Know-How for a Competing Project. Where such consent is</w:t>
      </w:r>
    </w:p>
    <w:p>
      <w:pPr>
        <w:ind w:left="1280"/>
        <w:spacing w:after="0" w:line="211" w:lineRule="auto"/>
        <w:rPr>
          <w:sz w:val="20"/>
          <w:szCs w:val="20"/>
          <w:color w:val="auto"/>
        </w:rPr>
      </w:pPr>
      <w:r>
        <w:rPr>
          <w:rFonts w:ascii="Times New Roman" w:cs="Times New Roman" w:eastAsia="Times New Roman" w:hAnsi="Times New Roman"/>
          <w:sz w:val="20"/>
          <w:szCs w:val="20"/>
          <w:color w:val="auto"/>
        </w:rPr>
        <w:t>required by Applicable Law, it is deemed hereby granted and where a duty of accounting to the other Party exists by</w:t>
      </w:r>
    </w:p>
    <w:p>
      <w:pPr>
        <w:ind w:left="1280"/>
        <w:spacing w:after="0" w:line="215" w:lineRule="auto"/>
        <w:rPr>
          <w:sz w:val="20"/>
          <w:szCs w:val="20"/>
          <w:color w:val="auto"/>
        </w:rPr>
      </w:pPr>
      <w:r>
        <w:rPr>
          <w:rFonts w:ascii="Times New Roman" w:cs="Times New Roman" w:eastAsia="Times New Roman" w:hAnsi="Times New Roman"/>
          <w:sz w:val="19"/>
          <w:szCs w:val="19"/>
          <w:color w:val="auto"/>
        </w:rPr>
        <w:t>Applicable Law, such duty is hereby waived. Where the Applicable Law in any country prevents that such consent or waiver is given in advance the Parties shall be obligated to give their consent or waiver at the given point in time. Notwithstanding</w:t>
      </w:r>
    </w:p>
    <w:p>
      <w:pPr>
        <w:ind w:left="1280"/>
        <w:spacing w:after="0" w:line="211" w:lineRule="auto"/>
        <w:rPr>
          <w:sz w:val="20"/>
          <w:szCs w:val="20"/>
          <w:color w:val="auto"/>
        </w:rPr>
      </w:pPr>
      <w:r>
        <w:rPr>
          <w:rFonts w:ascii="Times New Roman" w:cs="Times New Roman" w:eastAsia="Times New Roman" w:hAnsi="Times New Roman"/>
          <w:sz w:val="20"/>
          <w:szCs w:val="20"/>
          <w:color w:val="auto"/>
        </w:rPr>
        <w:t>the foregoing due to the joint ownership of the Project Results, neither Party shall have the right to assign the entire Project</w:t>
      </w:r>
    </w:p>
    <w:p>
      <w:pPr>
        <w:ind w:left="1280"/>
        <w:spacing w:after="0" w:line="221" w:lineRule="auto"/>
        <w:rPr>
          <w:sz w:val="20"/>
          <w:szCs w:val="20"/>
          <w:color w:val="auto"/>
        </w:rPr>
      </w:pPr>
      <w:r>
        <w:rPr>
          <w:rFonts w:ascii="Times New Roman" w:cs="Times New Roman" w:eastAsia="Times New Roman" w:hAnsi="Times New Roman"/>
          <w:sz w:val="20"/>
          <w:szCs w:val="20"/>
          <w:color w:val="auto"/>
        </w:rPr>
        <w:t>Results or entire rights to the Project Results without the other Party’s prior written consent (except in connection with a permitted assignment of this Agreement in accordance with Section 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9" w:right="339" w:bottom="1440" w:gutter="0" w:footer="0" w:header="0"/>
        </w:sectPr>
      </w:pPr>
    </w:p>
    <w:bookmarkStart w:id="242" w:name="page243"/>
    <w:bookmarkEnd w:id="242"/>
    <w:p>
      <w:pPr>
        <w:ind w:left="640"/>
        <w:spacing w:after="0"/>
        <w:rPr>
          <w:sz w:val="20"/>
          <w:szCs w:val="20"/>
          <w:color w:val="auto"/>
        </w:rPr>
      </w:pPr>
      <w:r>
        <w:rPr>
          <w:rFonts w:ascii="Times New Roman" w:cs="Times New Roman" w:eastAsia="Times New Roman" w:hAnsi="Times New Roman"/>
          <w:sz w:val="19"/>
          <w:szCs w:val="19"/>
          <w:color w:val="auto"/>
        </w:rPr>
        <w:t>The Parties shall protect and maintain the confidentiality of the Project Results and shall ensure that any sublicensee pursuant</w:t>
      </w:r>
    </w:p>
    <w:p>
      <w:pPr>
        <w:spacing w:after="0" w:line="6"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to this Section is bound by confidentiality and non-use obligations consistent with the confidentiality provisions of this Agreement as they apply to the Parties.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For the avoidance of doubt, with respect to a Party, the limitations on use of Project Know-How as set forth in this Section</w:t>
      </w:r>
    </w:p>
    <w:p>
      <w:pPr>
        <w:ind w:left="640"/>
        <w:spacing w:after="0" w:line="221" w:lineRule="auto"/>
        <w:rPr>
          <w:sz w:val="20"/>
          <w:szCs w:val="20"/>
          <w:color w:val="auto"/>
        </w:rPr>
      </w:pPr>
      <w:r>
        <w:rPr>
          <w:rFonts w:ascii="Times New Roman" w:cs="Times New Roman" w:eastAsia="Times New Roman" w:hAnsi="Times New Roman"/>
          <w:sz w:val="20"/>
          <w:szCs w:val="20"/>
          <w:color w:val="auto"/>
        </w:rPr>
        <w:t>10.2.2 shall not apply to such Party to the extent that such Project Know-How is publicly known through no fault or omission of such Party or any of its Affiliate.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10.2.3. Without limiting the restrictions on use of the Project Results set forth in this Section 10.2, in the event that a Party wishes to</w:t>
      </w:r>
    </w:p>
    <w:p>
      <w:pPr>
        <w:spacing w:after="0" w:line="6"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pursue the clinical development or commercialization of a Project Compound or Derivative thereof, outside of the Option and license structure provided in Article 8, or in the event that a Party wishes to pursue clinical development or</w:t>
      </w:r>
    </w:p>
    <w:p>
      <w:pPr>
        <w:ind w:left="640"/>
        <w:spacing w:after="0" w:line="211" w:lineRule="auto"/>
        <w:rPr>
          <w:sz w:val="20"/>
          <w:szCs w:val="20"/>
          <w:color w:val="auto"/>
        </w:rPr>
      </w:pPr>
      <w:r>
        <w:rPr>
          <w:rFonts w:ascii="Times New Roman" w:cs="Times New Roman" w:eastAsia="Times New Roman" w:hAnsi="Times New Roman"/>
          <w:sz w:val="20"/>
          <w:szCs w:val="20"/>
          <w:color w:val="auto"/>
        </w:rPr>
        <w:t>commercialization of an Enabled Compound outside of the scope of any such development or commercialization permitted</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pursuant to a license resulting from Article 8, such Party shall give the other Party written notice thereof, and the Parties shall, prior to any filing of an IND or conducting other clinical development or commercialization activities with respect to</w:t>
      </w:r>
    </w:p>
    <w:p>
      <w:pPr>
        <w:ind w:left="640"/>
        <w:spacing w:after="0" w:line="211" w:lineRule="auto"/>
        <w:rPr>
          <w:sz w:val="20"/>
          <w:szCs w:val="20"/>
          <w:color w:val="auto"/>
        </w:rPr>
      </w:pPr>
      <w:r>
        <w:rPr>
          <w:rFonts w:ascii="Times New Roman" w:cs="Times New Roman" w:eastAsia="Times New Roman" w:hAnsi="Times New Roman"/>
          <w:sz w:val="20"/>
          <w:szCs w:val="20"/>
          <w:color w:val="auto"/>
        </w:rPr>
        <w:t>such Compound, discuss in good faith the financial and other terms that would be applicable to such development and</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commercialization, and if agreed, the Parties will enter into a separate agreement with respect to such activities. Restrictions on a Party’s activities in this Section 10.2 will apply to activities conducted by such Party itself or with or through any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Affiliate of such Party or Third Party.</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10.2.4. </w:t>
      </w:r>
      <w:r>
        <w:rPr>
          <w:rFonts w:ascii="Times New Roman" w:cs="Times New Roman" w:eastAsia="Times New Roman" w:hAnsi="Times New Roman"/>
          <w:sz w:val="20"/>
          <w:szCs w:val="20"/>
          <w:u w:val="single" w:color="auto"/>
          <w:color w:val="auto"/>
        </w:rPr>
        <w:t>If Option is exercised</w:t>
      </w:r>
      <w:r>
        <w:rPr>
          <w:rFonts w:ascii="Times New Roman" w:cs="Times New Roman" w:eastAsia="Times New Roman" w:hAnsi="Times New Roman"/>
          <w:sz w:val="20"/>
          <w:szCs w:val="20"/>
          <w:color w:val="auto"/>
        </w:rPr>
        <w:t>. In the event that Bayer exercises an Option and the Parties execute a License Agreement with respect to a Lead Series, Bayer shall have exclusive rights to Recursion’s share in the Project Results of the respective Project to the</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extent set forth in such License Agreement. In the event that Bayer does not exercise its Option with respect to a Lead Series, but the Parties reach an agreement on the Recursion Option with respect thereto, Recursion shall have exclusive or non-</w:t>
      </w:r>
    </w:p>
    <w:p>
      <w:pPr>
        <w:ind w:left="640"/>
        <w:spacing w:after="0" w:line="222" w:lineRule="auto"/>
        <w:rPr>
          <w:sz w:val="20"/>
          <w:szCs w:val="20"/>
          <w:color w:val="auto"/>
        </w:rPr>
      </w:pPr>
      <w:r>
        <w:rPr>
          <w:rFonts w:ascii="Times New Roman" w:cs="Times New Roman" w:eastAsia="Times New Roman" w:hAnsi="Times New Roman"/>
          <w:sz w:val="19"/>
          <w:szCs w:val="19"/>
          <w:color w:val="auto"/>
        </w:rPr>
        <w:t>exclusive rights to Bayer’s share in the Project Results to the extent set forth in the license agreement negotiated between the</w:t>
      </w:r>
    </w:p>
    <w:p>
      <w:pPr>
        <w:ind w:left="640"/>
        <w:spacing w:after="0" w:line="204" w:lineRule="auto"/>
        <w:rPr>
          <w:sz w:val="20"/>
          <w:szCs w:val="20"/>
          <w:color w:val="auto"/>
        </w:rPr>
      </w:pPr>
      <w:r>
        <w:rPr>
          <w:rFonts w:ascii="Times New Roman" w:cs="Times New Roman" w:eastAsia="Times New Roman" w:hAnsi="Times New Roman"/>
          <w:sz w:val="20"/>
          <w:szCs w:val="20"/>
          <w:color w:val="auto"/>
        </w:rPr>
        <w:t>Parties regarding such Recursion Option. To the extent Project Results are not exclusively licensed to a Party under the respective license agreement, and further subject to Section 10.2.3, with regard to any Project Know-How that has been</w:t>
      </w:r>
    </w:p>
    <w:p>
      <w:pPr>
        <w:ind w:left="640"/>
        <w:spacing w:after="0" w:line="211" w:lineRule="auto"/>
        <w:rPr>
          <w:sz w:val="20"/>
          <w:szCs w:val="20"/>
          <w:color w:val="auto"/>
        </w:rPr>
      </w:pPr>
      <w:r>
        <w:rPr>
          <w:rFonts w:ascii="Times New Roman" w:cs="Times New Roman" w:eastAsia="Times New Roman" w:hAnsi="Times New Roman"/>
          <w:sz w:val="20"/>
          <w:szCs w:val="20"/>
          <w:color w:val="auto"/>
        </w:rPr>
        <w:t>disclosed to the respective Party, each Party shall have the right to use, practice, develop and exploit their share in such</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Project Know-How of the respective Project solely for internal research and development purposes, including the right to sublicense its interest in the Project Results to Affiliates and Third Parties working for, with, or on behalf of the sublicensing</w:t>
      </w:r>
    </w:p>
    <w:p>
      <w:pPr>
        <w:ind w:left="640"/>
        <w:spacing w:after="0" w:line="211" w:lineRule="auto"/>
        <w:rPr>
          <w:sz w:val="20"/>
          <w:szCs w:val="20"/>
          <w:color w:val="auto"/>
        </w:rPr>
      </w:pPr>
      <w:r>
        <w:rPr>
          <w:rFonts w:ascii="Times New Roman" w:cs="Times New Roman" w:eastAsia="Times New Roman" w:hAnsi="Times New Roman"/>
          <w:sz w:val="20"/>
          <w:szCs w:val="20"/>
          <w:color w:val="auto"/>
        </w:rPr>
        <w:t xml:space="preserve">Party for such purpose, without the consent of the other Party and without a duty of accounting to the other Party, </w:t>
      </w:r>
      <w:r>
        <w:rPr>
          <w:rFonts w:ascii="Times New Roman" w:cs="Times New Roman" w:eastAsia="Times New Roman" w:hAnsi="Times New Roman"/>
          <w:sz w:val="20"/>
          <w:szCs w:val="20"/>
          <w:u w:val="single" w:color="auto"/>
          <w:color w:val="auto"/>
        </w:rPr>
        <w:t>provided,</w:t>
      </w:r>
    </w:p>
    <w:p>
      <w:pPr>
        <w:ind w:left="640"/>
        <w:spacing w:after="0" w:line="204" w:lineRule="auto"/>
        <w:rPr>
          <w:sz w:val="20"/>
          <w:szCs w:val="20"/>
          <w:color w:val="auto"/>
        </w:rPr>
      </w:pP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neither Party may use any Project Know-How or allow its sublicensee the use of any Project Know-How for a Competing Project except to the extent expressly permitted in the applicable license agreement between the Parties. Where</w:t>
      </w:r>
    </w:p>
    <w:p>
      <w:pPr>
        <w:ind w:left="640"/>
        <w:spacing w:after="0" w:line="211" w:lineRule="auto"/>
        <w:rPr>
          <w:sz w:val="20"/>
          <w:szCs w:val="20"/>
          <w:color w:val="auto"/>
        </w:rPr>
      </w:pPr>
      <w:r>
        <w:rPr>
          <w:rFonts w:ascii="Times New Roman" w:cs="Times New Roman" w:eastAsia="Times New Roman" w:hAnsi="Times New Roman"/>
          <w:sz w:val="20"/>
          <w:szCs w:val="20"/>
          <w:color w:val="auto"/>
        </w:rPr>
        <w:t>such consent is required by Applicable Law, it is deemed hereby granted and where a duty of accounting to the other Party</w:t>
      </w:r>
    </w:p>
    <w:p>
      <w:pPr>
        <w:spacing w:after="0" w:line="1" w:lineRule="exact"/>
        <w:rPr>
          <w:sz w:val="20"/>
          <w:szCs w:val="20"/>
          <w:color w:val="auto"/>
        </w:rPr>
      </w:pP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exists by Applicable Law, such duty is hereby waived. Where the Applicable Law in any country prevents that such consent or waiver is given in advance the Parties shall be obligated to give their consent or waiver at the given point in time.</w:t>
      </w:r>
    </w:p>
    <w:p>
      <w:pPr>
        <w:ind w:left="640"/>
        <w:spacing w:after="0" w:line="211" w:lineRule="auto"/>
        <w:rPr>
          <w:sz w:val="20"/>
          <w:szCs w:val="20"/>
          <w:color w:val="auto"/>
        </w:rPr>
      </w:pPr>
      <w:r>
        <w:rPr>
          <w:rFonts w:ascii="Times New Roman" w:cs="Times New Roman" w:eastAsia="Times New Roman" w:hAnsi="Times New Roman"/>
          <w:sz w:val="20"/>
          <w:szCs w:val="20"/>
          <w:color w:val="auto"/>
        </w:rPr>
        <w:t>Notwithstanding the foregoing due to the joint ownership of the Project Know-How, neither Party shall have the right to</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assign the entire Project Know-How or entire rights to the Project Know-How without the other Party’s prior written consent (except in connection with a permitted assignment of this Agreement in accordance with Section 17.5).</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Parties shall protect and maintain the confidentiality of the Project Know-How and shall ensure that any sublicensee</w:t>
      </w:r>
    </w:p>
    <w:p>
      <w:pPr>
        <w:ind w:left="640"/>
        <w:spacing w:after="0" w:line="221" w:lineRule="auto"/>
        <w:rPr>
          <w:sz w:val="20"/>
          <w:szCs w:val="20"/>
          <w:color w:val="auto"/>
        </w:rPr>
      </w:pPr>
      <w:r>
        <w:rPr>
          <w:rFonts w:ascii="Times New Roman" w:cs="Times New Roman" w:eastAsia="Times New Roman" w:hAnsi="Times New Roman"/>
          <w:sz w:val="20"/>
          <w:szCs w:val="20"/>
          <w:color w:val="auto"/>
        </w:rPr>
        <w:t>pursuant to this Section is bound by confidentiality and non-use obligations consistent with the confidentiality provisions of this Agreement as they apply to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600"/>
          </w:cols>
          <w:pgMar w:left="960" w:top="1399" w:right="339" w:bottom="1440" w:gutter="0" w:footer="0" w:header="0"/>
        </w:sectPr>
      </w:pPr>
    </w:p>
    <w:bookmarkStart w:id="243" w:name="page244"/>
    <w:bookmarkEnd w:id="243"/>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u w:val="single" w:color="auto"/>
          <w:color w:val="auto"/>
        </w:rPr>
        <w:t>No other licenses</w:t>
      </w:r>
      <w:r>
        <w:rPr>
          <w:rFonts w:ascii="Times New Roman" w:cs="Times New Roman" w:eastAsia="Times New Roman" w:hAnsi="Times New Roman"/>
          <w:sz w:val="20"/>
          <w:szCs w:val="20"/>
          <w:color w:val="auto"/>
        </w:rPr>
        <w:t>. Nothing in this Agreement shall be construed to confer any license or other rights upon a Party by implication,</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estoppel, or otherwise as to any Intellectual Property Rights or Know-How of the other Party other than as expressly granted in this Agreement.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u w:val="single" w:color="auto"/>
          <w:color w:val="auto"/>
        </w:rPr>
        <w:t>Permitted Use of Know-How</w:t>
      </w:r>
      <w:r>
        <w:rPr>
          <w:rFonts w:ascii="Times New Roman" w:cs="Times New Roman" w:eastAsia="Times New Roman" w:hAnsi="Times New Roman"/>
          <w:sz w:val="20"/>
          <w:szCs w:val="20"/>
          <w:color w:val="auto"/>
        </w:rPr>
        <w:t>. To the extent that any information included in a Party’s Know-How ceases to be Confidential</w:t>
      </w:r>
    </w:p>
    <w:p>
      <w:pPr>
        <w:ind w:left="640"/>
        <w:spacing w:after="0" w:line="215" w:lineRule="auto"/>
        <w:rPr>
          <w:sz w:val="20"/>
          <w:szCs w:val="20"/>
          <w:color w:val="auto"/>
        </w:rPr>
      </w:pPr>
      <w:r>
        <w:rPr>
          <w:rFonts w:ascii="Times New Roman" w:cs="Times New Roman" w:eastAsia="Times New Roman" w:hAnsi="Times New Roman"/>
          <w:sz w:val="19"/>
          <w:szCs w:val="19"/>
          <w:color w:val="auto"/>
        </w:rPr>
        <w:t>Information of such Party because it falls into one of the exclusions in Section 12.3, nothing in this Agreement restricts the other Party from using such information in conducting research, development and/or commercialization of products or services to the same</w:t>
      </w:r>
    </w:p>
    <w:p>
      <w:pPr>
        <w:ind w:left="640"/>
        <w:spacing w:after="0" w:line="222" w:lineRule="auto"/>
        <w:rPr>
          <w:sz w:val="20"/>
          <w:szCs w:val="20"/>
          <w:color w:val="auto"/>
        </w:rPr>
      </w:pPr>
      <w:r>
        <w:rPr>
          <w:rFonts w:ascii="Times New Roman" w:cs="Times New Roman" w:eastAsia="Times New Roman" w:hAnsi="Times New Roman"/>
          <w:sz w:val="19"/>
          <w:szCs w:val="19"/>
          <w:color w:val="auto"/>
        </w:rPr>
        <w:t>extent that a Third Party who lawfully obtained such information without obligations of confidentiality and non-use to the first Party</w:t>
      </w: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would be able to do. For purposes of clarity, this Section 10.4 does not override any other license terms or confidentiality provisions between the Parties that would otherwise govern such information.</w:t>
      </w:r>
    </w:p>
    <w:p>
      <w:pPr>
        <w:spacing w:after="0" w:line="171" w:lineRule="exact"/>
        <w:rPr>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PATENT PROSECUTION</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Patent Prosecution before Option Exercise/Expiry of Option Periods</w:t>
      </w:r>
      <w:r>
        <w:rPr>
          <w:rFonts w:ascii="Times New Roman" w:cs="Times New Roman" w:eastAsia="Times New Roman" w:hAnsi="Times New Roman"/>
          <w:sz w:val="19"/>
          <w:szCs w:val="19"/>
          <w:color w:val="auto"/>
        </w:rPr>
        <w:t>. As to each Project and until expiry of the Project Term for such</w:t>
      </w:r>
    </w:p>
    <w:p>
      <w:pPr>
        <w:ind w:left="640"/>
        <w:spacing w:after="0"/>
        <w:rPr>
          <w:sz w:val="20"/>
          <w:szCs w:val="20"/>
          <w:color w:val="auto"/>
        </w:rPr>
      </w:pPr>
      <w:r>
        <w:rPr>
          <w:rFonts w:ascii="Times New Roman" w:cs="Times New Roman" w:eastAsia="Times New Roman" w:hAnsi="Times New Roman"/>
          <w:sz w:val="20"/>
          <w:szCs w:val="20"/>
          <w:color w:val="auto"/>
        </w:rPr>
        <w:t>Project, the Parties agree with respect to the filing of Project Patents for such Project to the following:</w:t>
      </w:r>
    </w:p>
    <w:p>
      <w:pPr>
        <w:spacing w:after="0" w:line="153" w:lineRule="exact"/>
        <w:rPr>
          <w:sz w:val="20"/>
          <w:szCs w:val="20"/>
          <w:color w:val="auto"/>
        </w:rPr>
      </w:pPr>
    </w:p>
    <w:p>
      <w:pPr>
        <w:ind w:left="640" w:right="20"/>
        <w:spacing w:after="0"/>
        <w:rPr>
          <w:sz w:val="20"/>
          <w:szCs w:val="20"/>
          <w:color w:val="auto"/>
        </w:rPr>
      </w:pPr>
      <w:r>
        <w:rPr>
          <w:rFonts w:ascii="Times New Roman" w:cs="Times New Roman" w:eastAsia="Times New Roman" w:hAnsi="Times New Roman"/>
          <w:sz w:val="20"/>
          <w:szCs w:val="20"/>
          <w:color w:val="auto"/>
        </w:rPr>
        <w:t>Project Patents, where permitted by Applicable Law, shall be filed in Bayer’s and Recursion’s name and assigned to both Bayer and Recursion jointly.</w:t>
      </w:r>
    </w:p>
    <w:p>
      <w:pPr>
        <w:spacing w:after="0" w:line="16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20"/>
          <w:szCs w:val="20"/>
          <w:color w:val="auto"/>
        </w:rPr>
        <w:t xml:space="preserve">Bayer shall be responsible for, either itself or through an outside patent counsel of its choice, filing, prosecuting and maintaining any Project Patents and shall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cover the running costs here for. Bayer or outside counsel shall care of the filing, prosecution and</w:t>
      </w:r>
    </w:p>
    <w:p>
      <w:pPr>
        <w:ind w:left="640"/>
        <w:spacing w:after="0" w:line="212" w:lineRule="auto"/>
        <w:rPr>
          <w:sz w:val="20"/>
          <w:szCs w:val="20"/>
          <w:color w:val="auto"/>
        </w:rPr>
      </w:pPr>
      <w:r>
        <w:rPr>
          <w:rFonts w:ascii="Times New Roman" w:cs="Times New Roman" w:eastAsia="Times New Roman" w:hAnsi="Times New Roman"/>
          <w:sz w:val="20"/>
          <w:szCs w:val="20"/>
          <w:color w:val="auto"/>
        </w:rPr>
        <w:t>maintenance of the Project Patents in close alignment with Recursion, including discussion of patent scope, subsequent applications</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and other matters of patent strategy. Bayer, either itself or through their outside patent counsel, will keep Recursion fully informed with respect to the status of the filing, prosecution (EP and US) and maintenance of the Project Patents and will provide material</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submissions to any patent office related to the filing, prosecution and maintenance of the Project Patents to Recursion for review and comment at least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days prior to submission thereof. Bayer will consider any comments from Recursion in good faith. Bayer will</w:t>
      </w:r>
    </w:p>
    <w:p>
      <w:pPr>
        <w:ind w:left="640"/>
        <w:spacing w:after="0" w:line="211" w:lineRule="auto"/>
        <w:rPr>
          <w:sz w:val="20"/>
          <w:szCs w:val="20"/>
          <w:color w:val="auto"/>
        </w:rPr>
      </w:pPr>
      <w:r>
        <w:rPr>
          <w:rFonts w:ascii="Times New Roman" w:cs="Times New Roman" w:eastAsia="Times New Roman" w:hAnsi="Times New Roman"/>
          <w:sz w:val="20"/>
          <w:szCs w:val="20"/>
          <w:color w:val="auto"/>
        </w:rPr>
        <w:t>also notify Recursion in writing about and provide copies to Recursion of, any relevant substantial correspondence including all</w:t>
      </w:r>
    </w:p>
    <w:p>
      <w:pPr>
        <w:ind w:left="640"/>
        <w:spacing w:after="0" w:line="215" w:lineRule="auto"/>
        <w:rPr>
          <w:sz w:val="20"/>
          <w:szCs w:val="20"/>
          <w:color w:val="auto"/>
        </w:rPr>
      </w:pPr>
      <w:r>
        <w:rPr>
          <w:rFonts w:ascii="Times New Roman" w:cs="Times New Roman" w:eastAsia="Times New Roman" w:hAnsi="Times New Roman"/>
          <w:sz w:val="19"/>
          <w:szCs w:val="19"/>
          <w:color w:val="auto"/>
        </w:rPr>
        <w:t>newly filed patent applications of Project Patents, proposal of countries in which the patent application shall be filed, notifications on allowance, issue or grant and office actions. Bayer shall have the right to apply for a Project Patent in any country or region of the</w:t>
      </w:r>
    </w:p>
    <w:p>
      <w:pPr>
        <w:ind w:left="640"/>
        <w:spacing w:after="0" w:line="211" w:lineRule="auto"/>
        <w:rPr>
          <w:sz w:val="20"/>
          <w:szCs w:val="20"/>
          <w:color w:val="auto"/>
        </w:rPr>
      </w:pPr>
      <w:r>
        <w:rPr>
          <w:rFonts w:ascii="Times New Roman" w:cs="Times New Roman" w:eastAsia="Times New Roman" w:hAnsi="Times New Roman"/>
          <w:sz w:val="20"/>
          <w:szCs w:val="20"/>
          <w:color w:val="auto"/>
        </w:rPr>
        <w:t>world. Bayer shall not give up substantial scope of the claims (unless a claim is determined to be invalid by the PTAB (Patent Trial</w:t>
      </w:r>
    </w:p>
    <w:p>
      <w:pPr>
        <w:ind w:left="640"/>
        <w:spacing w:after="0" w:line="215" w:lineRule="auto"/>
        <w:rPr>
          <w:sz w:val="20"/>
          <w:szCs w:val="20"/>
          <w:color w:val="auto"/>
        </w:rPr>
      </w:pPr>
      <w:r>
        <w:rPr>
          <w:rFonts w:ascii="Times New Roman" w:cs="Times New Roman" w:eastAsia="Times New Roman" w:hAnsi="Times New Roman"/>
          <w:sz w:val="19"/>
          <w:szCs w:val="19"/>
          <w:color w:val="auto"/>
        </w:rPr>
        <w:t>and Appeal Board) at the US PTO, by a Board of Appeal at the EPO or by a national court) or abandon any Project Patents without Recursion’s prior written consent. For the avoidance of doubt, this means that a determination of invalidity of a claim by either PTAB</w:t>
      </w:r>
    </w:p>
    <w:p>
      <w:pPr>
        <w:ind w:left="640"/>
        <w:spacing w:after="0"/>
        <w:rPr>
          <w:sz w:val="20"/>
          <w:szCs w:val="20"/>
          <w:color w:val="auto"/>
        </w:rPr>
      </w:pPr>
      <w:r>
        <w:rPr>
          <w:rFonts w:ascii="Times New Roman" w:cs="Times New Roman" w:eastAsia="Times New Roman" w:hAnsi="Times New Roman"/>
          <w:sz w:val="20"/>
          <w:szCs w:val="20"/>
          <w:color w:val="auto"/>
        </w:rPr>
        <w:t>or Boards of Appeal allows to cancel this claim in any country without Recursion’s prior written consent.</w:t>
      </w:r>
    </w:p>
    <w:p>
      <w:pPr>
        <w:spacing w:after="0" w:line="167"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20"/>
          <w:szCs w:val="20"/>
          <w:color w:val="auto"/>
        </w:rPr>
        <w:t xml:space="preserve">If Bayer decides to abandon, surrender, revoke, or invalidate or not to apply for or maintain any Project Patent in any country or abandon any previously restricted or amended claims, Bayer will provide written notice to Recursion,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prior to the date an</w:t>
      </w:r>
    </w:p>
    <w:p>
      <w:pPr>
        <w:ind w:left="640"/>
        <w:spacing w:after="0" w:line="212" w:lineRule="auto"/>
        <w:rPr>
          <w:sz w:val="20"/>
          <w:szCs w:val="20"/>
          <w:color w:val="auto"/>
        </w:rPr>
      </w:pPr>
      <w:r>
        <w:rPr>
          <w:rFonts w:ascii="Times New Roman" w:cs="Times New Roman" w:eastAsia="Times New Roman" w:hAnsi="Times New Roman"/>
          <w:sz w:val="20"/>
          <w:szCs w:val="20"/>
          <w:color w:val="auto"/>
        </w:rPr>
        <w:t>action is due, of Bayer’s intent to abandon, surrender, revoke, or invalidate or not respond to any official correspondence that will</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result in the loss of rights (or with respect to Patents not yet filed, within forty-five (45) days after Recursion’s request to apply for such Patent). Recursion may then, at Recursion’s sole discretion and sole cost and expense, elect to prosecute and maintain the</w:t>
      </w:r>
    </w:p>
    <w:p>
      <w:pPr>
        <w:ind w:left="640"/>
        <w:spacing w:after="0" w:line="211" w:lineRule="auto"/>
        <w:rPr>
          <w:sz w:val="20"/>
          <w:szCs w:val="20"/>
          <w:color w:val="auto"/>
        </w:rPr>
      </w:pPr>
      <w:r>
        <w:rPr>
          <w:rFonts w:ascii="Times New Roman" w:cs="Times New Roman" w:eastAsia="Times New Roman" w:hAnsi="Times New Roman"/>
          <w:sz w:val="20"/>
          <w:szCs w:val="20"/>
          <w:color w:val="auto"/>
        </w:rPr>
        <w:t xml:space="preserve">respective Project Patent. Recursion may accept such offer in writing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after having received the offer. Upon receipt</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of Recursion’s notice of acceptance, Recursion shall forthwith be responsible for the rights and obligations and costs resulting from such Project Patent and such (formerly) Project Patent will cease to be a Project Patent under this Agreement. The Parties shall take</w:t>
      </w:r>
    </w:p>
    <w:p>
      <w:pPr>
        <w:ind w:left="640"/>
        <w:spacing w:after="0" w:line="211" w:lineRule="auto"/>
        <w:rPr>
          <w:sz w:val="20"/>
          <w:szCs w:val="20"/>
          <w:color w:val="auto"/>
        </w:rPr>
      </w:pPr>
      <w:r>
        <w:rPr>
          <w:rFonts w:ascii="Times New Roman" w:cs="Times New Roman" w:eastAsia="Times New Roman" w:hAnsi="Times New Roman"/>
          <w:sz w:val="20"/>
          <w:szCs w:val="20"/>
          <w:color w:val="auto"/>
        </w:rPr>
        <w:t>all measures necessary for the transfer of Bayer’s co-ownership share in such (formerly) Project Patent to Recursion, and for the</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transfer of patent prosecution responsibility from Bayer to Recursion; transfer costs imposed by respective patent attorneys and registration costs imposed by the respective public registers shall be borne by Recursion and all rights granted to Bayer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4"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9"/>
          <w:szCs w:val="19"/>
          <w:color w:val="auto"/>
        </w:rPr>
        <w:t>Agreement to such Project Patents shall cease. In case Recursion refuses the offer or does not provide its acceptance in writing within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period, Bayer has the right to abandon or to not apply for the offered Project Patent. Bayer shall not be liable to Recursion for ultimate discontinuation of such Project Patents, except in the case that Bayer intentionally ignores said Recursion’s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acceptance notice, provided, however, that Bayer has timely received such acceptance notice and discontinuation of the respective Project Patents is irreversible.</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3.6.1.  </w:t>
      </w:r>
      <w:r>
        <w:rPr>
          <w:rFonts w:ascii="Times New Roman" w:cs="Times New Roman" w:eastAsia="Times New Roman" w:hAnsi="Times New Roman"/>
          <w:sz w:val="20"/>
          <w:szCs w:val="20"/>
          <w:u w:val="single" w:color="auto"/>
          <w:color w:val="auto"/>
        </w:rPr>
        <w:t>Patent Prosecution if no Option Exercise</w:t>
      </w:r>
      <w:r>
        <w:rPr>
          <w:rFonts w:ascii="Times New Roman" w:cs="Times New Roman" w:eastAsia="Times New Roman" w:hAnsi="Times New Roman"/>
          <w:sz w:val="20"/>
          <w:szCs w:val="20"/>
          <w:color w:val="auto"/>
        </w:rPr>
        <w:t>. Unless Recursion exercises its Option with respect to a Project, after the Project Term expires, Bayer shall remain responsible for, either itself or through an outside patent counsel of its choice, for filing,</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prosecuting and maintaining any Project Patent as described in Section 11.1. The costs here for will be carried by Bayer. Unless stated otherwise in this Section 11.1.1, the provisions in Section 11.1 shall apply. If Recursion is interested in taking</w:t>
      </w:r>
    </w:p>
    <w:p>
      <w:pPr>
        <w:ind w:left="640"/>
        <w:spacing w:after="0" w:line="211" w:lineRule="auto"/>
        <w:rPr>
          <w:sz w:val="20"/>
          <w:szCs w:val="20"/>
          <w:color w:val="auto"/>
        </w:rPr>
      </w:pPr>
      <w:r>
        <w:rPr>
          <w:rFonts w:ascii="Times New Roman" w:cs="Times New Roman" w:eastAsia="Times New Roman" w:hAnsi="Times New Roman"/>
          <w:sz w:val="20"/>
          <w:szCs w:val="20"/>
          <w:color w:val="auto"/>
        </w:rPr>
        <w:t>over the responsibility for the respective Project Patent, the Parties will discuss a transfer of the responsibility which Bayer</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shall not unreasonably withhold, provided that such Project Patents do not cover subject matter of other then-ongoing Projects.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3.6.2.</w:t>
      </w:r>
      <w:r>
        <w:rPr>
          <w:sz w:val="20"/>
          <w:szCs w:val="20"/>
          <w:color w:val="auto"/>
        </w:rPr>
        <w:tab/>
      </w:r>
      <w:r>
        <w:rPr>
          <w:rFonts w:ascii="Times New Roman" w:cs="Times New Roman" w:eastAsia="Times New Roman" w:hAnsi="Times New Roman"/>
          <w:sz w:val="19"/>
          <w:szCs w:val="19"/>
          <w:u w:val="single" w:color="auto"/>
          <w:color w:val="auto"/>
        </w:rPr>
        <w:t>Patent Enforcement before Option Exercise/Expiry of Option Periods or if No Option Exercise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 xml:space="preserve">3.9.3.1.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During the Project Term and thereafter if no Option was exercised during the Project Term, if any Project Patent for such Project is infringed or might be infringed by a Third Party (each an “</w:t>
      </w:r>
      <w:r>
        <w:rPr>
          <w:rFonts w:ascii="Times New Roman" w:cs="Times New Roman" w:eastAsia="Times New Roman" w:hAnsi="Times New Roman"/>
          <w:sz w:val="20"/>
          <w:szCs w:val="20"/>
          <w:u w:val="single" w:color="auto"/>
          <w:color w:val="auto"/>
        </w:rPr>
        <w:t>Infringement</w:t>
      </w:r>
      <w:r>
        <w:rPr>
          <w:rFonts w:ascii="Times New Roman" w:cs="Times New Roman" w:eastAsia="Times New Roman" w:hAnsi="Times New Roman"/>
          <w:sz w:val="20"/>
          <w:szCs w:val="20"/>
          <w:color w:val="auto"/>
        </w:rPr>
        <w:t>”), the Party first</w:t>
      </w:r>
    </w:p>
    <w:p>
      <w:pPr>
        <w:spacing w:after="0" w:line="1" w:lineRule="exact"/>
        <w:rPr>
          <w:sz w:val="20"/>
          <w:szCs w:val="20"/>
          <w:color w:val="auto"/>
        </w:rPr>
      </w:pPr>
    </w:p>
    <w:p>
      <w:pPr>
        <w:ind w:left="1420"/>
        <w:spacing w:after="0" w:line="228" w:lineRule="auto"/>
        <w:rPr>
          <w:sz w:val="20"/>
          <w:szCs w:val="20"/>
          <w:color w:val="auto"/>
        </w:rPr>
      </w:pPr>
      <w:r>
        <w:rPr>
          <w:rFonts w:ascii="Times New Roman" w:cs="Times New Roman" w:eastAsia="Times New Roman" w:hAnsi="Times New Roman"/>
          <w:sz w:val="20"/>
          <w:szCs w:val="20"/>
          <w:color w:val="auto"/>
        </w:rPr>
        <w:t>having knowledge thereof shall promptly notify the other Parties in writing. Such notice shall set forth the facts of the Infringement in reasonable detail, if known.</w:t>
      </w:r>
    </w:p>
    <w:p>
      <w:pPr>
        <w:spacing w:after="0" w:line="149"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3.9.3.2.</w:t>
      </w:r>
      <w:r>
        <w:rPr>
          <w:sz w:val="20"/>
          <w:szCs w:val="20"/>
          <w:color w:val="auto"/>
        </w:rPr>
        <w:tab/>
      </w:r>
      <w:r>
        <w:rPr>
          <w:rFonts w:ascii="Times New Roman" w:cs="Times New Roman" w:eastAsia="Times New Roman" w:hAnsi="Times New Roman"/>
          <w:sz w:val="19"/>
          <w:szCs w:val="19"/>
          <w:u w:val="single" w:color="auto"/>
          <w:color w:val="auto"/>
        </w:rPr>
        <w:t>Enforcement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920" w:hanging="511"/>
        <w:spacing w:after="0" w:line="212" w:lineRule="auto"/>
        <w:tabs>
          <w:tab w:leader="none" w:pos="191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Bayer shall have the first right (but not the obligation), by counsel of its own choice and at its sole expense, to institute, prosecute and control the enforcement or defense of any Project Patents to abate any Infringement thereof. Prior to undertaking any action to enforce such Project Patents, Bayer shall notify Recursion in writing. To the extent possible Recursion shall be given reasonable time to provide its comments to Bayer. Recursion shall further have the right, at its own expense, to be represented in any action by counsel of its own choice. However, should Recursion partake in any such action Bayer shall retain control of the proceeding and shall have final say on all decisions related thereto.</w:t>
      </w:r>
    </w:p>
    <w:p>
      <w:pPr>
        <w:spacing w:after="0" w:line="177" w:lineRule="exact"/>
        <w:rPr>
          <w:rFonts w:ascii="Times New Roman" w:cs="Times New Roman" w:eastAsia="Times New Roman" w:hAnsi="Times New Roman"/>
          <w:sz w:val="22"/>
          <w:szCs w:val="22"/>
          <w:color w:val="auto"/>
        </w:rPr>
      </w:pPr>
    </w:p>
    <w:p>
      <w:pPr>
        <w:jc w:val="both"/>
        <w:ind w:left="1920" w:hanging="511"/>
        <w:spacing w:after="0" w:line="212" w:lineRule="auto"/>
        <w:tabs>
          <w:tab w:leader="none" w:pos="19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that Bayer fails to institute an action or proceeding or otherwise take appropriate action to abate such Infringement within a period of sixty (60) days after taking notice of such Infringement, Recursion shall have the right (but not the obligation) to request permission to institute and/or prosecute and control such an action or proceeding in its name with respect to such Infringement at its sole expense and by counsel of its choice (such permission not to be unreasonably withheld or delayed), and Bayer shall have the right to be represented in any such action by counsel of its own choice and at its own expense. However, should Bayer partake in any such action, Recursion shall retain control of the proceeding and shall have final say on all decisions related thereto.</w:t>
      </w:r>
    </w:p>
    <w:p>
      <w:pPr>
        <w:spacing w:after="0" w:line="150" w:lineRule="exact"/>
        <w:rPr>
          <w:rFonts w:ascii="Times New Roman" w:cs="Times New Roman" w:eastAsia="Times New Roman" w:hAnsi="Times New Roman"/>
          <w:sz w:val="22"/>
          <w:szCs w:val="22"/>
          <w:color w:val="auto"/>
        </w:rPr>
      </w:pPr>
    </w:p>
    <w:p>
      <w:pPr>
        <w:jc w:val="both"/>
        <w:ind w:left="1920" w:hanging="511"/>
        <w:spacing w:after="0" w:line="230" w:lineRule="auto"/>
        <w:tabs>
          <w:tab w:leader="none" w:pos="191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reasonably cooperate with each other in the planning and execution of any such action to enforce the respective Project Patents (including the obligation to be named or joined as a party in a lawsuit,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600"/>
          </w:cols>
          <w:pgMar w:left="960" w:top="1399" w:right="339" w:bottom="1440" w:gutter="0" w:footer="0" w:header="0"/>
        </w:sectPr>
      </w:pPr>
    </w:p>
    <w:bookmarkStart w:id="245" w:name="page246"/>
    <w:bookmarkEnd w:id="245"/>
    <w:p>
      <w:pPr>
        <w:ind w:left="1920"/>
        <w:spacing w:after="0"/>
        <w:rPr>
          <w:sz w:val="20"/>
          <w:szCs w:val="20"/>
          <w:color w:val="auto"/>
        </w:rPr>
      </w:pPr>
      <w:r>
        <w:rPr>
          <w:rFonts w:ascii="Times New Roman" w:cs="Times New Roman" w:eastAsia="Times New Roman" w:hAnsi="Times New Roman"/>
          <w:sz w:val="20"/>
          <w:szCs w:val="20"/>
          <w:color w:val="auto"/>
        </w:rPr>
        <w:t>applicable). Each Party initiating an action or proceeding agrees to provide reasonable information to the other Party, at this Party’s request, about such action or proceeding.</w:t>
      </w:r>
    </w:p>
    <w:p>
      <w:pPr>
        <w:spacing w:after="0" w:line="148" w:lineRule="exact"/>
        <w:rPr>
          <w:sz w:val="20"/>
          <w:szCs w:val="20"/>
          <w:color w:val="auto"/>
        </w:rPr>
      </w:pPr>
    </w:p>
    <w:p>
      <w:pPr>
        <w:jc w:val="both"/>
        <w:ind w:left="1920" w:hanging="511"/>
        <w:spacing w:after="0" w:line="222" w:lineRule="auto"/>
        <w:tabs>
          <w:tab w:leader="none" w:pos="191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monies recovered upon the final judgment or settlement of any such suit or action to enforce the respective Project Patents in the Territory shall be applied in the following order of priority: (i) first, to reimburse the costs and Losses of the Party bringing suit, then to the costs and Losses, if any, of the other Party; (ii) any amounts remaining shall be allocated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Party.</w:t>
      </w:r>
    </w:p>
    <w:p>
      <w:pPr>
        <w:spacing w:after="0" w:line="161" w:lineRule="exact"/>
        <w:rPr>
          <w:rFonts w:ascii="Times New Roman" w:cs="Times New Roman" w:eastAsia="Times New Roman" w:hAnsi="Times New Roman"/>
          <w:sz w:val="20"/>
          <w:szCs w:val="20"/>
          <w:color w:val="auto"/>
        </w:rPr>
      </w:pPr>
    </w:p>
    <w:p>
      <w:pPr>
        <w:jc w:val="both"/>
        <w:ind w:left="1920" w:hanging="511"/>
        <w:spacing w:after="0" w:line="215" w:lineRule="auto"/>
        <w:tabs>
          <w:tab w:leader="none" w:pos="191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Party that controls the prosecution of a given suit or action shall also have the right to control settlement of such suit or action. If one Party controls and intend to settle the prosecution of a given suit or action, it shall provide the other Party reasonably in advance written information about such intention and about the terms pertaining to the settlement. Only if the settlement would materially and adversely impact the interest of the other Party, the Party in control of the suit or action shall obtain the other Party’s consent prior to entering into the settlement. Any amounts received in settlement of any action shall be apportioned between the Parties in the same manner as set forth in Section 11.1.2.2(d) above.</w:t>
      </w:r>
    </w:p>
    <w:p>
      <w:pPr>
        <w:spacing w:after="0" w:line="164"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3.6.3.  </w:t>
      </w:r>
      <w:r>
        <w:rPr>
          <w:rFonts w:ascii="Times New Roman" w:cs="Times New Roman" w:eastAsia="Times New Roman" w:hAnsi="Times New Roman"/>
          <w:sz w:val="20"/>
          <w:szCs w:val="20"/>
          <w:u w:val="single" w:color="auto"/>
          <w:color w:val="auto"/>
        </w:rPr>
        <w:t>Patent Prosecution and Enforcement after Option Exercise</w:t>
      </w:r>
      <w:r>
        <w:rPr>
          <w:rFonts w:ascii="Times New Roman" w:cs="Times New Roman" w:eastAsia="Times New Roman" w:hAnsi="Times New Roman"/>
          <w:sz w:val="20"/>
          <w:szCs w:val="20"/>
          <w:color w:val="auto"/>
        </w:rPr>
        <w:t>. In the event that the Option is exercised with respect to a Project, the License Agreement for such Project shall control as to the preparation, filing, prosecution, and maintenance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enforcement of the Project Patents for such Project and any other rights granted under such agreement.</w:t>
      </w:r>
    </w:p>
    <w:p>
      <w:pPr>
        <w:spacing w:after="0" w:line="167" w:lineRule="exact"/>
        <w:rPr>
          <w:sz w:val="20"/>
          <w:szCs w:val="20"/>
          <w:color w:val="auto"/>
        </w:rPr>
      </w:pPr>
    </w:p>
    <w:p>
      <w:pPr>
        <w:ind w:hanging="637"/>
        <w:spacing w:after="0" w:line="233" w:lineRule="auto"/>
        <w:rPr>
          <w:sz w:val="20"/>
          <w:szCs w:val="20"/>
          <w:color w:val="auto"/>
        </w:rPr>
      </w:pPr>
      <w:r>
        <w:rPr>
          <w:rFonts w:ascii="Times New Roman" w:cs="Times New Roman" w:eastAsia="Times New Roman" w:hAnsi="Times New Roman"/>
          <w:sz w:val="20"/>
          <w:szCs w:val="20"/>
          <w:color w:val="auto"/>
        </w:rPr>
        <w:t>3.2</w:t>
      </w:r>
      <w:r>
        <w:rPr>
          <w:sz w:val="20"/>
          <w:szCs w:val="20"/>
          <w:color w:val="auto"/>
        </w:rPr>
        <w:t xml:space="preserve"> </w:t>
      </w:r>
      <w:r>
        <w:rPr>
          <w:rFonts w:ascii="Times New Roman" w:cs="Times New Roman" w:eastAsia="Times New Roman" w:hAnsi="Times New Roman"/>
          <w:sz w:val="20"/>
          <w:szCs w:val="20"/>
          <w:u w:val="single" w:color="auto"/>
          <w:color w:val="auto"/>
        </w:rPr>
        <w:t>General Cooperation Duties</w:t>
      </w:r>
      <w:r>
        <w:rPr>
          <w:rFonts w:ascii="Times New Roman" w:cs="Times New Roman" w:eastAsia="Times New Roman" w:hAnsi="Times New Roman"/>
          <w:sz w:val="20"/>
          <w:szCs w:val="20"/>
          <w:color w:val="auto"/>
        </w:rPr>
        <w:t>. Bayer and Recursion agree to cooperate in all matters relating to the filing, prosecution, maintenance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enforcement of Project Patents.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3.6.1.</w:t>
      </w:r>
      <w:r>
        <w:rPr>
          <w:sz w:val="20"/>
          <w:szCs w:val="20"/>
          <w:color w:val="auto"/>
        </w:rPr>
        <w:tab/>
      </w:r>
      <w:r>
        <w:rPr>
          <w:rFonts w:ascii="Times New Roman" w:cs="Times New Roman" w:eastAsia="Times New Roman" w:hAnsi="Times New Roman"/>
          <w:sz w:val="19"/>
          <w:szCs w:val="19"/>
          <w:color w:val="auto"/>
        </w:rPr>
        <w:t>Such cooperation shall in particular comprise the following assistance:</w:t>
      </w:r>
    </w:p>
    <w:p>
      <w:pPr>
        <w:spacing w:after="0" w:line="175" w:lineRule="exact"/>
        <w:rPr>
          <w:sz w:val="20"/>
          <w:szCs w:val="20"/>
          <w:color w:val="auto"/>
        </w:rPr>
      </w:pPr>
    </w:p>
    <w:p>
      <w:pPr>
        <w:ind w:left="1400" w:hanging="765"/>
        <w:spacing w:after="0"/>
        <w:tabs>
          <w:tab w:leader="none" w:pos="1380" w:val="left"/>
        </w:tabs>
        <w:rPr>
          <w:sz w:val="20"/>
          <w:szCs w:val="20"/>
          <w:color w:val="auto"/>
        </w:rPr>
      </w:pPr>
      <w:r>
        <w:rPr>
          <w:rFonts w:ascii="Times New Roman" w:cs="Times New Roman" w:eastAsia="Times New Roman" w:hAnsi="Times New Roman"/>
          <w:sz w:val="20"/>
          <w:szCs w:val="20"/>
          <w:color w:val="auto"/>
        </w:rPr>
        <w:t>3.9.3.1.</w:t>
        <w:tab/>
        <w:t>Execute all necessary documents respectively provide the necessary declarations to enable the other Party to file for patent protection (including SPC protection) in accordance with this Agreement;</w:t>
      </w:r>
    </w:p>
    <w:p>
      <w:pPr>
        <w:spacing w:after="0" w:line="161"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3.9.3.2.</w:t>
      </w:r>
      <w:r>
        <w:rPr>
          <w:sz w:val="20"/>
          <w:szCs w:val="20"/>
          <w:color w:val="auto"/>
        </w:rPr>
        <w:tab/>
      </w:r>
      <w:r>
        <w:rPr>
          <w:rFonts w:ascii="Times New Roman" w:cs="Times New Roman" w:eastAsia="Times New Roman" w:hAnsi="Times New Roman"/>
          <w:sz w:val="19"/>
          <w:szCs w:val="19"/>
          <w:color w:val="auto"/>
        </w:rPr>
        <w:t>Timely provide any Complete Invention Disclosures;</w:t>
      </w:r>
    </w:p>
    <w:p>
      <w:pPr>
        <w:spacing w:after="0" w:line="175"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3.9.3.3.</w:t>
      </w:r>
      <w:r>
        <w:rPr>
          <w:sz w:val="20"/>
          <w:szCs w:val="20"/>
          <w:color w:val="auto"/>
        </w:rPr>
        <w:tab/>
      </w:r>
      <w:r>
        <w:rPr>
          <w:rFonts w:ascii="Times New Roman" w:cs="Times New Roman" w:eastAsia="Times New Roman" w:hAnsi="Times New Roman"/>
          <w:sz w:val="19"/>
          <w:szCs w:val="19"/>
          <w:color w:val="auto"/>
        </w:rPr>
        <w:t>Provide copies of any Project Patents filed;</w:t>
      </w:r>
    </w:p>
    <w:p>
      <w:pPr>
        <w:spacing w:after="0" w:line="183"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3.9.3.4.</w:t>
        <w:tab/>
        <w:t>Promptly inform the other Party of any significant matter coming to such Party’s attention that may significantly</w:t>
      </w:r>
    </w:p>
    <w:p>
      <w:pPr>
        <w:ind w:left="1420"/>
        <w:spacing w:after="0" w:line="204" w:lineRule="auto"/>
        <w:rPr>
          <w:sz w:val="20"/>
          <w:szCs w:val="20"/>
          <w:color w:val="auto"/>
        </w:rPr>
      </w:pPr>
      <w:r>
        <w:rPr>
          <w:rFonts w:ascii="Times New Roman" w:cs="Times New Roman" w:eastAsia="Times New Roman" w:hAnsi="Times New Roman"/>
          <w:sz w:val="20"/>
          <w:szCs w:val="20"/>
          <w:color w:val="auto"/>
        </w:rPr>
        <w:t>affect the preparation, filing, prosecution or maintenance of any Project Patents, including patent office actions raising significant patentability objections, in particular office actions of the patent offices of the following</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countries: USA, Europe, China, Japan;</w:t>
      </w:r>
    </w:p>
    <w:p>
      <w:pPr>
        <w:spacing w:after="0" w:line="167" w:lineRule="exact"/>
        <w:rPr>
          <w:sz w:val="20"/>
          <w:szCs w:val="20"/>
          <w:color w:val="auto"/>
        </w:rPr>
      </w:pPr>
    </w:p>
    <w:p>
      <w:pPr>
        <w:ind w:left="1400" w:hanging="765"/>
        <w:spacing w:after="0" w:line="233" w:lineRule="auto"/>
        <w:tabs>
          <w:tab w:leader="none" w:pos="1380" w:val="left"/>
        </w:tabs>
        <w:rPr>
          <w:sz w:val="20"/>
          <w:szCs w:val="20"/>
          <w:color w:val="auto"/>
        </w:rPr>
      </w:pPr>
      <w:r>
        <w:rPr>
          <w:rFonts w:ascii="Times New Roman" w:cs="Times New Roman" w:eastAsia="Times New Roman" w:hAnsi="Times New Roman"/>
          <w:sz w:val="20"/>
          <w:szCs w:val="20"/>
          <w:color w:val="auto"/>
        </w:rPr>
        <w:t>3.9.3.5.</w:t>
        <w:tab/>
        <w:t>Provide any and all information which is reasonably required to support the drafting, the prosecution and/or the defense of Project Patents;</w:t>
      </w:r>
    </w:p>
    <w:p>
      <w:pPr>
        <w:spacing w:after="0" w:line="161"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20"/>
          <w:szCs w:val="20"/>
          <w:color w:val="auto"/>
        </w:rPr>
        <w:t>3.9.3.6.</w:t>
      </w:r>
      <w:r>
        <w:rPr>
          <w:sz w:val="20"/>
          <w:szCs w:val="20"/>
          <w:color w:val="auto"/>
        </w:rPr>
        <w:tab/>
      </w:r>
      <w:r>
        <w:rPr>
          <w:rFonts w:ascii="Times New Roman" w:cs="Times New Roman" w:eastAsia="Times New Roman" w:hAnsi="Times New Roman"/>
          <w:sz w:val="19"/>
          <w:szCs w:val="19"/>
          <w:color w:val="auto"/>
        </w:rPr>
        <w:t>Cooperate on the obtaining of patent term extensions in all possible territories; and</w:t>
      </w:r>
    </w:p>
    <w:p>
      <w:pPr>
        <w:spacing w:after="0" w:line="189" w:lineRule="exact"/>
        <w:rPr>
          <w:sz w:val="20"/>
          <w:szCs w:val="20"/>
          <w:color w:val="auto"/>
        </w:rPr>
      </w:pPr>
    </w:p>
    <w:p>
      <w:pPr>
        <w:ind w:left="1400" w:right="20" w:hanging="765"/>
        <w:spacing w:after="0" w:line="233" w:lineRule="auto"/>
        <w:tabs>
          <w:tab w:leader="none" w:pos="1380" w:val="left"/>
        </w:tabs>
        <w:rPr>
          <w:sz w:val="20"/>
          <w:szCs w:val="20"/>
          <w:color w:val="auto"/>
        </w:rPr>
      </w:pPr>
      <w:r>
        <w:rPr>
          <w:rFonts w:ascii="Times New Roman" w:cs="Times New Roman" w:eastAsia="Times New Roman" w:hAnsi="Times New Roman"/>
          <w:sz w:val="20"/>
          <w:szCs w:val="20"/>
          <w:color w:val="auto"/>
        </w:rPr>
        <w:t>3.9.3.7.</w:t>
        <w:tab/>
        <w:t>Promptly inform the other Party of any Third Party rights which may affect the use of the subject-matter claimed in the Project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600"/>
          </w:cols>
          <w:pgMar w:left="960" w:top="1399"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Chapter F – General Provisions</w:t>
      </w:r>
    </w:p>
    <w:p>
      <w:pPr>
        <w:spacing w:after="0" w:line="202"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CONFIDENTIALITY</w:t>
      </w:r>
    </w:p>
    <w:p>
      <w:pPr>
        <w:spacing w:after="0" w:line="170"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Each Party (“</w:t>
      </w:r>
      <w:r>
        <w:rPr>
          <w:rFonts w:ascii="Times New Roman" w:cs="Times New Roman" w:eastAsia="Times New Roman" w:hAnsi="Times New Roman"/>
          <w:sz w:val="20"/>
          <w:szCs w:val="20"/>
          <w:u w:val="single" w:color="auto"/>
          <w:color w:val="auto"/>
        </w:rPr>
        <w:t>Disclosing Party</w:t>
      </w:r>
      <w:r>
        <w:rPr>
          <w:rFonts w:ascii="Times New Roman" w:cs="Times New Roman" w:eastAsia="Times New Roman" w:hAnsi="Times New Roman"/>
          <w:sz w:val="20"/>
          <w:szCs w:val="20"/>
          <w:color w:val="auto"/>
        </w:rPr>
        <w:t>”) may disclose to the other Party (“</w:t>
      </w:r>
      <w:r>
        <w:rPr>
          <w:rFonts w:ascii="Times New Roman" w:cs="Times New Roman" w:eastAsia="Times New Roman" w:hAnsi="Times New Roman"/>
          <w:sz w:val="20"/>
          <w:szCs w:val="20"/>
          <w:u w:val="single" w:color="auto"/>
          <w:color w:val="auto"/>
        </w:rPr>
        <w:t>Receiving Party</w:t>
      </w:r>
      <w:r>
        <w:rPr>
          <w:rFonts w:ascii="Times New Roman" w:cs="Times New Roman" w:eastAsia="Times New Roman" w:hAnsi="Times New Roman"/>
          <w:sz w:val="20"/>
          <w:szCs w:val="20"/>
          <w:color w:val="auto"/>
        </w:rPr>
        <w:t>”), and Receiving Party may acquire during the course and conduct of activities under the Agreement Confidential Information of Disclosing Party in</w:t>
      </w:r>
    </w:p>
    <w:p>
      <w:pPr>
        <w:ind w:left="640"/>
        <w:spacing w:after="0" w:line="212" w:lineRule="auto"/>
        <w:rPr>
          <w:sz w:val="20"/>
          <w:szCs w:val="20"/>
          <w:color w:val="auto"/>
        </w:rPr>
      </w:pPr>
      <w:r>
        <w:rPr>
          <w:rFonts w:ascii="Times New Roman" w:cs="Times New Roman" w:eastAsia="Times New Roman" w:hAnsi="Times New Roman"/>
          <w:sz w:val="20"/>
          <w:szCs w:val="20"/>
          <w:color w:val="auto"/>
        </w:rPr>
        <w:t>connection with this Agreement. The term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all confidential information or material in tangible and</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non-tangible form disclosed hereunder; including all technical and non-technical information conveyed from one Party to the other in any form, electronic data, proprietary information, samples, Compounds, methods, formulas, processes, protocols, technologies and</w:t>
      </w: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equipment employed, information relating to quality assurance, procedures for and record keeping, techniques, inventions, know-how, apparatus, and formulae.</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Allocation of Confidential Information.</w:t>
      </w:r>
      <w:r>
        <w:rPr>
          <w:rFonts w:ascii="Times New Roman" w:cs="Times New Roman" w:eastAsia="Times New Roman" w:hAnsi="Times New Roman"/>
          <w:sz w:val="20"/>
          <w:szCs w:val="20"/>
          <w:color w:val="auto"/>
        </w:rPr>
        <w:t xml:space="preserve"> The terms and conditions of this Agreement, the Project Plan and the Project Results shall be considered to be Confidential Information of Recursion and Bayer and be treated confidential by both Parties, and each Party shall be</w:t>
      </w:r>
    </w:p>
    <w:p>
      <w:pPr>
        <w:spacing w:after="0" w:line="2"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deemed the Disclosing Party with respect thereto, provided, however, that any Project Results that have been exclusively licensed to either Party shall be considered to be Confidential Information of this Party.</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Exceptions</w:t>
      </w:r>
      <w:r>
        <w:rPr>
          <w:rFonts w:ascii="Times New Roman" w:cs="Times New Roman" w:eastAsia="Times New Roman" w:hAnsi="Times New Roman"/>
          <w:sz w:val="19"/>
          <w:szCs w:val="19"/>
          <w:color w:val="auto"/>
        </w:rPr>
        <w:t>. Notwithstanding any other provisions herein, Confidential Information does not include information which:</w:t>
      </w:r>
    </w:p>
    <w:p>
      <w:pPr>
        <w:spacing w:after="0" w:line="18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3.6.1.</w:t>
      </w:r>
      <w:r>
        <w:rPr>
          <w:sz w:val="20"/>
          <w:szCs w:val="20"/>
          <w:color w:val="auto"/>
        </w:rPr>
        <w:tab/>
      </w:r>
      <w:r>
        <w:rPr>
          <w:rFonts w:ascii="Times New Roman" w:cs="Times New Roman" w:eastAsia="Times New Roman" w:hAnsi="Times New Roman"/>
          <w:sz w:val="19"/>
          <w:szCs w:val="19"/>
          <w:color w:val="auto"/>
        </w:rPr>
        <w:t>is available to the public at the time of receipt by the Receiving Party or any of its Affiliates from the Disclosing Party, or</w:t>
      </w:r>
    </w:p>
    <w:p>
      <w:pPr>
        <w:spacing w:after="0" w:line="17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3.6.2.</w:t>
      </w:r>
      <w:r>
        <w:rPr>
          <w:sz w:val="20"/>
          <w:szCs w:val="20"/>
          <w:color w:val="auto"/>
        </w:rPr>
        <w:tab/>
      </w:r>
      <w:r>
        <w:rPr>
          <w:rFonts w:ascii="Times New Roman" w:cs="Times New Roman" w:eastAsia="Times New Roman" w:hAnsi="Times New Roman"/>
          <w:sz w:val="19"/>
          <w:szCs w:val="19"/>
          <w:color w:val="auto"/>
        </w:rPr>
        <w:t>was known to Receiving Party or any of its Affiliates prior to the time of disclosure;</w:t>
      </w:r>
    </w:p>
    <w:p>
      <w:pPr>
        <w:spacing w:after="0" w:line="18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3.6.3.</w:t>
        <w:tab/>
        <w:t>is at the time of disclosure hereunder or later becomes public knowledge through no fault or omission of Receiving Party or</w:t>
      </w:r>
    </w:p>
    <w:p>
      <w:pPr>
        <w:ind w:left="1280"/>
        <w:spacing w:after="0" w:line="221" w:lineRule="auto"/>
        <w:rPr>
          <w:sz w:val="20"/>
          <w:szCs w:val="20"/>
          <w:color w:val="auto"/>
        </w:rPr>
      </w:pPr>
      <w:r>
        <w:rPr>
          <w:rFonts w:ascii="Times New Roman" w:cs="Times New Roman" w:eastAsia="Times New Roman" w:hAnsi="Times New Roman"/>
          <w:sz w:val="20"/>
          <w:szCs w:val="20"/>
          <w:color w:val="auto"/>
        </w:rPr>
        <w:t>any of its Affiliates; provided, however, that disclosures by Receiving Party permitted under Section 12.5 shall not be considered a wrongful disclosure hereunder;</w:t>
      </w:r>
    </w:p>
    <w:p>
      <w:pPr>
        <w:spacing w:after="0" w:line="162" w:lineRule="exact"/>
        <w:rPr>
          <w:sz w:val="20"/>
          <w:szCs w:val="20"/>
          <w:color w:val="auto"/>
        </w:rPr>
      </w:pPr>
    </w:p>
    <w:p>
      <w:pPr>
        <w:ind w:left="1280" w:hanging="637"/>
        <w:spacing w:after="0" w:line="233" w:lineRule="auto"/>
        <w:tabs>
          <w:tab w:leader="none" w:pos="1260" w:val="left"/>
        </w:tabs>
        <w:rPr>
          <w:sz w:val="20"/>
          <w:szCs w:val="20"/>
          <w:color w:val="auto"/>
        </w:rPr>
      </w:pPr>
      <w:r>
        <w:rPr>
          <w:rFonts w:ascii="Times New Roman" w:cs="Times New Roman" w:eastAsia="Times New Roman" w:hAnsi="Times New Roman"/>
          <w:sz w:val="20"/>
          <w:szCs w:val="20"/>
          <w:color w:val="auto"/>
        </w:rPr>
        <w:t>3.6.4.</w:t>
        <w:tab/>
        <w:t>is obtained by Receiving Party or any of its Affiliates from a Third Party under no obligation of confidentiality to Disclosing Party;</w:t>
      </w:r>
    </w:p>
    <w:p>
      <w:pPr>
        <w:spacing w:after="0" w:line="161" w:lineRule="exact"/>
        <w:rPr>
          <w:sz w:val="20"/>
          <w:szCs w:val="20"/>
          <w:color w:val="auto"/>
        </w:rPr>
      </w:pPr>
    </w:p>
    <w:p>
      <w:pPr>
        <w:ind w:left="1280" w:right="2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3.6.5.</w:t>
        <w:tab/>
        <w:t>has been independently developed by employees, subcontractors, consultants or agents of Receiving Party or any of its Affiliates without the aid, application or use of Disclosing Party’s Confidential Information;</w:t>
      </w:r>
    </w:p>
    <w:p>
      <w:pPr>
        <w:spacing w:after="0" w:line="148"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Use of Confidential Information</w:t>
      </w:r>
      <w:r>
        <w:rPr>
          <w:rFonts w:ascii="Times New Roman" w:cs="Times New Roman" w:eastAsia="Times New Roman" w:hAnsi="Times New Roman"/>
          <w:sz w:val="20"/>
          <w:szCs w:val="20"/>
          <w:color w:val="auto"/>
        </w:rPr>
        <w:t xml:space="preserve">. During the Collaboration Term and for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years thereafter, Receiving Party shall take reasonable steps to keep all Disclosing Party’s Confidential Information in confidence, subject to the limitations on use and disclosure set forth</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in this Article 12. Receiving Party shall not use Disclosing Party’s Confidential Information except for in connection with the performance of its obligations and exercise of its rights under this Agreement. Receiving Party has the right to disclose Disclosing</w:t>
      </w:r>
    </w:p>
    <w:p>
      <w:pPr>
        <w:ind w:left="640"/>
        <w:spacing w:after="0" w:line="211" w:lineRule="auto"/>
        <w:rPr>
          <w:sz w:val="20"/>
          <w:szCs w:val="20"/>
          <w:color w:val="auto"/>
        </w:rPr>
      </w:pPr>
      <w:r>
        <w:rPr>
          <w:rFonts w:ascii="Times New Roman" w:cs="Times New Roman" w:eastAsia="Times New Roman" w:hAnsi="Times New Roman"/>
          <w:sz w:val="20"/>
          <w:szCs w:val="20"/>
          <w:color w:val="auto"/>
        </w:rPr>
        <w:t>Party’s Confidential Information without Disclosing Party’s prior written consent to its Affiliates and to its own and its Affiliates’</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employees, subcontractors, consultants, permitted licensees or agents who are bound by an equivalent obligation of confidentiality and who have a need to know such Confidential Information in order for the Receiving Party to perform its obligations and exercise</w:t>
      </w:r>
    </w:p>
    <w:p>
      <w:pPr>
        <w:ind w:left="640"/>
        <w:spacing w:after="0" w:line="211" w:lineRule="auto"/>
        <w:rPr>
          <w:sz w:val="20"/>
          <w:szCs w:val="20"/>
          <w:color w:val="auto"/>
        </w:rPr>
      </w:pPr>
      <w:r>
        <w:rPr>
          <w:rFonts w:ascii="Times New Roman" w:cs="Times New Roman" w:eastAsia="Times New Roman" w:hAnsi="Times New Roman"/>
          <w:sz w:val="20"/>
          <w:szCs w:val="20"/>
          <w:color w:val="auto"/>
        </w:rPr>
        <w:t>its rights under this Agreement. Receiving Party shall (and shall ensure that any Party to which it discloses the Confidential</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Information) only use the Confidential Information for the purposes of performing its obligations and exercising its rights under this Agreement. To the extent the foregoing obligations conflict with any Party’s right to use Project Results pursuant to a license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agreement executed by the Parties after exercise of an Option, such license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247" w:name="page248"/>
    <w:bookmarkEnd w:id="247"/>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Permitted Disclosures</w:t>
      </w:r>
      <w:r>
        <w:rPr>
          <w:rFonts w:ascii="Times New Roman" w:cs="Times New Roman" w:eastAsia="Times New Roman" w:hAnsi="Times New Roman"/>
          <w:sz w:val="19"/>
          <w:szCs w:val="19"/>
          <w:color w:val="auto"/>
        </w:rPr>
        <w:t>. Receiving Party may disclose Disclosing Party’s Confidential Information in the following instances:</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3.6.1.  in order to comply with Applicable Law (including any securities law or regulation or the rules of a securities exchange) or with a binding order within a legal or administrative proceeding, provided that, where reasonably possible, Receiving Party</w:t>
      </w:r>
    </w:p>
    <w:p>
      <w:pPr>
        <w:ind w:left="1280"/>
        <w:spacing w:after="0" w:line="212" w:lineRule="auto"/>
        <w:rPr>
          <w:sz w:val="20"/>
          <w:szCs w:val="20"/>
          <w:color w:val="auto"/>
        </w:rPr>
      </w:pPr>
      <w:r>
        <w:rPr>
          <w:rFonts w:ascii="Times New Roman" w:cs="Times New Roman" w:eastAsia="Times New Roman" w:hAnsi="Times New Roman"/>
          <w:sz w:val="20"/>
          <w:szCs w:val="20"/>
          <w:color w:val="auto"/>
        </w:rPr>
        <w:t>shall notify Disclosing Party of Receiving Party’s intent to make any such disclosure sufficiently prior to making such</w:t>
      </w:r>
    </w:p>
    <w:p>
      <w:pPr>
        <w:spacing w:after="0" w:line="1" w:lineRule="exact"/>
        <w:rPr>
          <w:sz w:val="20"/>
          <w:szCs w:val="20"/>
          <w:color w:val="auto"/>
        </w:rPr>
      </w:pPr>
    </w:p>
    <w:p>
      <w:pPr>
        <w:ind w:left="1280"/>
        <w:spacing w:after="0" w:line="221" w:lineRule="auto"/>
        <w:rPr>
          <w:sz w:val="20"/>
          <w:szCs w:val="20"/>
          <w:color w:val="auto"/>
        </w:rPr>
      </w:pPr>
      <w:r>
        <w:rPr>
          <w:rFonts w:ascii="Times New Roman" w:cs="Times New Roman" w:eastAsia="Times New Roman" w:hAnsi="Times New Roman"/>
          <w:sz w:val="20"/>
          <w:szCs w:val="20"/>
          <w:color w:val="auto"/>
        </w:rPr>
        <w:t>disclosure so as to allow Disclosing Party adequate time to take whatever action it may deem appropriate to protect the confidentiality of the information to be disclosed; or</w:t>
      </w:r>
    </w:p>
    <w:p>
      <w:pPr>
        <w:spacing w:after="0" w:line="15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3.6.2.</w:t>
      </w:r>
      <w:r>
        <w:rPr>
          <w:sz w:val="20"/>
          <w:szCs w:val="20"/>
          <w:color w:val="auto"/>
        </w:rPr>
        <w:tab/>
      </w:r>
      <w:r>
        <w:rPr>
          <w:rFonts w:ascii="Times New Roman" w:cs="Times New Roman" w:eastAsia="Times New Roman" w:hAnsi="Times New Roman"/>
          <w:sz w:val="19"/>
          <w:szCs w:val="19"/>
          <w:color w:val="auto"/>
        </w:rPr>
        <w:t>in connection with prosecuting or defending litigation, obtaining regulatory approval and making other regulatory filings and</w:t>
      </w:r>
    </w:p>
    <w:p>
      <w:pPr>
        <w:ind w:left="1280" w:right="20"/>
        <w:spacing w:after="0" w:line="221" w:lineRule="auto"/>
        <w:rPr>
          <w:sz w:val="20"/>
          <w:szCs w:val="20"/>
          <w:color w:val="auto"/>
        </w:rPr>
      </w:pPr>
      <w:r>
        <w:rPr>
          <w:rFonts w:ascii="Times New Roman" w:cs="Times New Roman" w:eastAsia="Times New Roman" w:hAnsi="Times New Roman"/>
          <w:sz w:val="20"/>
          <w:szCs w:val="20"/>
          <w:color w:val="auto"/>
        </w:rPr>
        <w:t>communications, and filing, prosecuting and enforcing IP Rights in connection with Receiving Party’s rights and obligations pursuant to this Agreement; or</w:t>
      </w:r>
    </w:p>
    <w:p>
      <w:pPr>
        <w:spacing w:after="0" w:line="15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3.6.3.</w:t>
        <w:tab/>
        <w:t>with respect to this Agreement and the Project Results only, to such Party’s or its Affiliate’s attorneys, independent</w:t>
      </w:r>
    </w:p>
    <w:p>
      <w:pPr>
        <w:ind w:left="1280"/>
        <w:spacing w:after="0" w:line="204" w:lineRule="auto"/>
        <w:rPr>
          <w:sz w:val="20"/>
          <w:szCs w:val="20"/>
          <w:color w:val="auto"/>
        </w:rPr>
      </w:pPr>
      <w:r>
        <w:rPr>
          <w:rFonts w:ascii="Times New Roman" w:cs="Times New Roman" w:eastAsia="Times New Roman" w:hAnsi="Times New Roman"/>
          <w:sz w:val="20"/>
          <w:szCs w:val="20"/>
          <w:color w:val="auto"/>
        </w:rPr>
        <w:t>accountants or financial advisors for the sole purpose of enabling such advisors to provide advice to the Receiving Party or such Affiliates, or to potential or actual investors or potential or actual acquirers or potential or actual sublicensees in</w:t>
      </w:r>
    </w:p>
    <w:p>
      <w:pPr>
        <w:ind w:left="1280"/>
        <w:spacing w:after="0" w:line="211" w:lineRule="auto"/>
        <w:rPr>
          <w:sz w:val="20"/>
          <w:szCs w:val="20"/>
          <w:color w:val="auto"/>
        </w:rPr>
      </w:pPr>
      <w:r>
        <w:rPr>
          <w:rFonts w:ascii="Times New Roman" w:cs="Times New Roman" w:eastAsia="Times New Roman" w:hAnsi="Times New Roman"/>
          <w:sz w:val="20"/>
          <w:szCs w:val="20"/>
          <w:color w:val="auto"/>
        </w:rPr>
        <w:t>connection with due diligence or similar investigations by such Third Parties on the condition that such advisors or potential</w:t>
      </w:r>
    </w:p>
    <w:p>
      <w:pPr>
        <w:spacing w:after="0" w:line="1" w:lineRule="exact"/>
        <w:rPr>
          <w:sz w:val="20"/>
          <w:szCs w:val="20"/>
          <w:color w:val="auto"/>
        </w:rPr>
      </w:pPr>
    </w:p>
    <w:p>
      <w:pPr>
        <w:ind w:left="1280" w:right="20"/>
        <w:spacing w:after="0" w:line="221" w:lineRule="auto"/>
        <w:rPr>
          <w:sz w:val="20"/>
          <w:szCs w:val="20"/>
          <w:color w:val="auto"/>
        </w:rPr>
      </w:pPr>
      <w:r>
        <w:rPr>
          <w:rFonts w:ascii="Times New Roman" w:cs="Times New Roman" w:eastAsia="Times New Roman" w:hAnsi="Times New Roman"/>
          <w:sz w:val="20"/>
          <w:szCs w:val="20"/>
          <w:color w:val="auto"/>
        </w:rPr>
        <w:t>or actual investors or potential or actual acquirers or potential or actual sublicensees are bound by confidentiality and non-use obligations consistent with the confidentiality provisions of this Agreement as they apply to the Receiving Party.</w:t>
      </w:r>
    </w:p>
    <w:p>
      <w:pPr>
        <w:spacing w:after="0" w:line="171"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PUBLICATIONS; FILINGS</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 xml:space="preserve">Scientific Publications. </w:t>
      </w:r>
      <w:r>
        <w:rPr>
          <w:rFonts w:ascii="Times New Roman" w:cs="Times New Roman" w:eastAsia="Times New Roman" w:hAnsi="Times New Roman"/>
          <w:sz w:val="19"/>
          <w:szCs w:val="19"/>
          <w:color w:val="auto"/>
        </w:rPr>
        <w:t>The Parties acknowledge that scientific publications must be strictly monitored to prevent any adverse effect</w:t>
      </w:r>
    </w:p>
    <w:p>
      <w:pPr>
        <w:ind w:left="640"/>
        <w:spacing w:after="0" w:line="204" w:lineRule="auto"/>
        <w:rPr>
          <w:sz w:val="20"/>
          <w:szCs w:val="20"/>
          <w:color w:val="auto"/>
        </w:rPr>
      </w:pPr>
      <w:r>
        <w:rPr>
          <w:rFonts w:ascii="Times New Roman" w:cs="Times New Roman" w:eastAsia="Times New Roman" w:hAnsi="Times New Roman"/>
          <w:sz w:val="20"/>
          <w:szCs w:val="20"/>
          <w:color w:val="auto"/>
        </w:rPr>
        <w:t>from premature publication of the Project Results. Except as otherwise set forth in any license agreement executed following exercise of an Option, neither Party shall publish, publicly present or otherwise publicly disclose any data, material, results or other</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information generated under the Collaboration, except in accordance with this Section 13.1, without the prior written consent of the other Party, not to be unreasonably withheld, delayed, or conditioned. Each Party shall have the right to review any paper proposed</w:t>
      </w:r>
    </w:p>
    <w:p>
      <w:pPr>
        <w:ind w:left="640"/>
        <w:spacing w:after="0" w:line="211" w:lineRule="auto"/>
        <w:rPr>
          <w:sz w:val="20"/>
          <w:szCs w:val="20"/>
          <w:color w:val="auto"/>
        </w:rPr>
      </w:pPr>
      <w:r>
        <w:rPr>
          <w:rFonts w:ascii="Times New Roman" w:cs="Times New Roman" w:eastAsia="Times New Roman" w:hAnsi="Times New Roman"/>
          <w:sz w:val="20"/>
          <w:szCs w:val="20"/>
          <w:color w:val="auto"/>
        </w:rPr>
        <w:t>for publication by the other Party, including any oral presentation, abstract, poster, manuscript, or other presentation, that contains</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any data, material, results or other information generated under the Collaboration or that includes Confidential Information of the other Party. Before any such paper is submitted for publication or an oral presentation is made, the publishing or presenting Party (the</w:t>
      </w:r>
    </w:p>
    <w:p>
      <w:pPr>
        <w:ind w:left="640"/>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Publishing Party</w:t>
      </w:r>
      <w:r>
        <w:rPr>
          <w:rFonts w:ascii="Times New Roman" w:cs="Times New Roman" w:eastAsia="Times New Roman" w:hAnsi="Times New Roman"/>
          <w:sz w:val="20"/>
          <w:szCs w:val="20"/>
          <w:color w:val="auto"/>
        </w:rPr>
        <w:t>”) shall deliver to the other Party (the “</w:t>
      </w:r>
      <w:r>
        <w:rPr>
          <w:rFonts w:ascii="Times New Roman" w:cs="Times New Roman" w:eastAsia="Times New Roman" w:hAnsi="Times New Roman"/>
          <w:sz w:val="20"/>
          <w:szCs w:val="20"/>
          <w:u w:val="single" w:color="auto"/>
          <w:color w:val="auto"/>
        </w:rPr>
        <w:t>Reviewing Party</w:t>
      </w:r>
      <w:r>
        <w:rPr>
          <w:rFonts w:ascii="Times New Roman" w:cs="Times New Roman" w:eastAsia="Times New Roman" w:hAnsi="Times New Roman"/>
          <w:sz w:val="20"/>
          <w:szCs w:val="20"/>
          <w:color w:val="auto"/>
        </w:rPr>
        <w:t>”) a copy of any such proposed written publication or an</w:t>
      </w: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outline of an oral disclosure at least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prior to submission for publication or presentation for review. The Reviewing Party shall have the right (a) to require the removal of its Confidential Information or any Project Results from any such publication or</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presentation by the Publishing Party, or (b) to request a reasonable delay in publication or presentation in order to protect patentable information. If the Reviewing Party requests such a delay, the Publishing Party shall delay submission or presentation for a period of</w:t>
      </w:r>
    </w:p>
    <w:p>
      <w:pPr>
        <w:ind w:left="640" w:firstLine="6"/>
        <w:spacing w:after="0" w:line="228" w:lineRule="auto"/>
        <w:tabs>
          <w:tab w:leader="none" w:pos="1101"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days after its provision of the copy of the proposed publication or disclosure, pursuant to this Section 13.1 to enable patent applications protecting the Reviewing Party’s rights.</w:t>
      </w:r>
    </w:p>
    <w:p>
      <w:pPr>
        <w:spacing w:after="0" w:line="162"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Filings</w:t>
      </w:r>
      <w:r>
        <w:rPr>
          <w:rFonts w:ascii="Times New Roman" w:cs="Times New Roman" w:eastAsia="Times New Roman" w:hAnsi="Times New Roman"/>
          <w:sz w:val="20"/>
          <w:szCs w:val="20"/>
          <w:color w:val="auto"/>
        </w:rPr>
        <w:t>. A Party may disclose this Agreement and its terms, in securities filings with the US Securities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or equivalent foreign agency to the extent required by Applicable Laws after complying, to the extent permitted by</w:t>
      </w:r>
    </w:p>
    <w:p>
      <w:pPr>
        <w:ind w:left="640"/>
        <w:spacing w:after="0" w:line="212" w:lineRule="auto"/>
        <w:rPr>
          <w:sz w:val="20"/>
          <w:szCs w:val="20"/>
          <w:color w:val="auto"/>
        </w:rPr>
      </w:pPr>
      <w:r>
        <w:rPr>
          <w:rFonts w:ascii="Times New Roman" w:cs="Times New Roman" w:eastAsia="Times New Roman" w:hAnsi="Times New Roman"/>
          <w:sz w:val="20"/>
          <w:szCs w:val="20"/>
          <w:color w:val="auto"/>
        </w:rPr>
        <w:t>Applicable Law, with the procedure set forth in this Section 13.2. In such event, the Party seeking such disclosure shall prepare a</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draft confidential treatment request and proposed redacted version of this Agreement to request confidential treatment for the redacted portions of this Agreement, and the other Party agrees to promptly (and in any event,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Business Days after</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receipt of such confidential treatment request and proposed redactions) give its input in a reasonable manner in order to allow the Party seeking disclosure to file its request within the time lines proscribed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9" w:right="339" w:bottom="1440" w:gutter="0" w:footer="0" w:header="0"/>
        </w:sectPr>
      </w:pPr>
    </w:p>
    <w:bookmarkStart w:id="248" w:name="page249"/>
    <w:bookmarkEnd w:id="248"/>
    <w:p>
      <w:pPr>
        <w:ind w:left="640"/>
        <w:spacing w:after="0"/>
        <w:rPr>
          <w:sz w:val="20"/>
          <w:szCs w:val="20"/>
          <w:color w:val="auto"/>
        </w:rPr>
      </w:pPr>
      <w:r>
        <w:rPr>
          <w:rFonts w:ascii="Times New Roman" w:cs="Times New Roman" w:eastAsia="Times New Roman" w:hAnsi="Times New Roman"/>
          <w:sz w:val="20"/>
          <w:szCs w:val="20"/>
          <w:color w:val="auto"/>
        </w:rPr>
        <w:t>Laws. The Party seeking such disclosure shall reasonably consider any comments thereto provided by the other Party within such</w:t>
      </w:r>
    </w:p>
    <w:p>
      <w:pPr>
        <w:ind w:left="640"/>
        <w:spacing w:after="0" w:line="23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-Business Day period, and shall use reasonable efforts to obtain confidential treatment of this Agreement from the SEC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equivalent foreign agency) as represented by the redacted version revised by the other Party.</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20"/>
          <w:szCs w:val="20"/>
          <w:u w:val="single" w:color="auto"/>
          <w:color w:val="auto"/>
        </w:rPr>
        <w:t>Press Releases</w:t>
      </w:r>
      <w:r>
        <w:rPr>
          <w:rFonts w:ascii="Times New Roman" w:cs="Times New Roman" w:eastAsia="Times New Roman" w:hAnsi="Times New Roman"/>
          <w:sz w:val="20"/>
          <w:szCs w:val="20"/>
          <w:color w:val="auto"/>
        </w:rPr>
        <w:t>. Upon execution of this Agreement the Parties will jointly issue a press release announcing the existence of this</w:t>
      </w: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Collaboration. The Parties will share such press release with each other at least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Business Days before its intended publication and only publish it after receiving the written approval of the other Party. The Parties may issue further press releases without the</w:t>
      </w:r>
    </w:p>
    <w:p>
      <w:pPr>
        <w:ind w:left="640"/>
        <w:spacing w:after="0" w:line="211" w:lineRule="auto"/>
        <w:rPr>
          <w:sz w:val="20"/>
          <w:szCs w:val="20"/>
          <w:color w:val="auto"/>
        </w:rPr>
      </w:pPr>
      <w:r>
        <w:rPr>
          <w:rFonts w:ascii="Times New Roman" w:cs="Times New Roman" w:eastAsia="Times New Roman" w:hAnsi="Times New Roman"/>
          <w:sz w:val="20"/>
          <w:szCs w:val="20"/>
          <w:color w:val="auto"/>
        </w:rPr>
        <w:t>consent of the other Party as long such press releases only repeat the same information as contained in the initial press release. The</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Parties will however inform each other prior to publication of such further press releases. Except as required by Applicable Law any other press release or public statement relating to this Agreement or the Projects not only repeating the information comprised by the</w:t>
      </w:r>
    </w:p>
    <w:p>
      <w:pPr>
        <w:ind w:left="640"/>
        <w:spacing w:after="0"/>
        <w:rPr>
          <w:sz w:val="20"/>
          <w:szCs w:val="20"/>
          <w:color w:val="auto"/>
        </w:rPr>
      </w:pPr>
      <w:r>
        <w:rPr>
          <w:rFonts w:ascii="Times New Roman" w:cs="Times New Roman" w:eastAsia="Times New Roman" w:hAnsi="Times New Roman"/>
          <w:sz w:val="20"/>
          <w:szCs w:val="20"/>
          <w:color w:val="auto"/>
        </w:rPr>
        <w:t>initial press release shall require prior consultation and the express written consent of the other Party.</w:t>
      </w:r>
    </w:p>
    <w:p>
      <w:pPr>
        <w:spacing w:after="0" w:line="176"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REPRESENTATIONS, WARRANTIES AND COVENANTS; LIMITATION OF LIABILITY; INDEMNITY</w:t>
      </w:r>
    </w:p>
    <w:p>
      <w:pPr>
        <w:spacing w:after="0" w:line="170" w:lineRule="exact"/>
        <w:rPr>
          <w:sz w:val="20"/>
          <w:szCs w:val="20"/>
          <w:color w:val="auto"/>
        </w:rPr>
      </w:pPr>
    </w:p>
    <w:p>
      <w:pPr>
        <w:ind w:left="64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Mutual Representations and Warranties</w:t>
      </w:r>
      <w:r>
        <w:rPr>
          <w:rFonts w:ascii="Times New Roman" w:cs="Times New Roman" w:eastAsia="Times New Roman" w:hAnsi="Times New Roman"/>
          <w:sz w:val="20"/>
          <w:szCs w:val="20"/>
          <w:color w:val="auto"/>
        </w:rPr>
        <w:t>. Each Party represents and warrants to the other Party as of the Restatement Effective Date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that:</w:t>
      </w:r>
    </w:p>
    <w:p>
      <w:pPr>
        <w:spacing w:after="0" w:line="161" w:lineRule="exact"/>
        <w:rPr>
          <w:sz w:val="20"/>
          <w:szCs w:val="20"/>
          <w:color w:val="auto"/>
        </w:rPr>
      </w:pPr>
    </w:p>
    <w:p>
      <w:pPr>
        <w:jc w:val="both"/>
        <w:ind w:left="128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3.6.1.</w:t>
        <w:tab/>
        <w:t>such Party is duly organized, validly existing and in good standing under the law of the jurisdiction of its incorporation and has full corporate power and authority to enter into this Agreement and to carry out the provisions hereof;</w:t>
      </w:r>
    </w:p>
    <w:p>
      <w:pPr>
        <w:spacing w:after="0" w:line="148" w:lineRule="exact"/>
        <w:rPr>
          <w:sz w:val="20"/>
          <w:szCs w:val="20"/>
          <w:color w:val="auto"/>
        </w:rPr>
      </w:pPr>
    </w:p>
    <w:p>
      <w:pPr>
        <w:jc w:val="both"/>
        <w:ind w:left="128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3.6.2.</w:t>
        <w:tab/>
        <w:t>this Agreement has been duly executed and delivered on behalf of such Party, and constitutes a legal, valid, binding obligation, enforceable against it in accordance with the terms hereof;</w:t>
      </w:r>
    </w:p>
    <w:p>
      <w:pPr>
        <w:spacing w:after="0" w:line="16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3.6.3.</w:t>
      </w:r>
      <w:r>
        <w:rPr>
          <w:sz w:val="20"/>
          <w:szCs w:val="20"/>
          <w:color w:val="auto"/>
        </w:rPr>
        <w:tab/>
      </w:r>
      <w:r>
        <w:rPr>
          <w:rFonts w:ascii="Times New Roman" w:cs="Times New Roman" w:eastAsia="Times New Roman" w:hAnsi="Times New Roman"/>
          <w:sz w:val="19"/>
          <w:szCs w:val="19"/>
          <w:color w:val="auto"/>
        </w:rPr>
        <w:t>the performance of this Agreement by it does not create a breach or default under any other agreement to which it is a party;</w:t>
      </w:r>
    </w:p>
    <w:p>
      <w:pPr>
        <w:spacing w:after="0" w:line="17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3.6.4.</w:t>
      </w:r>
      <w:r>
        <w:rPr>
          <w:sz w:val="20"/>
          <w:szCs w:val="20"/>
          <w:color w:val="auto"/>
        </w:rPr>
        <w:tab/>
      </w:r>
      <w:r>
        <w:rPr>
          <w:rFonts w:ascii="Times New Roman" w:cs="Times New Roman" w:eastAsia="Times New Roman" w:hAnsi="Times New Roman"/>
          <w:sz w:val="19"/>
          <w:szCs w:val="19"/>
          <w:color w:val="auto"/>
        </w:rPr>
        <w:t>the execution, delivery and performance of this Agreement by such Party does not conflict with any agreement, instrument or</w:t>
      </w:r>
    </w:p>
    <w:p>
      <w:pPr>
        <w:ind w:left="1280" w:right="20"/>
        <w:spacing w:after="0" w:line="221" w:lineRule="auto"/>
        <w:rPr>
          <w:sz w:val="20"/>
          <w:szCs w:val="20"/>
          <w:color w:val="auto"/>
        </w:rPr>
      </w:pPr>
      <w:r>
        <w:rPr>
          <w:rFonts w:ascii="Times New Roman" w:cs="Times New Roman" w:eastAsia="Times New Roman" w:hAnsi="Times New Roman"/>
          <w:sz w:val="20"/>
          <w:szCs w:val="20"/>
          <w:color w:val="auto"/>
        </w:rPr>
        <w:t>understanding, oral or written, to which it is a party or by which it is bound, nor violate any Applicable Law or regulation of any court, governmental body or administrative or other agency having jurisdiction over such Party;</w:t>
      </w:r>
    </w:p>
    <w:p>
      <w:pPr>
        <w:spacing w:after="0" w:line="16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3.6.5.</w:t>
      </w:r>
      <w:r>
        <w:rPr>
          <w:sz w:val="20"/>
          <w:szCs w:val="20"/>
          <w:color w:val="auto"/>
        </w:rPr>
        <w:tab/>
      </w:r>
      <w:r>
        <w:rPr>
          <w:rFonts w:ascii="Times New Roman" w:cs="Times New Roman" w:eastAsia="Times New Roman" w:hAnsi="Times New Roman"/>
          <w:sz w:val="19"/>
          <w:szCs w:val="19"/>
          <w:color w:val="auto"/>
        </w:rPr>
        <w:t>such Party is authorized to grant the rights and licenses contemplated under this Agreement; and</w:t>
      </w:r>
    </w:p>
    <w:p>
      <w:pPr>
        <w:spacing w:after="0" w:line="189" w:lineRule="exact"/>
        <w:rPr>
          <w:sz w:val="20"/>
          <w:szCs w:val="20"/>
          <w:color w:val="auto"/>
        </w:rPr>
      </w:pPr>
    </w:p>
    <w:p>
      <w:pPr>
        <w:jc w:val="both"/>
        <w:ind w:left="1280" w:hanging="637"/>
        <w:spacing w:after="0" w:line="215" w:lineRule="auto"/>
        <w:tabs>
          <w:tab w:leader="none" w:pos="1260" w:val="left"/>
        </w:tabs>
        <w:rPr>
          <w:sz w:val="20"/>
          <w:szCs w:val="20"/>
          <w:color w:val="auto"/>
        </w:rPr>
      </w:pPr>
      <w:r>
        <w:rPr>
          <w:rFonts w:ascii="Times New Roman" w:cs="Times New Roman" w:eastAsia="Times New Roman" w:hAnsi="Times New Roman"/>
          <w:sz w:val="20"/>
          <w:szCs w:val="20"/>
          <w:color w:val="auto"/>
        </w:rPr>
        <w:t>3.6.6.</w:t>
        <w:tab/>
        <w:t>no government authorization, consent, approval, license, exemption of or filing or registration with any court or governmental department, commission, board, bureau, agency or instrumentality, domestic or foreign, under any Applicable</w:t>
      </w:r>
    </w:p>
    <w:p>
      <w:pPr>
        <w:ind w:left="1280"/>
        <w:spacing w:after="0" w:line="212" w:lineRule="auto"/>
        <w:rPr>
          <w:sz w:val="20"/>
          <w:szCs w:val="20"/>
          <w:color w:val="auto"/>
        </w:rPr>
      </w:pPr>
      <w:r>
        <w:rPr>
          <w:rFonts w:ascii="Times New Roman" w:cs="Times New Roman" w:eastAsia="Times New Roman" w:hAnsi="Times New Roman"/>
          <w:sz w:val="20"/>
          <w:szCs w:val="20"/>
          <w:color w:val="auto"/>
        </w:rPr>
        <w:t>Law currently in effect, is or will be necessary for, or in connection with, the transaction contemplated by this Agreement or</w:t>
      </w:r>
    </w:p>
    <w:p>
      <w:pPr>
        <w:spacing w:after="0" w:line="1" w:lineRule="exact"/>
        <w:rPr>
          <w:sz w:val="20"/>
          <w:szCs w:val="20"/>
          <w:color w:val="auto"/>
        </w:rPr>
      </w:pPr>
    </w:p>
    <w:p>
      <w:pPr>
        <w:ind w:left="1280"/>
        <w:spacing w:after="0" w:line="204" w:lineRule="auto"/>
        <w:rPr>
          <w:sz w:val="20"/>
          <w:szCs w:val="20"/>
          <w:color w:val="auto"/>
        </w:rPr>
      </w:pPr>
      <w:r>
        <w:rPr>
          <w:rFonts w:ascii="Times New Roman" w:cs="Times New Roman" w:eastAsia="Times New Roman" w:hAnsi="Times New Roman"/>
          <w:sz w:val="20"/>
          <w:szCs w:val="20"/>
          <w:color w:val="auto"/>
        </w:rPr>
        <w:t>any other agreement or instrument executed in connection herewith, or for the performance by it of its obligations under this Agreement and such other agreements except as may be required to obtain Hart-Scott-Rodino clearance or other clearances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as required by other government authorities.</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Mutual Covenants</w:t>
      </w:r>
      <w:r>
        <w:rPr>
          <w:rFonts w:ascii="Times New Roman" w:cs="Times New Roman" w:eastAsia="Times New Roman" w:hAnsi="Times New Roman"/>
          <w:sz w:val="19"/>
          <w:szCs w:val="19"/>
          <w:color w:val="auto"/>
        </w:rPr>
        <w:t>. Each Party hereby covenants to the other Party that:</w:t>
      </w:r>
    </w:p>
    <w:p>
      <w:pPr>
        <w:spacing w:after="0" w:line="175" w:lineRule="exact"/>
        <w:rPr>
          <w:sz w:val="20"/>
          <w:szCs w:val="20"/>
          <w:color w:val="auto"/>
        </w:rPr>
      </w:pPr>
    </w:p>
    <w:p>
      <w:pPr>
        <w:jc w:val="both"/>
        <w:ind w:left="1280" w:right="20" w:hanging="637"/>
        <w:spacing w:after="0" w:line="230" w:lineRule="auto"/>
        <w:tabs>
          <w:tab w:leader="none" w:pos="1260" w:val="left"/>
        </w:tabs>
        <w:rPr>
          <w:sz w:val="20"/>
          <w:szCs w:val="20"/>
          <w:color w:val="auto"/>
        </w:rPr>
      </w:pPr>
      <w:r>
        <w:rPr>
          <w:rFonts w:ascii="Times New Roman" w:cs="Times New Roman" w:eastAsia="Times New Roman" w:hAnsi="Times New Roman"/>
          <w:sz w:val="20"/>
          <w:szCs w:val="20"/>
          <w:color w:val="auto"/>
        </w:rPr>
        <w:t>3.6.1.</w:t>
        <w:tab/>
        <w:t>all employees, of such Party providing services in connection with this Agreement and/or the Projects have in the course of their employment or shall execute agreements requiring assignment to such Party or its designee of all right, title and interest in and to their inventions and discoveries invented or otherwise discovered or generated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4" w:right="339" w:bottom="1440" w:gutter="0" w:footer="0" w:header="0"/>
        </w:sectPr>
      </w:pPr>
    </w:p>
    <w:bookmarkStart w:id="249" w:name="page250"/>
    <w:bookmarkEnd w:id="249"/>
    <w:p>
      <w:pPr>
        <w:ind w:left="1280"/>
        <w:spacing w:after="0"/>
        <w:rPr>
          <w:sz w:val="20"/>
          <w:szCs w:val="20"/>
          <w:color w:val="auto"/>
        </w:rPr>
      </w:pPr>
      <w:r>
        <w:rPr>
          <w:rFonts w:ascii="Times New Roman" w:cs="Times New Roman" w:eastAsia="Times New Roman" w:hAnsi="Times New Roman"/>
          <w:sz w:val="20"/>
          <w:szCs w:val="20"/>
          <w:color w:val="auto"/>
        </w:rPr>
        <w:t>course of and as a result of their association with such Party, whether or not patentable, if any, to such Party as the sole owner thereof,</w:t>
      </w:r>
    </w:p>
    <w:p>
      <w:pPr>
        <w:spacing w:after="0" w:line="148" w:lineRule="exact"/>
        <w:rPr>
          <w:sz w:val="20"/>
          <w:szCs w:val="20"/>
          <w:color w:val="auto"/>
        </w:rPr>
      </w:pPr>
    </w:p>
    <w:p>
      <w:pPr>
        <w:jc w:val="both"/>
        <w:ind w:left="1280" w:hanging="637"/>
        <w:spacing w:after="0" w:line="230" w:lineRule="auto"/>
        <w:tabs>
          <w:tab w:leader="none" w:pos="1260" w:val="left"/>
        </w:tabs>
        <w:rPr>
          <w:sz w:val="20"/>
          <w:szCs w:val="20"/>
          <w:color w:val="auto"/>
        </w:rPr>
      </w:pPr>
      <w:r>
        <w:rPr>
          <w:rFonts w:ascii="Times New Roman" w:cs="Times New Roman" w:eastAsia="Times New Roman" w:hAnsi="Times New Roman"/>
          <w:sz w:val="20"/>
          <w:szCs w:val="20"/>
          <w:color w:val="auto"/>
        </w:rPr>
        <w:t>3.6.2.</w:t>
        <w:tab/>
        <w:t>all of its employees, of such Party providing services in connection with this Agreement and/or the Projects have in the course of their employment or shall execute agreements obligating each such employee to maintain as confidential the Confidential Information of such Party,</w:t>
      </w:r>
    </w:p>
    <w:p>
      <w:pPr>
        <w:spacing w:after="0" w:line="149" w:lineRule="exact"/>
        <w:rPr>
          <w:sz w:val="20"/>
          <w:szCs w:val="20"/>
          <w:color w:val="auto"/>
        </w:rPr>
      </w:pPr>
    </w:p>
    <w:p>
      <w:pPr>
        <w:jc w:val="both"/>
        <w:ind w:left="128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3.6.3.</w:t>
        <w:tab/>
        <w:t>such Party shall perform its activities pursuant to this Agreement in compliance with the Applicable Law and institutional policy;</w:t>
      </w:r>
    </w:p>
    <w:p>
      <w:pPr>
        <w:spacing w:after="0" w:line="134" w:lineRule="exact"/>
        <w:rPr>
          <w:sz w:val="20"/>
          <w:szCs w:val="20"/>
          <w:color w:val="auto"/>
        </w:rPr>
      </w:pPr>
    </w:p>
    <w:p>
      <w:pPr>
        <w:jc w:val="both"/>
        <w:ind w:left="1280" w:hanging="637"/>
        <w:spacing w:after="0" w:line="230" w:lineRule="auto"/>
        <w:tabs>
          <w:tab w:leader="none" w:pos="1260" w:val="left"/>
        </w:tabs>
        <w:rPr>
          <w:sz w:val="20"/>
          <w:szCs w:val="20"/>
          <w:color w:val="auto"/>
        </w:rPr>
      </w:pPr>
      <w:r>
        <w:rPr>
          <w:rFonts w:ascii="Times New Roman" w:cs="Times New Roman" w:eastAsia="Times New Roman" w:hAnsi="Times New Roman"/>
          <w:sz w:val="20"/>
          <w:szCs w:val="20"/>
          <w:color w:val="auto"/>
        </w:rPr>
        <w:t>3.6.4.</w:t>
        <w:tab/>
        <w:t xml:space="preserve">such Party shall not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infringe the intellectual property rights of any Third Party in connection with its activities pursuant to this Agreement; and such Party shall not grant any rights to a Third Party which would conflict with its obligations under this Agreement, such as conflict with the rights granted to the other Party hereunder.</w:t>
      </w:r>
    </w:p>
    <w:p>
      <w:pPr>
        <w:spacing w:after="0" w:line="135"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u w:val="single" w:color="auto"/>
          <w:color w:val="auto"/>
        </w:rPr>
        <w:t>Recursion Representations and Warranties</w:t>
      </w:r>
      <w:r>
        <w:rPr>
          <w:rFonts w:ascii="Times New Roman" w:cs="Times New Roman" w:eastAsia="Times New Roman" w:hAnsi="Times New Roman"/>
          <w:sz w:val="20"/>
          <w:szCs w:val="20"/>
          <w:color w:val="auto"/>
        </w:rPr>
        <w:t>. Recursion hereby represents and warrants to Bayer that as of the Restatement Effective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Date:</w:t>
      </w:r>
    </w:p>
    <w:p>
      <w:pPr>
        <w:spacing w:after="0" w:line="12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1.3.1.</w:t>
        <w:tab/>
        <w:t>It has right, title and interest to the Recursion Technology, or otherwise has the right to use the Recursion Technology for</w:t>
      </w:r>
    </w:p>
    <w:p>
      <w:pPr>
        <w:ind w:left="1280"/>
        <w:spacing w:after="0" w:line="215" w:lineRule="auto"/>
        <w:rPr>
          <w:sz w:val="20"/>
          <w:szCs w:val="20"/>
          <w:color w:val="auto"/>
        </w:rPr>
      </w:pPr>
      <w:r>
        <w:rPr>
          <w:rFonts w:ascii="Times New Roman" w:cs="Times New Roman" w:eastAsia="Times New Roman" w:hAnsi="Times New Roman"/>
          <w:sz w:val="19"/>
          <w:szCs w:val="19"/>
          <w:color w:val="auto"/>
        </w:rPr>
        <w:t>purposes of the Collaboration, and these rights are not subject to any encumbrance, lien, restriction or claim of any ownership by another party that would conflict with the rights granted to Bayer hereunder, which have not been waived (or will not have</w:t>
      </w:r>
    </w:p>
    <w:p>
      <w:pPr>
        <w:ind w:left="1280"/>
        <w:spacing w:after="0" w:line="204" w:lineRule="auto"/>
        <w:rPr>
          <w:sz w:val="20"/>
          <w:szCs w:val="20"/>
          <w:color w:val="auto"/>
        </w:rPr>
      </w:pPr>
      <w:r>
        <w:rPr>
          <w:rFonts w:ascii="Times New Roman" w:cs="Times New Roman" w:eastAsia="Times New Roman" w:hAnsi="Times New Roman"/>
          <w:sz w:val="20"/>
          <w:szCs w:val="20"/>
          <w:color w:val="auto"/>
        </w:rPr>
        <w:t>been waived) as of the Restatement Effective Date or the effective date of the applicable License Agreement, as applicable based on which agreement would conflict with such encumbrance, lien, restriction or claim (such waiver to be evidenced by</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Recursion by providing respective documentation to Bayer); and</w:t>
      </w:r>
    </w:p>
    <w:p>
      <w:pPr>
        <w:spacing w:after="0" w:line="140" w:lineRule="exact"/>
        <w:rPr>
          <w:sz w:val="20"/>
          <w:szCs w:val="20"/>
          <w:color w:val="auto"/>
        </w:rPr>
      </w:pPr>
    </w:p>
    <w:p>
      <w:pPr>
        <w:ind w:left="1280" w:right="2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3.6.5.</w:t>
        <w:tab/>
        <w:t xml:space="preserve">It has investigated its freedom to operate with regard to the Recursion Technology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the use of the Recursion Technology within the Collaboration does not infringe any Third Party intellectual property rights.</w:t>
      </w:r>
    </w:p>
    <w:p>
      <w:pPr>
        <w:spacing w:after="0" w:line="134"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DISCLAIMERS</w:t>
      </w:r>
      <w:r>
        <w:rPr>
          <w:rFonts w:ascii="Times New Roman" w:cs="Times New Roman" w:eastAsia="Times New Roman" w:hAnsi="Times New Roman"/>
          <w:sz w:val="20"/>
          <w:szCs w:val="20"/>
          <w:color w:val="auto"/>
        </w:rPr>
        <w:t>.  EXCEPT  AS  EXPRESSLY  SET  FORTH  IN  THIS  AGREEMENT,  NEITHER  PARTY  MAKES  ANY REPRESENTATIONS OR WARRANTIES OF ANY KIND CONCERNING ITS ACTIVITIES UNDER OR RESULTS OF THE</w:t>
      </w:r>
    </w:p>
    <w:p>
      <w:pPr>
        <w:spacing w:after="0" w:line="2"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PROJECT PLAN AND THE PARTIES HEREBY DISCLAIM ALL FURTHER REPRESENTATIONS AND WARRANTIES, EXPRESS OR IMPLIED, INCLUDING WARRANTIES OF MERCHANTABILITY, FITNESS FOR A PARTICULAR PURPOSE,</w:t>
      </w:r>
    </w:p>
    <w:p>
      <w:pPr>
        <w:ind w:left="640"/>
        <w:spacing w:after="0" w:line="234" w:lineRule="auto"/>
        <w:tabs>
          <w:tab w:leader="none" w:pos="2760" w:val="left"/>
          <w:tab w:leader="none" w:pos="3180" w:val="left"/>
          <w:tab w:leader="none" w:pos="4820" w:val="left"/>
          <w:tab w:leader="none" w:pos="5980" w:val="left"/>
          <w:tab w:leader="none" w:pos="6860" w:val="left"/>
          <w:tab w:leader="none" w:pos="7280" w:val="left"/>
          <w:tab w:leader="none" w:pos="8080" w:val="left"/>
          <w:tab w:leader="none" w:pos="8520" w:val="left"/>
          <w:tab w:leader="none" w:pos="9300" w:val="left"/>
          <w:tab w:leader="none" w:pos="10280" w:val="left"/>
        </w:tabs>
        <w:rPr>
          <w:sz w:val="20"/>
          <w:szCs w:val="20"/>
          <w:color w:val="auto"/>
        </w:rPr>
      </w:pPr>
      <w:r>
        <w:rPr>
          <w:rFonts w:ascii="Times New Roman" w:cs="Times New Roman" w:eastAsia="Times New Roman" w:hAnsi="Times New Roman"/>
          <w:sz w:val="20"/>
          <w:szCs w:val="20"/>
          <w:color w:val="auto"/>
        </w:rPr>
        <w:t>NON-INFRINGEMENT</w:t>
        <w:tab/>
        <w:t>OF</w:t>
        <w:tab/>
        <w:t>INTELLECTUAL</w:t>
        <w:tab/>
        <w:t>PROPERTY</w:t>
        <w:tab/>
        <w:t>RIGHTS</w:t>
        <w:tab/>
        <w:t>OF</w:t>
        <w:tab/>
        <w:t>ITSELF</w:t>
        <w:tab/>
        <w:t>OR</w:t>
        <w:tab/>
        <w:t>THIRD</w:t>
        <w:tab/>
        <w:t>PARTIES,</w:t>
      </w:r>
      <w:r>
        <w:rPr>
          <w:sz w:val="20"/>
          <w:szCs w:val="20"/>
          <w:color w:val="auto"/>
        </w:rPr>
        <w:tab/>
      </w:r>
      <w:r>
        <w:rPr>
          <w:rFonts w:ascii="Times New Roman" w:cs="Times New Roman" w:eastAsia="Times New Roman" w:hAnsi="Times New Roman"/>
          <w:sz w:val="18"/>
          <w:szCs w:val="18"/>
          <w:color w:val="auto"/>
        </w:rPr>
        <w:t>VALIDITY,</w:t>
      </w:r>
    </w:p>
    <w:p>
      <w:pPr>
        <w:ind w:left="640"/>
        <w:spacing w:after="0" w:line="221" w:lineRule="auto"/>
        <w:rPr>
          <w:sz w:val="20"/>
          <w:szCs w:val="20"/>
          <w:color w:val="auto"/>
        </w:rPr>
      </w:pPr>
      <w:r>
        <w:rPr>
          <w:rFonts w:ascii="Times New Roman" w:cs="Times New Roman" w:eastAsia="Times New Roman" w:hAnsi="Times New Roman"/>
          <w:sz w:val="20"/>
          <w:szCs w:val="20"/>
          <w:color w:val="auto"/>
        </w:rPr>
        <w:t>ENFORCEABILITY AND SCOPE OF PATENT RIGHTS, VALIDITY OF PATENT RIGHTS CLAIMS, WHETHER ISSUED OR PENDING, AND THE ABSENCE OF LATENT OR OTHER DEFECTS, WHETHER OR NOT DISCOVERABLE.</w:t>
      </w:r>
    </w:p>
    <w:p>
      <w:pPr>
        <w:spacing w:after="0" w:line="148"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EXCEPT FOR THE INDEMNIFICATION OBLIGATION HEREUNDER AND WITH RESPECT TO ANY BREACH OF ARTICLE 12, NEITHER PARTY, THEIR DIRECTORS, OFFICERS, EMPLOYEES, AGENTS, AND</w:t>
      </w:r>
    </w:p>
    <w:p>
      <w:pPr>
        <w:ind w:left="640"/>
        <w:spacing w:after="0" w:line="212" w:lineRule="auto"/>
        <w:rPr>
          <w:sz w:val="20"/>
          <w:szCs w:val="20"/>
          <w:color w:val="auto"/>
        </w:rPr>
      </w:pPr>
      <w:r>
        <w:rPr>
          <w:rFonts w:ascii="Times New Roman" w:cs="Times New Roman" w:eastAsia="Times New Roman" w:hAnsi="Times New Roman"/>
          <w:sz w:val="20"/>
          <w:szCs w:val="20"/>
          <w:color w:val="auto"/>
        </w:rPr>
        <w:t>AFFILIATED INVESTIGATORS SHALL BE LIABLE TO THE OTHER WITH RESPECT TO ANY SUBJECT MATTER OF</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THIS AGREEMENT FOR ANY INDIRECT, PUNITIVE, SPECIAL OR CONSEQUENTIAL DAMAGES, INCLUDING INCIDENTAL, ECONOMIC DAMAGES OR INJURY TO PROPERTY AND LOST PROFITS, EVEN IF SUCH PARTY HAS</w:t>
      </w:r>
    </w:p>
    <w:p>
      <w:pPr>
        <w:ind w:left="640"/>
        <w:spacing w:after="0" w:line="211" w:lineRule="auto"/>
        <w:rPr>
          <w:sz w:val="20"/>
          <w:szCs w:val="20"/>
          <w:color w:val="auto"/>
        </w:rPr>
      </w:pPr>
      <w:r>
        <w:rPr>
          <w:rFonts w:ascii="Times New Roman" w:cs="Times New Roman" w:eastAsia="Times New Roman" w:hAnsi="Times New Roman"/>
          <w:sz w:val="20"/>
          <w:szCs w:val="20"/>
          <w:color w:val="auto"/>
        </w:rPr>
        <w:t>BEEN INFORMED, SHOULD HAVE KNOWN OR IN FACT KNEW OF THE POSSIBILITY OF SUCH DAMAGES;</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PROVIDED THAT THIS SECTION 14.5 SHALL NOT APPLY TO THE PARTIES’ INDEMNIFICATION RIGHTS AND OBLIGATIONS UNDER SECTION 14.6 AND 14.7.</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u w:val="single" w:color="auto"/>
          <w:color w:val="auto"/>
        </w:rPr>
        <w:t>Bayer Indemnity</w:t>
      </w:r>
      <w:r>
        <w:rPr>
          <w:rFonts w:ascii="Times New Roman" w:cs="Times New Roman" w:eastAsia="Times New Roman" w:hAnsi="Times New Roman"/>
          <w:sz w:val="20"/>
          <w:szCs w:val="20"/>
          <w:color w:val="auto"/>
        </w:rPr>
        <w:t>. Bayer shall indemnify, defend, and hold harmless Recursion and its Affiliates, and their respective directors,</w:t>
      </w: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officers, employees, trustees, and their respective successors, heirs and assigns (the “</w:t>
      </w:r>
      <w:r>
        <w:rPr>
          <w:rFonts w:ascii="Times New Roman" w:cs="Times New Roman" w:eastAsia="Times New Roman" w:hAnsi="Times New Roman"/>
          <w:sz w:val="20"/>
          <w:szCs w:val="20"/>
          <w:u w:val="single" w:color="auto"/>
          <w:color w:val="auto"/>
        </w:rPr>
        <w:t>Recursion Indemnitees</w:t>
      </w:r>
      <w:r>
        <w:rPr>
          <w:rFonts w:ascii="Times New Roman" w:cs="Times New Roman" w:eastAsia="Times New Roman" w:hAnsi="Times New Roman"/>
          <w:sz w:val="20"/>
          <w:szCs w:val="20"/>
          <w:color w:val="auto"/>
        </w:rPr>
        <w:t>”), against any Losses incurred by or imposed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9" w:right="339" w:bottom="1440" w:gutter="0" w:footer="0" w:header="0"/>
        </w:sectPr>
      </w:pPr>
    </w:p>
    <w:bookmarkStart w:id="250" w:name="page251"/>
    <w:bookmarkEnd w:id="250"/>
    <w:p>
      <w:pPr>
        <w:ind w:left="640"/>
        <w:spacing w:after="0"/>
        <w:rPr>
          <w:sz w:val="20"/>
          <w:szCs w:val="20"/>
          <w:color w:val="auto"/>
        </w:rPr>
      </w:pPr>
      <w:r>
        <w:rPr>
          <w:rFonts w:ascii="Times New Roman" w:cs="Times New Roman" w:eastAsia="Times New Roman" w:hAnsi="Times New Roman"/>
          <w:sz w:val="20"/>
          <w:szCs w:val="20"/>
          <w:color w:val="auto"/>
        </w:rPr>
        <w:t>of the Recursion Indemnitees in connection with any claims, suits, investigations, actions, demands from or by a Third Party or</w:t>
      </w:r>
    </w:p>
    <w:p>
      <w:pPr>
        <w:ind w:left="640"/>
        <w:spacing w:after="0" w:line="215" w:lineRule="auto"/>
        <w:rPr>
          <w:sz w:val="20"/>
          <w:szCs w:val="20"/>
          <w:color w:val="auto"/>
        </w:rPr>
      </w:pPr>
      <w:r>
        <w:rPr>
          <w:rFonts w:ascii="Times New Roman" w:cs="Times New Roman" w:eastAsia="Times New Roman" w:hAnsi="Times New Roman"/>
          <w:sz w:val="19"/>
          <w:szCs w:val="19"/>
          <w:color w:val="auto"/>
        </w:rPr>
        <w:t>respective judgments to the extent arising out of or related to (i) Bayer’s use of Project Results, or the negligent exercise of any rights under this Agreement, (ii) any breach of this Agreement, including but not limited to any representation, warranty or covenant set</w:t>
      </w:r>
    </w:p>
    <w:p>
      <w:pPr>
        <w:ind w:left="640"/>
        <w:spacing w:after="0" w:line="228" w:lineRule="auto"/>
        <w:rPr>
          <w:sz w:val="20"/>
          <w:szCs w:val="20"/>
          <w:color w:val="auto"/>
        </w:rPr>
      </w:pPr>
      <w:r>
        <w:rPr>
          <w:rFonts w:ascii="Times New Roman" w:cs="Times New Roman" w:eastAsia="Times New Roman" w:hAnsi="Times New Roman"/>
          <w:sz w:val="20"/>
          <w:szCs w:val="20"/>
          <w:color w:val="auto"/>
        </w:rPr>
        <w:t>forth herein, by Bayer or (iii) Bayer’s negligence or willful misconduct under this Agreement, except, in each case, to the extent that the respective Losses are caused by the negligence or willful misconduct of Recursion or any Recursion Indemnitees.</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Recursion Indemnity</w:t>
      </w:r>
      <w:r>
        <w:rPr>
          <w:rFonts w:ascii="Times New Roman" w:cs="Times New Roman" w:eastAsia="Times New Roman" w:hAnsi="Times New Roman"/>
          <w:sz w:val="20"/>
          <w:szCs w:val="20"/>
          <w:color w:val="auto"/>
        </w:rPr>
        <w:t>. Recursion shall indemnify, defend, and hold harmless Bayer and its Affiliates, and their respective directors, officers, employees, (the “</w:t>
      </w:r>
      <w:r>
        <w:rPr>
          <w:rFonts w:ascii="Times New Roman" w:cs="Times New Roman" w:eastAsia="Times New Roman" w:hAnsi="Times New Roman"/>
          <w:sz w:val="20"/>
          <w:szCs w:val="20"/>
          <w:u w:val="single" w:color="auto"/>
          <w:color w:val="auto"/>
        </w:rPr>
        <w:t>Bayer Indemnitees</w:t>
      </w:r>
      <w:r>
        <w:rPr>
          <w:rFonts w:ascii="Times New Roman" w:cs="Times New Roman" w:eastAsia="Times New Roman" w:hAnsi="Times New Roman"/>
          <w:sz w:val="20"/>
          <w:szCs w:val="20"/>
          <w:color w:val="auto"/>
        </w:rPr>
        <w:t>”), against any Losses incurred by or imposed upon any of the Bayer Indemnitees in</w:t>
      </w:r>
    </w:p>
    <w:p>
      <w:pPr>
        <w:spacing w:after="0" w:line="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connection with any claims, suits, investigations, actions, demands from or by a Third Party or respective judgments to the extent arising out of or related to (i) Recursion’s use of Project Results, or the negligent exercise of any rights under this Agreement, (ii) any</w:t>
      </w:r>
    </w:p>
    <w:p>
      <w:pPr>
        <w:ind w:left="640"/>
        <w:spacing w:after="0" w:line="222" w:lineRule="auto"/>
        <w:rPr>
          <w:sz w:val="20"/>
          <w:szCs w:val="20"/>
          <w:color w:val="auto"/>
        </w:rPr>
      </w:pPr>
      <w:r>
        <w:rPr>
          <w:rFonts w:ascii="Times New Roman" w:cs="Times New Roman" w:eastAsia="Times New Roman" w:hAnsi="Times New Roman"/>
          <w:sz w:val="19"/>
          <w:szCs w:val="19"/>
          <w:color w:val="auto"/>
        </w:rPr>
        <w:t>breach of this Agreement, including but not limited to any representation, warranty or covenant set forth herein, by Recursion or (iii)</w:t>
      </w:r>
    </w:p>
    <w:p>
      <w:pPr>
        <w:ind w:left="640"/>
        <w:spacing w:after="0" w:line="221" w:lineRule="auto"/>
        <w:rPr>
          <w:sz w:val="20"/>
          <w:szCs w:val="20"/>
          <w:color w:val="auto"/>
        </w:rPr>
      </w:pPr>
      <w:r>
        <w:rPr>
          <w:rFonts w:ascii="Times New Roman" w:cs="Times New Roman" w:eastAsia="Times New Roman" w:hAnsi="Times New Roman"/>
          <w:sz w:val="20"/>
          <w:szCs w:val="20"/>
          <w:color w:val="auto"/>
        </w:rPr>
        <w:t>Recursion’s negligence or willful misconduct under this Agreement, except, in each case, to the extent that the respective Losses are caused by the negligence or willful misconduct of any Bayer Indemnitees.</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u w:val="single" w:color="auto"/>
          <w:color w:val="auto"/>
        </w:rPr>
        <w:t>Procedures</w:t>
      </w:r>
      <w:r>
        <w:rPr>
          <w:rFonts w:ascii="Times New Roman" w:cs="Times New Roman" w:eastAsia="Times New Roman" w:hAnsi="Times New Roman"/>
          <w:sz w:val="20"/>
          <w:szCs w:val="20"/>
          <w:color w:val="auto"/>
        </w:rPr>
        <w:t>. The Indemnitee agrees to provide the Indemnifying Party with prompt written notice of any claim, suit, action, demand,</w:t>
      </w:r>
    </w:p>
    <w:p>
      <w:pPr>
        <w:ind w:left="640"/>
        <w:spacing w:after="0" w:line="215" w:lineRule="auto"/>
        <w:rPr>
          <w:sz w:val="20"/>
          <w:szCs w:val="20"/>
          <w:color w:val="auto"/>
        </w:rPr>
      </w:pPr>
      <w:r>
        <w:rPr>
          <w:rFonts w:ascii="Times New Roman" w:cs="Times New Roman" w:eastAsia="Times New Roman" w:hAnsi="Times New Roman"/>
          <w:sz w:val="19"/>
          <w:szCs w:val="19"/>
          <w:color w:val="auto"/>
        </w:rPr>
        <w:t>or judgment for which indemnification is sought under this Agreement; provided that, an Indemnitee’s failure to do so shall not affect the rights of such Indemnitee unless, and then only to the extent that, such delay or failure is prejudicial to or otherwise adversely</w:t>
      </w:r>
    </w:p>
    <w:p>
      <w:pPr>
        <w:ind w:left="640"/>
        <w:spacing w:after="0" w:line="222" w:lineRule="auto"/>
        <w:rPr>
          <w:sz w:val="20"/>
          <w:szCs w:val="20"/>
          <w:color w:val="auto"/>
        </w:rPr>
      </w:pPr>
      <w:r>
        <w:rPr>
          <w:rFonts w:ascii="Times New Roman" w:cs="Times New Roman" w:eastAsia="Times New Roman" w:hAnsi="Times New Roman"/>
          <w:sz w:val="19"/>
          <w:szCs w:val="19"/>
          <w:color w:val="auto"/>
        </w:rPr>
        <w:t>affects the Indemnifying Party. The Indemnifying Party agrees, at its own expense, to provide attorneys reasonably acceptable to the</w:t>
      </w:r>
    </w:p>
    <w:p>
      <w:pPr>
        <w:ind w:left="640"/>
        <w:spacing w:after="0" w:line="204" w:lineRule="auto"/>
        <w:rPr>
          <w:sz w:val="20"/>
          <w:szCs w:val="20"/>
          <w:color w:val="auto"/>
        </w:rPr>
      </w:pPr>
      <w:r>
        <w:rPr>
          <w:rFonts w:ascii="Times New Roman" w:cs="Times New Roman" w:eastAsia="Times New Roman" w:hAnsi="Times New Roman"/>
          <w:sz w:val="20"/>
          <w:szCs w:val="20"/>
          <w:color w:val="auto"/>
        </w:rPr>
        <w:t>Indemnitee to defend against any such claim. The Indemnitee shall cooperate with the Indemnifying Party in such defense and shall permit the Indemnifying Party to conduct and control such defense and the disposition of such claim, suit, or action (including all</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decisions relative to litigation, appeal, and settlement). The Indemnitee shall have the right to retain its own counsel, at its own expense. The Indemnifying Party agrees to keep the Indemnitee informed of the progress in the defense and disposition of such claim</w:t>
      </w:r>
    </w:p>
    <w:p>
      <w:pPr>
        <w:ind w:left="640"/>
        <w:spacing w:after="0"/>
        <w:rPr>
          <w:sz w:val="20"/>
          <w:szCs w:val="20"/>
          <w:color w:val="auto"/>
        </w:rPr>
      </w:pPr>
      <w:r>
        <w:rPr>
          <w:rFonts w:ascii="Times New Roman" w:cs="Times New Roman" w:eastAsia="Times New Roman" w:hAnsi="Times New Roman"/>
          <w:sz w:val="20"/>
          <w:szCs w:val="20"/>
          <w:color w:val="auto"/>
        </w:rPr>
        <w:t>and to consult with the Indemnitee with regard to any proposed settlement.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Notwithstanding anything to the contrary in this Agreement, the Indemnifying Party shall not enter into any settlement, consent judgment, or other voluntary final disposition of any claim that has an adverse effect on the rights of any Indemnitee(s)</w:t>
      </w:r>
    </w:p>
    <w:p>
      <w:pPr>
        <w:ind w:left="640"/>
        <w:spacing w:after="0" w:line="224" w:lineRule="auto"/>
        <w:rPr>
          <w:sz w:val="20"/>
          <w:szCs w:val="20"/>
          <w:color w:val="auto"/>
        </w:rPr>
      </w:pPr>
      <w:r>
        <w:rPr>
          <w:rFonts w:ascii="Times New Roman" w:cs="Times New Roman" w:eastAsia="Times New Roman" w:hAnsi="Times New Roman"/>
          <w:sz w:val="19"/>
          <w:szCs w:val="19"/>
          <w:color w:val="auto"/>
        </w:rPr>
        <w:t>hereunder or on the Project IP Rights, or admits any wrongdoing or fault by any Indemnitee(s), or imposes on any Indemnitee(s) any</w:t>
      </w:r>
    </w:p>
    <w:p>
      <w:pPr>
        <w:ind w:left="640"/>
        <w:spacing w:after="0" w:line="221" w:lineRule="auto"/>
        <w:rPr>
          <w:sz w:val="20"/>
          <w:szCs w:val="20"/>
          <w:color w:val="auto"/>
        </w:rPr>
      </w:pPr>
      <w:r>
        <w:rPr>
          <w:rFonts w:ascii="Times New Roman" w:cs="Times New Roman" w:eastAsia="Times New Roman" w:hAnsi="Times New Roman"/>
          <w:sz w:val="20"/>
          <w:szCs w:val="20"/>
          <w:color w:val="auto"/>
        </w:rPr>
        <w:t>payment or other liability, without the prior written consent of the Indemnitee, provided however, that such consent shall not be unreasonably withheld.</w:t>
      </w:r>
    </w:p>
    <w:p>
      <w:pPr>
        <w:spacing w:after="0" w:line="162" w:lineRule="exact"/>
        <w:rPr>
          <w:sz w:val="20"/>
          <w:szCs w:val="20"/>
          <w:color w:val="auto"/>
        </w:rPr>
      </w:pPr>
    </w:p>
    <w:p>
      <w:pPr>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Parties hereby agree to maintain a program of insurance and/or self-insurance which is prudent and adequate to</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address any claim or liability which may arise out of the performance of their obligations pursuant to this Agreement.</w:t>
      </w:r>
    </w:p>
    <w:p>
      <w:pPr>
        <w:spacing w:after="0" w:line="157"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TERM AND TERMINATION</w:t>
      </w:r>
    </w:p>
    <w:p>
      <w:pPr>
        <w:spacing w:after="0" w:line="170" w:lineRule="exact"/>
        <w:rPr>
          <w:sz w:val="20"/>
          <w:szCs w:val="20"/>
          <w:color w:val="auto"/>
        </w:rPr>
      </w:pPr>
    </w:p>
    <w:p>
      <w:pPr>
        <w:jc w:val="both"/>
        <w:ind w:left="640" w:hanging="637"/>
        <w:spacing w:after="0" w:line="222" w:lineRule="auto"/>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Collaboration Term</w:t>
      </w:r>
      <w:r>
        <w:rPr>
          <w:rFonts w:ascii="Times New Roman" w:cs="Times New Roman" w:eastAsia="Times New Roman" w:hAnsi="Times New Roman"/>
          <w:sz w:val="20"/>
          <w:szCs w:val="20"/>
          <w:color w:val="auto"/>
        </w:rPr>
        <w:t>. This Agreement shall commence as of the Restatement Effective Date and, unless sooner terminated in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accordance with the terms hereof or by mutual written consent, shall continue until the expiration of all Project Terms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Collaboration Term</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left="640" w:hanging="63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Termination by Bayer for Convenience</w:t>
      </w:r>
      <w:r>
        <w:rPr>
          <w:rFonts w:ascii="Times New Roman" w:cs="Times New Roman" w:eastAsia="Times New Roman" w:hAnsi="Times New Roman"/>
          <w:sz w:val="20"/>
          <w:szCs w:val="20"/>
          <w:color w:val="auto"/>
        </w:rPr>
        <w:t>. Bayer may, without cause and for any reason, terminate a Project by providing</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days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advance notice. Upon receipt of the termination notice, both Parties shall promptly discuss wind-down activities for the respective Project.</w:t>
      </w:r>
    </w:p>
    <w:p>
      <w:pPr>
        <w:spacing w:after="0" w:line="149" w:lineRule="exact"/>
        <w:rPr>
          <w:sz w:val="20"/>
          <w:szCs w:val="20"/>
          <w:color w:val="auto"/>
        </w:rPr>
      </w:pPr>
    </w:p>
    <w:p>
      <w:pPr>
        <w:jc w:val="both"/>
        <w:ind w:left="640" w:hanging="637"/>
        <w:spacing w:after="0" w:line="234" w:lineRule="auto"/>
        <w:tabs>
          <w:tab w:leader="none" w:pos="6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Termination for Breach</w:t>
      </w:r>
      <w:r>
        <w:rPr>
          <w:rFonts w:ascii="Times New Roman" w:cs="Times New Roman" w:eastAsia="Times New Roman" w:hAnsi="Times New Roman"/>
          <w:sz w:val="19"/>
          <w:szCs w:val="19"/>
          <w:color w:val="auto"/>
        </w:rPr>
        <w:t>. In the event of any material breach by a Party of this Agreement, the other Party shall have the right to</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terminate the respective Project or, if the material breach is of a general nature that impacts the Collaboration as a whole, to terminate</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this Agreement upon delivery of a written termination notice to the breaching Party, provided that the terminating Party gave in advance written notice of such breach to the breaching Party specifying the nature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4" w:right="339" w:bottom="1440" w:gutter="0" w:footer="0" w:header="0"/>
        </w:sectPr>
      </w:pPr>
    </w:p>
    <w:bookmarkStart w:id="251" w:name="page252"/>
    <w:bookmarkEnd w:id="251"/>
    <w:p>
      <w:pPr>
        <w:ind w:left="640"/>
        <w:spacing w:after="0"/>
        <w:rPr>
          <w:sz w:val="20"/>
          <w:szCs w:val="20"/>
          <w:color w:val="auto"/>
        </w:rPr>
      </w:pPr>
      <w:r>
        <w:rPr>
          <w:rFonts w:ascii="Times New Roman" w:cs="Times New Roman" w:eastAsia="Times New Roman" w:hAnsi="Times New Roman"/>
          <w:sz w:val="20"/>
          <w:szCs w:val="20"/>
          <w:color w:val="auto"/>
        </w:rPr>
        <w:t xml:space="preserve">alleged breach and that the breaching Party did not cure the breach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after its receipt of the notice of breach.</w:t>
      </w:r>
    </w:p>
    <w:p>
      <w:pPr>
        <w:ind w:left="640"/>
        <w:spacing w:after="0" w:line="204" w:lineRule="auto"/>
        <w:rPr>
          <w:sz w:val="20"/>
          <w:szCs w:val="20"/>
          <w:color w:val="auto"/>
        </w:rPr>
      </w:pPr>
      <w:r>
        <w:rPr>
          <w:rFonts w:ascii="Times New Roman" w:cs="Times New Roman" w:eastAsia="Times New Roman" w:hAnsi="Times New Roman"/>
          <w:sz w:val="20"/>
          <w:szCs w:val="20"/>
          <w:color w:val="auto"/>
        </w:rPr>
        <w:t>Notwithstanding the foregoing, the Party receiving a notice of breach pursuant to this Section 15.3 may dispute the existence or materiality of such breach in good faith, in which case the cure period set forth above shall be tolled pending the resolution of such</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dispute pursuant to Article 16 below.</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Consequence of Termination of this Agreement</w:t>
      </w:r>
      <w:r>
        <w:rPr>
          <w:rFonts w:ascii="Times New Roman" w:cs="Times New Roman" w:eastAsia="Times New Roman" w:hAnsi="Times New Roman"/>
          <w:sz w:val="19"/>
          <w:szCs w:val="19"/>
          <w:color w:val="auto"/>
        </w:rPr>
        <w:t>. In the event that this Agreement is terminated,</w:t>
      </w:r>
    </w:p>
    <w:p>
      <w:pPr>
        <w:spacing w:after="0" w:line="189" w:lineRule="exact"/>
        <w:rPr>
          <w:sz w:val="20"/>
          <w:szCs w:val="20"/>
          <w:color w:val="auto"/>
        </w:rPr>
      </w:pPr>
    </w:p>
    <w:p>
      <w:pPr>
        <w:ind w:left="1140" w:hanging="494"/>
        <w:spacing w:after="0"/>
        <w:tabs>
          <w:tab w:leader="none" w:pos="11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By Bayer in accordance with Section 15.2,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2"/>
          <w:szCs w:val="22"/>
          <w:color w:val="auto"/>
        </w:rPr>
      </w:pPr>
    </w:p>
    <w:p>
      <w:pPr>
        <w:ind w:left="1160" w:hanging="514"/>
        <w:spacing w:after="0"/>
        <w:tabs>
          <w:tab w:leader="none" w:pos="11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By Bayer in accordance with Section 15.3,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2"/>
          <w:szCs w:val="22"/>
          <w:color w:val="auto"/>
        </w:rPr>
      </w:pPr>
    </w:p>
    <w:p>
      <w:pPr>
        <w:ind w:left="1140" w:hanging="494"/>
        <w:spacing w:after="0"/>
        <w:tabs>
          <w:tab w:leader="none" w:pos="11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By Recursion in accordance with Section 15.3,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2"/>
          <w:szCs w:val="22"/>
          <w:color w:val="auto"/>
        </w:rPr>
      </w:pPr>
    </w:p>
    <w:p>
      <w:pPr>
        <w:jc w:val="both"/>
        <w:ind w:left="1160" w:hanging="514"/>
        <w:spacing w:after="0" w:line="223" w:lineRule="auto"/>
        <w:tabs>
          <w:tab w:leader="none" w:pos="115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clarity, nothing in this Section 15.4 shall grant either Party rights to use the Project Results within the scope of an Option that it declined to exercise prior to such termination, or amend the terms of any License Agreement (or license agreement executed as a result of Recursion’s exercise of the Recursion Option) entered into prior to such termination.</w:t>
      </w:r>
    </w:p>
    <w:p>
      <w:pPr>
        <w:spacing w:after="0" w:line="161"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Either Party may, but is not required to, terminate this Agreement if, at any time, the other Party shall file in any court or agency pursuant to any statute or regulation of any state, country or jurisdiction, a petition in bankruptcy or insolvency or for</w:t>
      </w:r>
    </w:p>
    <w:p>
      <w:pPr>
        <w:ind w:left="640"/>
        <w:spacing w:after="0" w:line="212" w:lineRule="auto"/>
        <w:rPr>
          <w:sz w:val="20"/>
          <w:szCs w:val="20"/>
          <w:color w:val="auto"/>
        </w:rPr>
      </w:pPr>
      <w:r>
        <w:rPr>
          <w:rFonts w:ascii="Times New Roman" w:cs="Times New Roman" w:eastAsia="Times New Roman" w:hAnsi="Times New Roman"/>
          <w:sz w:val="20"/>
          <w:szCs w:val="20"/>
          <w:color w:val="auto"/>
        </w:rPr>
        <w:t>reorganization or for an arrangement or for the appointment of a receiver or trustee of that Party or of its assets, or if the other Party</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proposes a written agreement of composition, or if the other Party shall be served with an involuntary petition against it, filed in any insolvency proceeding, and such petition shall not be dismissed within sixty (60) days after the filing thereof, or if the other Party</w:t>
      </w:r>
    </w:p>
    <w:p>
      <w:pPr>
        <w:ind w:left="640"/>
        <w:spacing w:after="0" w:line="211" w:lineRule="auto"/>
        <w:rPr>
          <w:sz w:val="20"/>
          <w:szCs w:val="20"/>
          <w:color w:val="auto"/>
        </w:rPr>
      </w:pPr>
      <w:r>
        <w:rPr>
          <w:rFonts w:ascii="Times New Roman" w:cs="Times New Roman" w:eastAsia="Times New Roman" w:hAnsi="Times New Roman"/>
          <w:sz w:val="20"/>
          <w:szCs w:val="20"/>
          <w:color w:val="auto"/>
        </w:rPr>
        <w:t>shall propose or be a party to any dissolution or liquidation of such Party, or if the other Party shall make an assignment of</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substantially all of its assets for the benefit of its creditors other than in the ordinary course of business. All rights and licenses granted under or pursuant to this Agreement by one Party to the other are, for all purposes of Section 365(n) of Title 11 of the United</w:t>
      </w:r>
    </w:p>
    <w:p>
      <w:pPr>
        <w:ind w:left="640"/>
        <w:spacing w:after="0" w:line="222" w:lineRule="auto"/>
        <w:rPr>
          <w:sz w:val="20"/>
          <w:szCs w:val="20"/>
          <w:color w:val="auto"/>
        </w:rPr>
      </w:pPr>
      <w:r>
        <w:rPr>
          <w:rFonts w:ascii="Times New Roman" w:cs="Times New Roman" w:eastAsia="Times New Roman" w:hAnsi="Times New Roman"/>
          <w:sz w:val="19"/>
          <w:szCs w:val="19"/>
          <w:color w:val="auto"/>
        </w:rPr>
        <w:t>States Code (“</w:t>
      </w:r>
      <w:r>
        <w:rPr>
          <w:rFonts w:ascii="Times New Roman" w:cs="Times New Roman" w:eastAsia="Times New Roman" w:hAnsi="Times New Roman"/>
          <w:sz w:val="19"/>
          <w:szCs w:val="19"/>
          <w:u w:val="single" w:color="auto"/>
          <w:color w:val="auto"/>
        </w:rPr>
        <w:t>Title 11</w:t>
      </w:r>
      <w:r>
        <w:rPr>
          <w:rFonts w:ascii="Times New Roman" w:cs="Times New Roman" w:eastAsia="Times New Roman" w:hAnsi="Times New Roman"/>
          <w:sz w:val="19"/>
          <w:szCs w:val="19"/>
          <w:color w:val="auto"/>
        </w:rPr>
        <w:t>”), licenses of rights to “intellectual property” as defined in Title 11, and, in the event that a case under Title 11</w:t>
      </w:r>
    </w:p>
    <w:p>
      <w:pPr>
        <w:ind w:left="640"/>
        <w:spacing w:after="0" w:line="221" w:lineRule="auto"/>
        <w:rPr>
          <w:sz w:val="20"/>
          <w:szCs w:val="20"/>
          <w:color w:val="auto"/>
        </w:rPr>
      </w:pPr>
      <w:r>
        <w:rPr>
          <w:rFonts w:ascii="Times New Roman" w:cs="Times New Roman" w:eastAsia="Times New Roman" w:hAnsi="Times New Roman"/>
          <w:sz w:val="20"/>
          <w:szCs w:val="20"/>
          <w:color w:val="auto"/>
        </w:rPr>
        <w:t>is commenced by or against either Party, the other Party shall have all of the rights set forth in Section 365(n) of Title 11 to the maximum extent permitted thereby.</w:t>
      </w:r>
    </w:p>
    <w:p>
      <w:pPr>
        <w:spacing w:after="0" w:line="162"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Accrued Rights</w:t>
      </w:r>
      <w:r>
        <w:rPr>
          <w:rFonts w:ascii="Times New Roman" w:cs="Times New Roman" w:eastAsia="Times New Roman" w:hAnsi="Times New Roman"/>
          <w:sz w:val="20"/>
          <w:szCs w:val="20"/>
          <w:color w:val="auto"/>
        </w:rPr>
        <w:t>. Expiration or termination of this Agreement (or any provision hereof) for any reason shall be without prejudice to any right that shall have accrued to the benefit of a Party prior to such expiration or termination, including damages arising from any</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breach under this Agreement. Expiration or termination of this Agreement shall not relieve a Party from any obligation that is expressly indicated to survive such expiration or termination.</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termination or expiration of this Agreement shall not affect any executed License Agreement, license agreement executed in support of a Recursion Option, or the obligations under Sections 1, 3.7, 3.10 (for the period of time set forth therein),</w:t>
      </w:r>
    </w:p>
    <w:p>
      <w:pPr>
        <w:spacing w:after="0" w:line="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3.11 (for the period of time set forth therein), 7, 9, 10.2-10.4, 12 (for the period of time set forth therein), 14.4-14.10, 15, 16, and 17 of this Agreement and all other obligations under this Agreement, which by their very nature are intended to survive such termination</w:t>
      </w:r>
    </w:p>
    <w:p>
      <w:pPr>
        <w:ind w:left="640"/>
        <w:spacing w:after="0"/>
        <w:rPr>
          <w:sz w:val="20"/>
          <w:szCs w:val="20"/>
          <w:color w:val="auto"/>
        </w:rPr>
      </w:pPr>
      <w:r>
        <w:rPr>
          <w:rFonts w:ascii="Times New Roman" w:cs="Times New Roman" w:eastAsia="Times New Roman" w:hAnsi="Times New Roman"/>
          <w:sz w:val="20"/>
          <w:szCs w:val="20"/>
          <w:color w:val="auto"/>
        </w:rPr>
        <w:t>or expiration.</w:t>
      </w:r>
    </w:p>
    <w:p>
      <w:pPr>
        <w:spacing w:after="0" w:line="176"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DISPUTE RESOLUTION</w:t>
      </w:r>
    </w:p>
    <w:p>
      <w:pPr>
        <w:spacing w:after="0" w:line="170"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Mandatory Procedures</w:t>
      </w:r>
      <w:r>
        <w:rPr>
          <w:rFonts w:ascii="Times New Roman" w:cs="Times New Roman" w:eastAsia="Times New Roman" w:hAnsi="Times New Roman"/>
          <w:sz w:val="20"/>
          <w:szCs w:val="20"/>
          <w:color w:val="auto"/>
        </w:rPr>
        <w:t>. The Parties agree that any dispute arising out of or relating to this Agreement, including its termination, (a “</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shall be resolved solely by means of the procedures set forth in this Article 16, and that such procedures constitute legally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binding obligations that are an essential provision of this Agreement.</w:t>
      </w:r>
    </w:p>
    <w:p>
      <w:pPr>
        <w:spacing w:after="0" w:line="167" w:lineRule="exact"/>
        <w:rPr>
          <w:sz w:val="20"/>
          <w:szCs w:val="20"/>
          <w:color w:val="auto"/>
        </w:rPr>
      </w:pPr>
    </w:p>
    <w:p>
      <w:pPr>
        <w:ind w:left="640" w:hanging="63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Preliminary Injunctions</w:t>
      </w:r>
      <w:r>
        <w:rPr>
          <w:rFonts w:ascii="Times New Roman" w:cs="Times New Roman" w:eastAsia="Times New Roman" w:hAnsi="Times New Roman"/>
          <w:sz w:val="20"/>
          <w:szCs w:val="20"/>
          <w:color w:val="auto"/>
        </w:rPr>
        <w:t>. Notwithstanding anything in this Agreement, including Section 16.3, to the contrary, a Party may, at any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time, seek a temporary restraining order or a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4" w:right="339" w:bottom="1440" w:gutter="0" w:footer="0" w:header="0"/>
        </w:sectPr>
      </w:pPr>
    </w:p>
    <w:bookmarkStart w:id="252" w:name="page253"/>
    <w:bookmarkEnd w:id="252"/>
    <w:p>
      <w:pPr>
        <w:ind w:left="640"/>
        <w:spacing w:after="0"/>
        <w:rPr>
          <w:sz w:val="20"/>
          <w:szCs w:val="20"/>
          <w:color w:val="auto"/>
        </w:rPr>
      </w:pPr>
      <w:r>
        <w:rPr>
          <w:rFonts w:ascii="Times New Roman" w:cs="Times New Roman" w:eastAsia="Times New Roman" w:hAnsi="Times New Roman"/>
          <w:sz w:val="20"/>
          <w:szCs w:val="20"/>
          <w:color w:val="auto"/>
        </w:rPr>
        <w:t>injunction from any court of competent jurisdiction in order to prevent immediate and irreparable injury, loss, or damage on a provisional basis, pending the decision of the arbitrator(s) or experts on the ultimate merits of any dispute.</w:t>
      </w:r>
    </w:p>
    <w:p>
      <w:pPr>
        <w:spacing w:after="0" w:line="148"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Dispute Resolution Procedure</w:t>
      </w:r>
      <w:r>
        <w:rPr>
          <w:rFonts w:ascii="Times New Roman" w:cs="Times New Roman" w:eastAsia="Times New Roman" w:hAnsi="Times New Roman"/>
          <w:sz w:val="20"/>
          <w:szCs w:val="20"/>
          <w:color w:val="auto"/>
        </w:rPr>
        <w:t>. In the event of a Dispute, the Parties shall first attempt in good faith to resolve such Dispute as follows: either Party can refer the matter to senior representatives of each Party for resolution. Such individuals shall convene for a</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meeting (by audio or video conference or in presence) and shall endeavor in good faith to resolve such matter within thirty (30) Business Days following such referral. If the Dispute remains unresolved after good faith efforts, either Party may initiate</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proceedings in accordance with the following paragraphs of this Article 16. For clarity, Disputes shall not include matters within the JSC’s authority, which shall be resolved in accordance with Sections 4.5 and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9" w:right="339" w:bottom="1440" w:gutter="0" w:footer="0" w:header="0"/>
        </w:sectPr>
      </w:pPr>
    </w:p>
    <w:bookmarkStart w:id="253" w:name="page254"/>
    <w:bookmarkEnd w:id="253"/>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3.6.1.  Subject to Sections 16.5 and 16.6 any Disputes shall be finally settled under the Rules of Arbitration of the International Chamber of Commerce by a panel of three arbitrators appointed in accordance with the said Rules, save that the third</w:t>
      </w:r>
    </w:p>
    <w:p>
      <w:pPr>
        <w:ind w:left="1280"/>
        <w:spacing w:after="0" w:line="212" w:lineRule="auto"/>
        <w:rPr>
          <w:sz w:val="20"/>
          <w:szCs w:val="20"/>
          <w:color w:val="auto"/>
        </w:rPr>
      </w:pPr>
      <w:r>
        <w:rPr>
          <w:rFonts w:ascii="Times New Roman" w:cs="Times New Roman" w:eastAsia="Times New Roman" w:hAnsi="Times New Roman"/>
          <w:sz w:val="20"/>
          <w:szCs w:val="20"/>
          <w:color w:val="auto"/>
        </w:rPr>
        <w:t>arbitrator, who will act as president of the arbitral tribunal, shall not be appointed by the International Court of Arbitration,</w:t>
      </w:r>
    </w:p>
    <w:p>
      <w:pPr>
        <w:spacing w:after="0" w:line="1" w:lineRule="exact"/>
        <w:rPr>
          <w:sz w:val="20"/>
          <w:szCs w:val="20"/>
          <w:color w:val="auto"/>
        </w:rPr>
      </w:pPr>
    </w:p>
    <w:p>
      <w:pPr>
        <w:ind w:left="1280"/>
        <w:spacing w:after="0" w:line="221" w:lineRule="auto"/>
        <w:rPr>
          <w:sz w:val="20"/>
          <w:szCs w:val="20"/>
          <w:color w:val="auto"/>
        </w:rPr>
      </w:pPr>
      <w:r>
        <w:rPr>
          <w:rFonts w:ascii="Times New Roman" w:cs="Times New Roman" w:eastAsia="Times New Roman" w:hAnsi="Times New Roman"/>
          <w:sz w:val="20"/>
          <w:szCs w:val="20"/>
          <w:color w:val="auto"/>
        </w:rPr>
        <w:t>but by the two arbitrators which have been appointed by either of the Parties in accordance with Article 12 para 4 of said Rules.</w:t>
      </w:r>
    </w:p>
    <w:p>
      <w:pPr>
        <w:spacing w:after="0" w:line="15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3.6.2.</w:t>
      </w:r>
      <w:r>
        <w:rPr>
          <w:sz w:val="20"/>
          <w:szCs w:val="20"/>
          <w:color w:val="auto"/>
        </w:rPr>
        <w:tab/>
      </w:r>
      <w:r>
        <w:rPr>
          <w:rFonts w:ascii="Times New Roman" w:cs="Times New Roman" w:eastAsia="Times New Roman" w:hAnsi="Times New Roman"/>
          <w:sz w:val="19"/>
          <w:szCs w:val="19"/>
          <w:color w:val="auto"/>
        </w:rPr>
        <w:t>The place of arbitration shall be New York, New York, U.S., and the language to be used in any such proceeding (and for all</w:t>
      </w:r>
    </w:p>
    <w:p>
      <w:pPr>
        <w:ind w:left="1280"/>
        <w:spacing w:after="0" w:line="221" w:lineRule="auto"/>
        <w:rPr>
          <w:sz w:val="20"/>
          <w:szCs w:val="20"/>
          <w:color w:val="auto"/>
        </w:rPr>
      </w:pPr>
      <w:r>
        <w:rPr>
          <w:rFonts w:ascii="Times New Roman" w:cs="Times New Roman" w:eastAsia="Times New Roman" w:hAnsi="Times New Roman"/>
          <w:sz w:val="20"/>
          <w:szCs w:val="20"/>
          <w:color w:val="auto"/>
        </w:rPr>
        <w:t>testimony, evidence and written documentation) shall be English. The IBA Rules on the Taking of Evidence in International Arbitration shall apply on any evidence to be taken up in the arbitration.</w:t>
      </w:r>
    </w:p>
    <w:p>
      <w:pPr>
        <w:spacing w:after="0" w:line="162" w:lineRule="exact"/>
        <w:rPr>
          <w:sz w:val="20"/>
          <w:szCs w:val="20"/>
          <w:color w:val="auto"/>
        </w:rPr>
      </w:pPr>
    </w:p>
    <w:p>
      <w:pPr>
        <w:ind w:left="1280" w:hanging="637"/>
        <w:spacing w:after="0"/>
        <w:tabs>
          <w:tab w:leader="none" w:pos="1260" w:val="left"/>
        </w:tabs>
        <w:rPr>
          <w:sz w:val="20"/>
          <w:szCs w:val="20"/>
          <w:color w:val="auto"/>
        </w:rPr>
      </w:pPr>
      <w:r>
        <w:rPr>
          <w:rFonts w:ascii="Times New Roman" w:cs="Times New Roman" w:eastAsia="Times New Roman" w:hAnsi="Times New Roman"/>
          <w:sz w:val="20"/>
          <w:szCs w:val="20"/>
          <w:color w:val="auto"/>
        </w:rPr>
        <w:t>3.6.3.</w:t>
        <w:tab/>
        <w:t>Without limiting any other remedies that may be available under law, the arbitrator(s) shall have no authority to award punitive damages.</w:t>
      </w:r>
    </w:p>
    <w:p>
      <w:pPr>
        <w:spacing w:after="0" w:line="148"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Patent Disputes</w:t>
      </w:r>
      <w:r>
        <w:rPr>
          <w:rFonts w:ascii="Times New Roman" w:cs="Times New Roman" w:eastAsia="Times New Roman" w:hAnsi="Times New Roman"/>
          <w:sz w:val="20"/>
          <w:szCs w:val="20"/>
          <w:color w:val="auto"/>
        </w:rPr>
        <w:t>. Notwithstanding anything in this Agreement to the contrary, any and all issues regarding the validity and enforceability of any Patent (“</w:t>
      </w:r>
      <w:r>
        <w:rPr>
          <w:rFonts w:ascii="Times New Roman" w:cs="Times New Roman" w:eastAsia="Times New Roman" w:hAnsi="Times New Roman"/>
          <w:sz w:val="20"/>
          <w:szCs w:val="20"/>
          <w:u w:val="single" w:color="auto"/>
          <w:color w:val="auto"/>
        </w:rPr>
        <w:t>Patent Matters</w:t>
      </w:r>
      <w:r>
        <w:rPr>
          <w:rFonts w:ascii="Times New Roman" w:cs="Times New Roman" w:eastAsia="Times New Roman" w:hAnsi="Times New Roman"/>
          <w:sz w:val="20"/>
          <w:szCs w:val="20"/>
          <w:color w:val="auto"/>
        </w:rPr>
        <w:t>”) shall be determined in a court or other tribunal, as the case may be, of competent</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jurisdiction under the applicable patent laws of such country with a jury trial being however excluded. If such Dispute involves both Patent Matters and other matters, the arbitrators or experts as applicable will have the right to stay the arbitration until determination</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 Patent Matters material to the resolution of the Dispute as to other matters is resolved.</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Expert Determination for Specific Matters</w:t>
      </w:r>
      <w:r>
        <w:rPr>
          <w:rFonts w:ascii="Times New Roman" w:cs="Times New Roman" w:eastAsia="Times New Roman" w:hAnsi="Times New Roman"/>
          <w:sz w:val="20"/>
          <w:szCs w:val="20"/>
          <w:color w:val="auto"/>
        </w:rPr>
        <w:t>. Subject to Section 16.5 and notwithstanding Section 16.4, the Parties may, but are not required to, mutually agree to submit any Dispute which subject matter relates to a scientific or technical assessment or the</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determination of the amount of royalty payments or a license fee to administered expert proceedings in accordance with the Rules for the Administration of Expert Proceedings of the International Chamber of Commerce. The Parties agree that in such case the findings</w:t>
      </w:r>
    </w:p>
    <w:p>
      <w:pPr>
        <w:ind w:left="640"/>
        <w:spacing w:after="0" w:line="228" w:lineRule="auto"/>
        <w:rPr>
          <w:sz w:val="20"/>
          <w:szCs w:val="20"/>
          <w:color w:val="auto"/>
        </w:rPr>
      </w:pPr>
      <w:r>
        <w:rPr>
          <w:rFonts w:ascii="Times New Roman" w:cs="Times New Roman" w:eastAsia="Times New Roman" w:hAnsi="Times New Roman"/>
          <w:sz w:val="20"/>
          <w:szCs w:val="20"/>
          <w:color w:val="auto"/>
        </w:rPr>
        <w:t>of the expert shall be contractually binding upon them in the absence of manifest error or fraud and that they will agree with the expert on the terms of his appointment.</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Performance to Continue</w:t>
      </w:r>
      <w:r>
        <w:rPr>
          <w:rFonts w:ascii="Times New Roman" w:cs="Times New Roman" w:eastAsia="Times New Roman" w:hAnsi="Times New Roman"/>
          <w:sz w:val="20"/>
          <w:szCs w:val="20"/>
          <w:color w:val="auto"/>
        </w:rPr>
        <w:t>. Unless this Agreement is terminated in accordance with Article 15, each Party shall continue to perform its undisputed obligations under this Agreement pending final resolution of any dispute arising out of or relating to this Agreement;</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provided, however, that a Party may suspend performance of its undisputed obligations during any period in which the other Party fails or refuses to perform its undisputed obligations or during any period in which the issue in dispute is payments due under this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Agreement.</w:t>
      </w:r>
    </w:p>
    <w:p>
      <w:pPr>
        <w:spacing w:after="0" w:line="176"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MISCELLANEOUS</w:t>
      </w:r>
    </w:p>
    <w:p>
      <w:pPr>
        <w:spacing w:after="0" w:line="170"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Any notices to be given hereunder shall be in writing and shall be either delivered by hand or sent postage prepaid by certified mail or via an internationally recognized courier service and addressed to the other Party’s address provided below or at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such other address for which such Party gives notice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9" w:right="339" w:bottom="1440" w:gutter="0" w:footer="0" w:header="0"/>
        </w:sectPr>
      </w:pPr>
    </w:p>
    <w:bookmarkStart w:id="254" w:name="page255"/>
    <w:bookmarkEnd w:id="254"/>
    <w:p>
      <w:pPr>
        <w:spacing w:after="0" w:line="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If to Recursion: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9"/>
          <w:szCs w:val="19"/>
          <w:color w:val="auto"/>
        </w:rPr>
        <w:t>If to Bayer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Recursion Pharmaceuticals, Inc.</w:t>
      </w:r>
    </w:p>
    <w:p>
      <w:pPr>
        <w:spacing w:after="0" w:line="197" w:lineRule="auto"/>
        <w:rPr>
          <w:sz w:val="20"/>
          <w:szCs w:val="20"/>
          <w:color w:val="auto"/>
        </w:rPr>
      </w:pPr>
      <w:r>
        <w:rPr>
          <w:rFonts w:ascii="Times New Roman" w:cs="Times New Roman" w:eastAsia="Times New Roman" w:hAnsi="Times New Roman"/>
          <w:sz w:val="20"/>
          <w:szCs w:val="20"/>
          <w:color w:val="auto"/>
        </w:rPr>
        <w:t>41 S Rio Grande Street</w:t>
      </w:r>
    </w:p>
    <w:p>
      <w:pPr>
        <w:spacing w:after="0" w:line="211" w:lineRule="auto"/>
        <w:rPr>
          <w:sz w:val="20"/>
          <w:szCs w:val="20"/>
          <w:color w:val="auto"/>
        </w:rPr>
      </w:pPr>
      <w:r>
        <w:rPr>
          <w:rFonts w:ascii="Times New Roman" w:cs="Times New Roman" w:eastAsia="Times New Roman" w:hAnsi="Times New Roman"/>
          <w:sz w:val="20"/>
          <w:szCs w:val="20"/>
          <w:color w:val="auto"/>
        </w:rPr>
        <w:t>Salt Lake City, UT 84101</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Attention: </w:t>
      </w:r>
      <w:r>
        <w:rPr>
          <w:rFonts w:ascii="Times New Roman" w:cs="Times New Roman" w:eastAsia="Times New Roman" w:hAnsi="Times New Roman"/>
          <w:sz w:val="17"/>
          <w:szCs w:val="17"/>
          <w:b w:val="1"/>
          <w:bCs w:val="1"/>
          <w:color w:val="auto"/>
        </w:rPr>
        <w:t>[***]</w:t>
      </w:r>
    </w:p>
    <w:p>
      <w:pPr>
        <w:spacing w:after="0" w:line="198" w:lineRule="auto"/>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@recursionpharma.com</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17"/>
          <w:szCs w:val="17"/>
          <w:b w:val="1"/>
          <w:bCs w:val="1"/>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With a copy to:</w:t>
      </w:r>
    </w:p>
    <w:p>
      <w:pPr>
        <w:spacing w:after="0" w:line="198" w:lineRule="auto"/>
        <w:rPr>
          <w:sz w:val="20"/>
          <w:szCs w:val="20"/>
          <w:color w:val="auto"/>
        </w:rPr>
      </w:pPr>
      <w:r>
        <w:rPr>
          <w:rFonts w:ascii="Times New Roman" w:cs="Times New Roman" w:eastAsia="Times New Roman" w:hAnsi="Times New Roman"/>
          <w:sz w:val="20"/>
          <w:szCs w:val="20"/>
          <w:color w:val="auto"/>
        </w:rPr>
        <w:t>Wilson Sonsini Goodrich &amp; Rosati</w:t>
      </w:r>
    </w:p>
    <w:p>
      <w:pPr>
        <w:spacing w:after="0" w:line="211" w:lineRule="auto"/>
        <w:rPr>
          <w:sz w:val="20"/>
          <w:szCs w:val="20"/>
          <w:color w:val="auto"/>
        </w:rPr>
      </w:pPr>
      <w:r>
        <w:rPr>
          <w:rFonts w:ascii="Times New Roman" w:cs="Times New Roman" w:eastAsia="Times New Roman" w:hAnsi="Times New Roman"/>
          <w:sz w:val="20"/>
          <w:szCs w:val="20"/>
          <w:color w:val="auto"/>
        </w:rPr>
        <w:t>201 Washington Street, Suite 2000</w:t>
      </w:r>
    </w:p>
    <w:p>
      <w:pPr>
        <w:spacing w:after="0" w:line="211" w:lineRule="auto"/>
        <w:rPr>
          <w:sz w:val="20"/>
          <w:szCs w:val="20"/>
          <w:color w:val="auto"/>
        </w:rPr>
      </w:pPr>
      <w:r>
        <w:rPr>
          <w:rFonts w:ascii="Times New Roman" w:cs="Times New Roman" w:eastAsia="Times New Roman" w:hAnsi="Times New Roman"/>
          <w:sz w:val="20"/>
          <w:szCs w:val="20"/>
          <w:color w:val="auto"/>
        </w:rPr>
        <w:t>Boston, MA 02108</w:t>
      </w:r>
    </w:p>
    <w:p>
      <w:pPr>
        <w:spacing w:after="0" w:line="197" w:lineRule="auto"/>
        <w:rPr>
          <w:sz w:val="20"/>
          <w:szCs w:val="20"/>
          <w:color w:val="auto"/>
        </w:rPr>
      </w:pPr>
      <w:r>
        <w:rPr>
          <w:rFonts w:ascii="Times New Roman" w:cs="Times New Roman" w:eastAsia="Times New Roman" w:hAnsi="Times New Roman"/>
          <w:sz w:val="20"/>
          <w:szCs w:val="20"/>
          <w:color w:val="auto"/>
        </w:rPr>
        <w:t xml:space="preserve">Attention: </w:t>
      </w:r>
      <w:r>
        <w:rPr>
          <w:rFonts w:ascii="Times New Roman" w:cs="Times New Roman" w:eastAsia="Times New Roman" w:hAnsi="Times New Roman"/>
          <w:sz w:val="17"/>
          <w:szCs w:val="17"/>
          <w:b w:val="1"/>
          <w:bCs w:val="1"/>
          <w:color w:val="auto"/>
        </w:rPr>
        <w:t>[***]</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@wsgr.com</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Fax: </w:t>
      </w:r>
      <w:r>
        <w:rPr>
          <w:rFonts w:ascii="Times New Roman" w:cs="Times New Roman" w:eastAsia="Times New Roman" w:hAnsi="Times New Roman"/>
          <w:sz w:val="17"/>
          <w:szCs w:val="17"/>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Bayer AG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Attention: </w:t>
      </w:r>
      <w:r>
        <w:rPr>
          <w:rFonts w:ascii="Times New Roman" w:cs="Times New Roman" w:eastAsia="Times New Roman" w:hAnsi="Times New Roman"/>
          <w:sz w:val="17"/>
          <w:szCs w:val="17"/>
          <w:b w:val="1"/>
          <w:bCs w:val="1"/>
          <w:color w:val="auto"/>
        </w:rPr>
        <w:t>[***]</w:t>
      </w:r>
    </w:p>
    <w:p>
      <w:pPr>
        <w:spacing w:after="0" w:line="199" w:lineRule="auto"/>
        <w:rPr>
          <w:sz w:val="20"/>
          <w:szCs w:val="20"/>
          <w:color w:val="auto"/>
        </w:rPr>
      </w:pPr>
      <w:r>
        <w:rPr>
          <w:rFonts w:ascii="Times New Roman" w:cs="Times New Roman" w:eastAsia="Times New Roman" w:hAnsi="Times New Roman"/>
          <w:sz w:val="20"/>
          <w:szCs w:val="20"/>
          <w:color w:val="auto"/>
        </w:rPr>
        <w:t>Site Head Bayer Research Innovation Center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with a copy to</w:t>
      </w:r>
    </w:p>
    <w:p>
      <w:pPr>
        <w:ind w:right="1840"/>
        <w:spacing w:after="0" w:line="205" w:lineRule="auto"/>
        <w:rPr>
          <w:sz w:val="20"/>
          <w:szCs w:val="20"/>
          <w:color w:val="auto"/>
        </w:rPr>
      </w:pPr>
      <w:r>
        <w:rPr>
          <w:rFonts w:ascii="Times New Roman" w:cs="Times New Roman" w:eastAsia="Times New Roman" w:hAnsi="Times New Roman"/>
          <w:sz w:val="20"/>
          <w:szCs w:val="20"/>
          <w:color w:val="auto"/>
        </w:rPr>
        <w:t xml:space="preserve">Head of Law BP Pharmaceuticals Research &amp; Development Attention: </w:t>
      </w:r>
      <w:r>
        <w:rPr>
          <w:rFonts w:ascii="Times New Roman" w:cs="Times New Roman" w:eastAsia="Times New Roman" w:hAnsi="Times New Roman"/>
          <w:sz w:val="17"/>
          <w:szCs w:val="17"/>
          <w:b w:val="1"/>
          <w:bCs w:val="1"/>
          <w:color w:val="auto"/>
        </w:rPr>
        <w:t>[***]</w:t>
      </w:r>
    </w:p>
    <w:p>
      <w:pPr>
        <w:spacing w:after="0" w:line="217" w:lineRule="auto"/>
        <w:rPr>
          <w:sz w:val="20"/>
          <w:szCs w:val="20"/>
          <w:color w:val="auto"/>
        </w:rPr>
      </w:pPr>
      <w:r>
        <w:rPr>
          <w:rFonts w:ascii="Times New Roman" w:cs="Times New Roman" w:eastAsia="Times New Roman" w:hAnsi="Times New Roman"/>
          <w:sz w:val="18"/>
          <w:szCs w:val="18"/>
          <w:b w:val="1"/>
          <w:bCs w:val="1"/>
          <w:color w:val="auto"/>
        </w:rPr>
        <w:t>[***]</w:t>
      </w:r>
    </w:p>
    <w:p>
      <w:pPr>
        <w:spacing w:after="0"/>
        <w:rPr>
          <w:sz w:val="20"/>
          <w:szCs w:val="20"/>
          <w:color w:val="auto"/>
        </w:rPr>
      </w:pPr>
      <w:r>
        <w:rPr>
          <w:rFonts w:ascii="Times New Roman" w:cs="Times New Roman" w:eastAsia="Times New Roman" w:hAnsi="Times New Roman"/>
          <w:sz w:val="20"/>
          <w:szCs w:val="20"/>
          <w:color w:val="auto"/>
        </w:rPr>
        <w:t>Germany</w:t>
      </w:r>
    </w:p>
    <w:p>
      <w:pPr>
        <w:spacing w:after="0" w:line="200" w:lineRule="exact"/>
        <w:rPr>
          <w:sz w:val="20"/>
          <w:szCs w:val="20"/>
          <w:color w:val="auto"/>
        </w:rPr>
      </w:pPr>
    </w:p>
    <w:p>
      <w:pPr>
        <w:sectPr>
          <w:pgSz w:w="11900" w:h="16838" w:orient="portrait"/>
          <w:cols w:equalWidth="0" w:num="2">
            <w:col w:w="3920" w:space="720"/>
            <w:col w:w="6600"/>
          </w:cols>
          <w:pgMar w:left="320" w:top="1440" w:right="339" w:bottom="1440" w:gutter="0" w:footer="0" w:header="0"/>
        </w:sectPr>
      </w:pP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All notices under this Agreement shall be deemed effective upon receipt. A Party may change its contact information immediately upon written notice to the other Party in the manner provided in this Section.</w:t>
      </w:r>
    </w:p>
    <w:p>
      <w:pPr>
        <w:spacing w:after="0" w:line="148"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Acknowledgment; Release of Claims</w:t>
      </w:r>
      <w:r>
        <w:rPr>
          <w:rFonts w:ascii="Times New Roman" w:cs="Times New Roman" w:eastAsia="Times New Roman" w:hAnsi="Times New Roman"/>
          <w:sz w:val="20"/>
          <w:szCs w:val="20"/>
          <w:color w:val="auto"/>
        </w:rPr>
        <w:t>. The Parties acknowledge and agree that each Party has satisfactorily performed its obligations with respect to the Collaboration (as defined in the Original Agreement) under the Original Agreement. Each Party, on behalf of</w:t>
      </w:r>
    </w:p>
    <w:p>
      <w:pPr>
        <w:spacing w:after="0" w:line="2"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itself, its Affiliates and its and their respective executors, officers, employees, investors, administrators, agents, representatives, successors, hereby release the other Party, its Affiliates and their respective executors, officers, employees, investors, administrators,</w:t>
      </w:r>
    </w:p>
    <w:p>
      <w:pPr>
        <w:ind w:left="640"/>
        <w:spacing w:after="0" w:line="211" w:lineRule="auto"/>
        <w:rPr>
          <w:sz w:val="20"/>
          <w:szCs w:val="20"/>
          <w:color w:val="auto"/>
        </w:rPr>
      </w:pPr>
      <w:r>
        <w:rPr>
          <w:rFonts w:ascii="Times New Roman" w:cs="Times New Roman" w:eastAsia="Times New Roman" w:hAnsi="Times New Roman"/>
          <w:sz w:val="20"/>
          <w:szCs w:val="20"/>
          <w:color w:val="auto"/>
        </w:rPr>
        <w:t>agents, representatives, successors and assigns, from, and agree not to sue concerning, any claim, duty, obligation or cause of action</w:t>
      </w:r>
    </w:p>
    <w:p>
      <w:pPr>
        <w:ind w:left="640" w:right="20"/>
        <w:spacing w:after="0" w:line="233" w:lineRule="auto"/>
        <w:rPr>
          <w:sz w:val="20"/>
          <w:szCs w:val="20"/>
          <w:color w:val="auto"/>
        </w:rPr>
      </w:pPr>
      <w:r>
        <w:rPr>
          <w:rFonts w:ascii="Times New Roman" w:cs="Times New Roman" w:eastAsia="Times New Roman" w:hAnsi="Times New Roman"/>
          <w:sz w:val="19"/>
          <w:szCs w:val="19"/>
          <w:color w:val="auto"/>
        </w:rPr>
        <w:t xml:space="preserve">relating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whether presently known or unknown, suspected or unsuspected, that such Party may possess arising from any omissions, acts or facts that have occurred under the Original Agreement up until the Restatement Effective Date of this Agreement.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u w:val="single" w:color="auto"/>
          <w:color w:val="auto"/>
        </w:rPr>
        <w:t>Non-Use of Name</w:t>
      </w:r>
      <w:r>
        <w:rPr>
          <w:rFonts w:ascii="Times New Roman" w:cs="Times New Roman" w:eastAsia="Times New Roman" w:hAnsi="Times New Roman"/>
          <w:sz w:val="20"/>
          <w:szCs w:val="20"/>
          <w:color w:val="auto"/>
        </w:rPr>
        <w:t>. Except as set forth in Article 13, neither Party shall use the name, insignia, symbol, trademark, trade name or</w:t>
      </w:r>
    </w:p>
    <w:p>
      <w:pPr>
        <w:ind w:left="640"/>
        <w:spacing w:after="0" w:line="204" w:lineRule="auto"/>
        <w:rPr>
          <w:sz w:val="20"/>
          <w:szCs w:val="20"/>
          <w:color w:val="auto"/>
        </w:rPr>
      </w:pPr>
      <w:r>
        <w:rPr>
          <w:rFonts w:ascii="Times New Roman" w:cs="Times New Roman" w:eastAsia="Times New Roman" w:hAnsi="Times New Roman"/>
          <w:sz w:val="20"/>
          <w:szCs w:val="20"/>
          <w:color w:val="auto"/>
        </w:rPr>
        <w:t>logotype or any variation, adaptation, or abbreviation thereof, of the other Party or its Affiliates, its directors, officers, staff, employees, agents, or affiliated investigators in any manner, without limitation, in promotional material or other public</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announcement or disclosure, or through any other form of media, written or oral, without the prior written consent of the other Party, which consent the other Party may withhold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type w:val="continuous"/>
        </w:sectPr>
      </w:pPr>
    </w:p>
    <w:bookmarkStart w:id="255" w:name="page256"/>
    <w:bookmarkEnd w:id="255"/>
    <w:p>
      <w:pPr>
        <w:ind w:left="640"/>
        <w:spacing w:after="0"/>
        <w:rPr>
          <w:sz w:val="20"/>
          <w:szCs w:val="20"/>
          <w:color w:val="auto"/>
        </w:rPr>
      </w:pPr>
      <w:r>
        <w:rPr>
          <w:rFonts w:ascii="Times New Roman" w:cs="Times New Roman" w:eastAsia="Times New Roman" w:hAnsi="Times New Roman"/>
          <w:sz w:val="20"/>
          <w:szCs w:val="20"/>
          <w:color w:val="auto"/>
        </w:rPr>
        <w:t>discretion, with the exception(s) for disclosures pursuant to Applicable Law. Notwithstanding the foregoing, each Party shall be</w:t>
      </w: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permitted to identify the other Party as a collaborator and display the other Party’s logo on its website subject to compliance with any trademark guidelines provided by the other Party and a separate written declaration of consent pursuant to such guidelines.</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disputes arising out of or related to this Agreement, or the performance, enforcement,</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breach or termination hereof, and any remedies relating thereto, shall be construed, governed, interpreted and applied in accordance with the laws of the State of New York, without regard to its conflict of laws principles, except that questions affecting the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construction and effect of any patent shall be determined by the law of the country in which the patent shall have been granted.</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1280" w:hanging="637"/>
        <w:spacing w:after="0" w:line="230" w:lineRule="auto"/>
        <w:tabs>
          <w:tab w:leader="none" w:pos="1260" w:val="left"/>
        </w:tabs>
        <w:rPr>
          <w:sz w:val="20"/>
          <w:szCs w:val="20"/>
          <w:color w:val="auto"/>
        </w:rPr>
      </w:pPr>
      <w:r>
        <w:rPr>
          <w:rFonts w:ascii="Times New Roman" w:cs="Times New Roman" w:eastAsia="Times New Roman" w:hAnsi="Times New Roman"/>
          <w:sz w:val="20"/>
          <w:szCs w:val="20"/>
          <w:color w:val="auto"/>
        </w:rPr>
        <w:t>3.6.1.</w:t>
        <w:tab/>
        <w:t>Except as expressly permitted in this Agreement, neither Party shall assign, delegate, or subcontract any of its rights or obligations under this Agreement without the prior written consent of the other Party. Any attempted assignment in contravention of this Section 17.5.1 shall be null and void.</w:t>
      </w:r>
    </w:p>
    <w:p>
      <w:pPr>
        <w:spacing w:after="0" w:line="149" w:lineRule="exact"/>
        <w:rPr>
          <w:sz w:val="20"/>
          <w:szCs w:val="20"/>
          <w:color w:val="auto"/>
        </w:rPr>
      </w:pPr>
    </w:p>
    <w:p>
      <w:pPr>
        <w:jc w:val="both"/>
        <w:ind w:left="1280" w:hanging="637"/>
        <w:spacing w:after="0" w:line="222" w:lineRule="auto"/>
        <w:tabs>
          <w:tab w:leader="none" w:pos="1260" w:val="left"/>
        </w:tabs>
        <w:rPr>
          <w:sz w:val="20"/>
          <w:szCs w:val="20"/>
          <w:color w:val="auto"/>
        </w:rPr>
      </w:pPr>
      <w:r>
        <w:rPr>
          <w:rFonts w:ascii="Times New Roman" w:cs="Times New Roman" w:eastAsia="Times New Roman" w:hAnsi="Times New Roman"/>
          <w:sz w:val="20"/>
          <w:szCs w:val="20"/>
          <w:color w:val="auto"/>
        </w:rPr>
        <w:t>3.6.2.</w:t>
        <w:tab/>
        <w:t>Notwithstanding the foregoing, each Party may, without the consent of the other Party, assign or transfer all of its rights and obligations hereunder to an Affiliate or to a successor in interest by reason of merger or consolidation or sale of all or</w:t>
      </w:r>
    </w:p>
    <w:p>
      <w:pPr>
        <w:spacing w:after="0" w:line="2" w:lineRule="exact"/>
        <w:rPr>
          <w:sz w:val="20"/>
          <w:szCs w:val="20"/>
          <w:color w:val="auto"/>
        </w:rPr>
      </w:pPr>
    </w:p>
    <w:p>
      <w:pPr>
        <w:ind w:left="1280"/>
        <w:spacing w:after="0" w:line="204" w:lineRule="auto"/>
        <w:rPr>
          <w:sz w:val="20"/>
          <w:szCs w:val="20"/>
          <w:color w:val="auto"/>
        </w:rPr>
      </w:pPr>
      <w:r>
        <w:rPr>
          <w:rFonts w:ascii="Times New Roman" w:cs="Times New Roman" w:eastAsia="Times New Roman" w:hAnsi="Times New Roman"/>
          <w:sz w:val="20"/>
          <w:szCs w:val="20"/>
          <w:color w:val="auto"/>
        </w:rPr>
        <w:t>substantially all of the assets of such Party relating to the subject matter of this Agreement, provided however, that (i) such successor in interest or Affiliate shall have agreed as of such assignment or transfer to be bound by the terms of this</w:t>
      </w:r>
    </w:p>
    <w:p>
      <w:pPr>
        <w:spacing w:after="0" w:line="1" w:lineRule="exact"/>
        <w:rPr>
          <w:sz w:val="20"/>
          <w:szCs w:val="20"/>
          <w:color w:val="auto"/>
        </w:rPr>
      </w:pPr>
    </w:p>
    <w:p>
      <w:pPr>
        <w:ind w:left="1280" w:right="20"/>
        <w:spacing w:after="0" w:line="228" w:lineRule="auto"/>
        <w:rPr>
          <w:sz w:val="20"/>
          <w:szCs w:val="20"/>
          <w:color w:val="auto"/>
        </w:rPr>
      </w:pPr>
      <w:r>
        <w:rPr>
          <w:rFonts w:ascii="Times New Roman" w:cs="Times New Roman" w:eastAsia="Times New Roman" w:hAnsi="Times New Roman"/>
          <w:sz w:val="20"/>
          <w:szCs w:val="20"/>
          <w:color w:val="auto"/>
        </w:rPr>
        <w:t>Agreement in a writing provided to the non-assigning Party, and (ii) where this Agreement is assigned or transferred to an Affiliate, the assigning Party remains responsible for the performance of this Agreement.</w:t>
      </w:r>
    </w:p>
    <w:p>
      <w:pPr>
        <w:spacing w:after="0" w:line="14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 No amendment, modification, or waiver of the terms of this Agreement shall be binding on either Party</w:t>
      </w:r>
    </w:p>
    <w:p>
      <w:pPr>
        <w:ind w:left="640"/>
        <w:spacing w:after="0" w:line="204" w:lineRule="auto"/>
        <w:rPr>
          <w:sz w:val="20"/>
          <w:szCs w:val="20"/>
          <w:color w:val="auto"/>
        </w:rPr>
      </w:pPr>
      <w:r>
        <w:rPr>
          <w:rFonts w:ascii="Times New Roman" w:cs="Times New Roman" w:eastAsia="Times New Roman" w:hAnsi="Times New Roman"/>
          <w:sz w:val="20"/>
          <w:szCs w:val="20"/>
          <w:color w:val="auto"/>
        </w:rPr>
        <w:t>unless reduced to writing and signed by an authorized representative of both Parties. The failure of either Party at any time or times to require performance of any provision hereof shall in no manner affect its rights at a later time to enforce the same. No waiver by</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either Party of any condition or term shall be deemed as a further or continuing waiver of such condition or term or of any other condition or term.</w:t>
      </w:r>
    </w:p>
    <w:p>
      <w:pPr>
        <w:spacing w:after="0" w:line="149" w:lineRule="exact"/>
        <w:rPr>
          <w:sz w:val="20"/>
          <w:szCs w:val="20"/>
          <w:color w:val="auto"/>
        </w:rPr>
      </w:pPr>
    </w:p>
    <w:p>
      <w:pPr>
        <w:jc w:val="both"/>
        <w:ind w:left="640" w:hanging="637"/>
        <w:spacing w:after="0" w:line="222" w:lineRule="auto"/>
        <w:tabs>
          <w:tab w:leader="none" w:pos="62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u w:val="single" w:color="auto"/>
          <w:color w:val="auto"/>
        </w:rPr>
        <w:t>Independent Contractors</w:t>
      </w:r>
      <w:r>
        <w:rPr>
          <w:rFonts w:ascii="Times New Roman" w:cs="Times New Roman" w:eastAsia="Times New Roman" w:hAnsi="Times New Roman"/>
          <w:sz w:val="20"/>
          <w:szCs w:val="20"/>
          <w:color w:val="auto"/>
        </w:rPr>
        <w:t>. It is understood and agreed that the relationship between the Parties is that of independent contractors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that nothing in this Agreement shall be construed as authorization for either Party to act as agent for the other. Nothing herein</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contained shall be deemed to create an employment, agency, joint venture or partnership relationship between the Parties or any of their agents or employees for any purpose, including tax purposes, or to create any other legal arrangement that would impose</w:t>
      </w:r>
    </w:p>
    <w:p>
      <w:pPr>
        <w:ind w:left="640"/>
        <w:spacing w:after="0" w:line="211" w:lineRule="auto"/>
        <w:rPr>
          <w:sz w:val="20"/>
          <w:szCs w:val="20"/>
          <w:color w:val="auto"/>
        </w:rPr>
      </w:pPr>
      <w:r>
        <w:rPr>
          <w:rFonts w:ascii="Times New Roman" w:cs="Times New Roman" w:eastAsia="Times New Roman" w:hAnsi="Times New Roman"/>
          <w:sz w:val="20"/>
          <w:szCs w:val="20"/>
          <w:color w:val="auto"/>
        </w:rPr>
        <w:t>liability upon one Party for the act or failure to act of the other Party. Neither Party shall have any express or implied power to enter</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into any contracts or commitments or to incur any liabilities in the name of, or on behalf of, the other Party, or to bind the other Party in any respect whatsoever.</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of this Agreement shall be held invalid or unenforceable for any reason, such invalidity</w:t>
      </w:r>
    </w:p>
    <w:p>
      <w:pPr>
        <w:ind w:left="640"/>
        <w:spacing w:after="0" w:line="221" w:lineRule="auto"/>
        <w:rPr>
          <w:sz w:val="20"/>
          <w:szCs w:val="20"/>
          <w:color w:val="auto"/>
        </w:rPr>
      </w:pPr>
      <w:r>
        <w:rPr>
          <w:rFonts w:ascii="Times New Roman" w:cs="Times New Roman" w:eastAsia="Times New Roman" w:hAnsi="Times New Roman"/>
          <w:sz w:val="20"/>
          <w:szCs w:val="20"/>
          <w:color w:val="auto"/>
        </w:rPr>
        <w:t>or unenforceability shall not affect any other provision of this Agreement, and the Parties shall negotiate in good faith to modify this Agreement to preserve (to the extent possible) their original intent.</w:t>
      </w:r>
    </w:p>
    <w:p>
      <w:pPr>
        <w:spacing w:after="0" w:line="162" w:lineRule="exact"/>
        <w:rPr>
          <w:sz w:val="20"/>
          <w:szCs w:val="20"/>
          <w:color w:val="auto"/>
        </w:rPr>
      </w:pPr>
    </w:p>
    <w:p>
      <w:pPr>
        <w:jc w:val="both"/>
        <w:ind w:left="640" w:hanging="637"/>
        <w:spacing w:after="0"/>
        <w:tabs>
          <w:tab w:leader="none" w:pos="62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shall be binding upon and inure to the benefit of the Parties and their respective successors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permitted assigns.</w:t>
      </w:r>
    </w:p>
    <w:p>
      <w:pPr>
        <w:spacing w:after="0" w:line="148" w:lineRule="exact"/>
        <w:rPr>
          <w:sz w:val="20"/>
          <w:szCs w:val="20"/>
          <w:color w:val="auto"/>
        </w:rPr>
      </w:pPr>
    </w:p>
    <w:p>
      <w:pPr>
        <w:jc w:val="both"/>
        <w:ind w:left="640" w:hanging="63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All headings are for convenience only and shall not affect the meaning of any provision of this Agreement. The Parties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acknowledge that each Party has read and negotiated the language used in this Agreement. Because both Parties participated in negotiating and drafting this Agreement, no rule of construction shall apply to this Agreement which construes ambiguous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4" w:right="339" w:bottom="1440" w:gutter="0" w:footer="0" w:header="0"/>
        </w:sectPr>
      </w:pPr>
    </w:p>
    <w:bookmarkStart w:id="256" w:name="page257"/>
    <w:bookmarkEnd w:id="256"/>
    <w:p>
      <w:pPr>
        <w:ind w:left="640"/>
        <w:spacing w:after="0"/>
        <w:rPr>
          <w:sz w:val="20"/>
          <w:szCs w:val="20"/>
          <w:color w:val="auto"/>
        </w:rPr>
      </w:pPr>
      <w:r>
        <w:rPr>
          <w:rFonts w:ascii="Times New Roman" w:cs="Times New Roman" w:eastAsia="Times New Roman" w:hAnsi="Times New Roman"/>
          <w:sz w:val="20"/>
          <w:szCs w:val="20"/>
          <w:color w:val="auto"/>
        </w:rPr>
        <w:t>language in favor of or against any Party by reason of that Party’s role in drafting this Agreement. Except where the context</w:t>
      </w:r>
    </w:p>
    <w:p>
      <w:pPr>
        <w:ind w:left="640" w:right="20"/>
        <w:spacing w:after="0" w:line="204" w:lineRule="auto"/>
        <w:rPr>
          <w:sz w:val="20"/>
          <w:szCs w:val="20"/>
          <w:color w:val="auto"/>
        </w:rPr>
      </w:pPr>
      <w:r>
        <w:rPr>
          <w:rFonts w:ascii="Times New Roman" w:cs="Times New Roman" w:eastAsia="Times New Roman" w:hAnsi="Times New Roman"/>
          <w:sz w:val="20"/>
          <w:szCs w:val="20"/>
          <w:color w:val="auto"/>
        </w:rPr>
        <w:t>expressly requires otherwise, (a) the use of any gender herein will be deemed to encompass references to any gender, and the use of the singular will be deemed to include the plural (and vice versa), (b) the words “include”, “includes” and “including” will be</w:t>
      </w:r>
    </w:p>
    <w:p>
      <w:pPr>
        <w:ind w:left="640"/>
        <w:spacing w:after="0" w:line="223" w:lineRule="auto"/>
        <w:rPr>
          <w:sz w:val="20"/>
          <w:szCs w:val="20"/>
          <w:color w:val="auto"/>
        </w:rPr>
      </w:pPr>
      <w:r>
        <w:rPr>
          <w:rFonts w:ascii="Times New Roman" w:cs="Times New Roman" w:eastAsia="Times New Roman" w:hAnsi="Times New Roman"/>
          <w:sz w:val="19"/>
          <w:szCs w:val="19"/>
          <w:color w:val="auto"/>
        </w:rPr>
        <w:t>deemed to be followed by the phrase “without limitation”, (c) the word “will” will be construed to have the same meaning and effect</w:t>
      </w:r>
    </w:p>
    <w:p>
      <w:pPr>
        <w:ind w:left="640"/>
        <w:spacing w:after="0" w:line="204" w:lineRule="auto"/>
        <w:rPr>
          <w:sz w:val="20"/>
          <w:szCs w:val="20"/>
          <w:color w:val="auto"/>
        </w:rPr>
      </w:pPr>
      <w:r>
        <w:rPr>
          <w:rFonts w:ascii="Times New Roman" w:cs="Times New Roman" w:eastAsia="Times New Roman" w:hAnsi="Times New Roman"/>
          <w:sz w:val="20"/>
          <w:szCs w:val="20"/>
          <w:color w:val="auto"/>
        </w:rPr>
        <w:t>as the word “shall”, (d) any definition of or reference to any agreement, instrument or other document herein will be construed as referring to such agreement, instrument or other document as from time to time amended, supplemented or otherwise modified</w:t>
      </w:r>
    </w:p>
    <w:p>
      <w:pPr>
        <w:ind w:left="640"/>
        <w:spacing w:after="0" w:line="211" w:lineRule="auto"/>
        <w:rPr>
          <w:sz w:val="20"/>
          <w:szCs w:val="20"/>
          <w:color w:val="auto"/>
        </w:rPr>
      </w:pPr>
      <w:r>
        <w:rPr>
          <w:rFonts w:ascii="Times New Roman" w:cs="Times New Roman" w:eastAsia="Times New Roman" w:hAnsi="Times New Roman"/>
          <w:sz w:val="20"/>
          <w:szCs w:val="20"/>
          <w:color w:val="auto"/>
        </w:rPr>
        <w:t>(subject to any restrictions on such amendments, supplements or modifications set forth herein), (e) any reference herein to any</w:t>
      </w:r>
    </w:p>
    <w:p>
      <w:pPr>
        <w:spacing w:after="0" w:line="1"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Person will be construed to include the Person’s successors and permitted assigns, (f) the words “herein”, “hereof” and “hereunder”, and words of similar import, will be construed to refer to this Agreement in its entirety and not to any particular provision hereof, (g)</w:t>
      </w:r>
    </w:p>
    <w:p>
      <w:pPr>
        <w:ind w:left="640"/>
        <w:spacing w:after="0" w:line="211" w:lineRule="auto"/>
        <w:rPr>
          <w:sz w:val="20"/>
          <w:szCs w:val="20"/>
          <w:color w:val="auto"/>
        </w:rPr>
      </w:pPr>
      <w:r>
        <w:rPr>
          <w:rFonts w:ascii="Times New Roman" w:cs="Times New Roman" w:eastAsia="Times New Roman" w:hAnsi="Times New Roman"/>
          <w:sz w:val="20"/>
          <w:szCs w:val="20"/>
          <w:color w:val="auto"/>
        </w:rPr>
        <w:t>all references herein to sections, attachments, appendices, exhibits or the like will be construed to refer to sections, attachments,</w:t>
      </w:r>
    </w:p>
    <w:p>
      <w:pPr>
        <w:ind w:left="640"/>
        <w:spacing w:after="0" w:line="204" w:lineRule="auto"/>
        <w:rPr>
          <w:sz w:val="20"/>
          <w:szCs w:val="20"/>
          <w:color w:val="auto"/>
        </w:rPr>
      </w:pPr>
      <w:r>
        <w:rPr>
          <w:rFonts w:ascii="Times New Roman" w:cs="Times New Roman" w:eastAsia="Times New Roman" w:hAnsi="Times New Roman"/>
          <w:sz w:val="20"/>
          <w:szCs w:val="20"/>
          <w:color w:val="auto"/>
        </w:rPr>
        <w:t>appendices, exhibits or the like of this Agreement, and references to this Agreement include all attachments, appendices, exhibits or the like attached hereto, (h) references to any Applicable Law, rule or regulation, or article, section or other division thereof, will be</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deemed to include the then-current amendments thereto or any replacement or successor Applicable Law, rule or regulation thereof and (i) the term “or” will be interpreted in the inclusive sense commonly associated with the term “and/or”.</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 Referrals</w:t>
      </w:r>
      <w:r>
        <w:rPr>
          <w:rFonts w:ascii="Times New Roman" w:cs="Times New Roman" w:eastAsia="Times New Roman" w:hAnsi="Times New Roman"/>
          <w:sz w:val="20"/>
          <w:szCs w:val="20"/>
          <w:color w:val="auto"/>
        </w:rPr>
        <w:t>. The Parties expressly acknowledge that the compensation payable hereunder is fair market value for the services rendered, and that nothing contained herein shall require referrals for orders or services between the Parties. Neither Party will</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knowingly or intentionally conduct itself in such a manner as to violate any federal or state law, rule or regulation applicable to the services rendered hereunder, including but not limited to any fraud and abuse provisions relating to the Medicare and Medicaid</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Programs. The Parties also agree that the benefits to either Party hereunder do not require, are not payment for, and are not in any way contingent upon the admission, referral, or other arrangement for the provision of any item or service reimbursed under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Medicare or Medicaid/TennCare.</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(including any attachments, appendices, exhibits or the like) constitutes the entire agreement between the Parties with respect to its subject matter and supersedes all prior agreements or understandings between the Parties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relating to its subject matter.</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including by electronic scan copies, each of which counterparts, when so executed and delivered, shall be deemed to be an original, and all of which counterparts, taken together, shall constitute one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and the same instrument.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3.14   Export Control. It is understood that the Parties are subject to United States laws and regulations controlling the export of technical data, computer software, laboratory prototypes and other commodities, and that its obligations hereunder are contingent on</w:t>
      </w:r>
    </w:p>
    <w:p>
      <w:pPr>
        <w:ind w:left="640"/>
        <w:spacing w:after="0" w:line="212" w:lineRule="auto"/>
        <w:rPr>
          <w:sz w:val="20"/>
          <w:szCs w:val="20"/>
          <w:color w:val="auto"/>
        </w:rPr>
      </w:pPr>
      <w:r>
        <w:rPr>
          <w:rFonts w:ascii="Times New Roman" w:cs="Times New Roman" w:eastAsia="Times New Roman" w:hAnsi="Times New Roman"/>
          <w:sz w:val="20"/>
          <w:szCs w:val="20"/>
          <w:color w:val="auto"/>
        </w:rPr>
        <w:t>compliance with applicable U.S. export laws and regulations, including the Export Administration Regulations (“EAR”) (15 C.F.R.</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§730-744), the International Traffic in Arms Regulations (“ITAR”) (22 C.F.R. § 120-130), and the economic sanctions programs administered by the U.S. Department of the Treasury’s Office of Foreign Assets Control (“OFAC”) (as set forth in 31 C.F.R. §500-</w:t>
      </w:r>
    </w:p>
    <w:p>
      <w:pPr>
        <w:ind w:left="640"/>
        <w:spacing w:after="0" w:line="211" w:lineRule="auto"/>
        <w:rPr>
          <w:sz w:val="20"/>
          <w:szCs w:val="20"/>
          <w:color w:val="auto"/>
        </w:rPr>
      </w:pPr>
      <w:r>
        <w:rPr>
          <w:rFonts w:ascii="Times New Roman" w:cs="Times New Roman" w:eastAsia="Times New Roman" w:hAnsi="Times New Roman"/>
          <w:sz w:val="20"/>
          <w:szCs w:val="20"/>
          <w:color w:val="auto"/>
        </w:rPr>
        <w:t>598 and certain executive orders). The transfer of any such technology and items and the entering into and provision of such</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transactions and services that are subject to restrictions may require a license or authorization from the cognizant agency of the United States Government, and/or may require written assurances by the receiving Party that it shall not re-export such Technology</w:t>
      </w:r>
    </w:p>
    <w:p>
      <w:pPr>
        <w:ind w:left="640"/>
        <w:spacing w:after="0" w:line="211" w:lineRule="auto"/>
        <w:rPr>
          <w:sz w:val="20"/>
          <w:szCs w:val="20"/>
          <w:color w:val="auto"/>
        </w:rPr>
      </w:pPr>
      <w:r>
        <w:rPr>
          <w:rFonts w:ascii="Times New Roman" w:cs="Times New Roman" w:eastAsia="Times New Roman" w:hAnsi="Times New Roman"/>
          <w:sz w:val="20"/>
          <w:szCs w:val="20"/>
          <w:color w:val="auto"/>
        </w:rPr>
        <w:t>and items to certain foreign destinations and/or to certain recipients without prior approval of the cognizant government agency,</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and/or may require that the involved individuals and entities will comply with conditions on transactions and services. While Recursion agrees to cooperate in securing any license which the cognizant agency deems necessary in connection with this</w:t>
      </w:r>
    </w:p>
    <w:p>
      <w:pPr>
        <w:ind w:left="640"/>
        <w:spacing w:after="0" w:line="223" w:lineRule="auto"/>
        <w:rPr>
          <w:sz w:val="20"/>
          <w:szCs w:val="20"/>
          <w:color w:val="auto"/>
        </w:rPr>
      </w:pPr>
      <w:r>
        <w:rPr>
          <w:rFonts w:ascii="Times New Roman" w:cs="Times New Roman" w:eastAsia="Times New Roman" w:hAnsi="Times New Roman"/>
          <w:sz w:val="19"/>
          <w:szCs w:val="19"/>
          <w:color w:val="auto"/>
        </w:rPr>
        <w:t>Agreement, Recursion cannot guarantee that such licenses will be granted. No Party shall share or disclose information, materials, or</w:t>
      </w:r>
    </w:p>
    <w:p>
      <w:pPr>
        <w:ind w:left="640"/>
        <w:spacing w:after="0" w:line="221" w:lineRule="auto"/>
        <w:rPr>
          <w:sz w:val="20"/>
          <w:szCs w:val="20"/>
          <w:color w:val="auto"/>
        </w:rPr>
      </w:pPr>
      <w:r>
        <w:rPr>
          <w:rFonts w:ascii="Times New Roman" w:cs="Times New Roman" w:eastAsia="Times New Roman" w:hAnsi="Times New Roman"/>
          <w:sz w:val="20"/>
          <w:szCs w:val="20"/>
          <w:color w:val="auto"/>
        </w:rPr>
        <w:t>technology with any person, party or location in Cuba, Iran, North Korea, Sudan, Syria, the Crimea region of the Ukraine or any other country or territory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4" w:right="339" w:bottom="1440" w:gutter="0" w:footer="0" w:header="0"/>
        </w:sectPr>
      </w:pPr>
    </w:p>
    <w:bookmarkStart w:id="257" w:name="page258"/>
    <w:bookmarkEnd w:id="257"/>
    <w:p>
      <w:pPr>
        <w:ind w:left="640"/>
        <w:spacing w:after="0"/>
        <w:rPr>
          <w:sz w:val="20"/>
          <w:szCs w:val="20"/>
          <w:color w:val="auto"/>
        </w:rPr>
      </w:pPr>
      <w:r>
        <w:rPr>
          <w:rFonts w:ascii="Times New Roman" w:cs="Times New Roman" w:eastAsia="Times New Roman" w:hAnsi="Times New Roman"/>
          <w:sz w:val="20"/>
          <w:szCs w:val="20"/>
          <w:color w:val="auto"/>
        </w:rPr>
        <w:t>U.S. trade sanctions, as listed at</w:t>
      </w:r>
    </w:p>
    <w:p>
      <w:pPr>
        <w:ind w:left="640"/>
        <w:spacing w:after="0"/>
        <w:rPr>
          <w:sz w:val="20"/>
          <w:szCs w:val="20"/>
          <w:color w:val="auto"/>
        </w:rPr>
      </w:pPr>
      <w:r>
        <w:rPr>
          <w:rFonts w:ascii="Times New Roman" w:cs="Times New Roman" w:eastAsia="Times New Roman" w:hAnsi="Times New Roman"/>
          <w:sz w:val="19"/>
          <w:szCs w:val="19"/>
          <w:color w:val="auto"/>
        </w:rPr>
        <w:t>https://www.treasury.gov/resourcecenter/sanctions/Programs/Pages/Programs.aspx.</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Appendices: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1: Collaboration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1A: Anchor Perturbations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2: License Agreement (Lead Series)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3: Reserved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4: Project Plan Template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4A: Lead Candidate Criteria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5: Technical and Organizational Measures</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139"/>
          </w:cols>
          <w:pgMar w:left="320" w:top="1394" w:right="1440" w:bottom="1440" w:gutter="0" w:footer="0" w:header="0"/>
        </w:sectPr>
      </w:pPr>
    </w:p>
    <w:bookmarkStart w:id="258" w:name="page259"/>
    <w:bookmarkEnd w:id="258"/>
    <w:p>
      <w:pPr>
        <w:spacing w:after="0" w:line="200" w:lineRule="exact"/>
        <w:rPr>
          <w:sz w:val="20"/>
          <w:szCs w:val="20"/>
          <w:color w:val="auto"/>
        </w:rPr>
      </w:pPr>
    </w:p>
    <w:p>
      <w:pPr>
        <w:spacing w:after="0" w:line="35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duly authorized representatives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Recursion Pharmaceuticals, Inc.</w:t>
            </w: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20"/>
                <w:szCs w:val="20"/>
                <w:b w:val="1"/>
                <w:bCs w:val="1"/>
                <w:color w:val="auto"/>
              </w:rPr>
              <w:t>Bayer AG</w:t>
            </w:r>
          </w:p>
        </w:tc>
        <w:tc>
          <w:tcPr>
            <w:tcW w:w="0" w:type="dxa"/>
            <w:vAlign w:val="bottom"/>
          </w:tcPr>
          <w:p>
            <w:pPr>
              <w:spacing w:after="0"/>
              <w:rPr>
                <w:sz w:val="1"/>
                <w:szCs w:val="1"/>
                <w:color w:val="auto"/>
              </w:rPr>
            </w:pPr>
          </w:p>
        </w:tc>
      </w:tr>
      <w:tr>
        <w:trPr>
          <w:trHeight w:val="723"/>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By:_/s/ Christopher Gibson_______________</w:t>
            </w: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By (ppa.) _</w:t>
            </w:r>
            <w:r>
              <w:rPr>
                <w:rFonts w:ascii="Times New Roman" w:cs="Times New Roman" w:eastAsia="Times New Roman" w:hAnsi="Times New Roman"/>
                <w:sz w:val="20"/>
                <w:szCs w:val="20"/>
                <w:b w:val="1"/>
                <w:bCs w:val="1"/>
                <w:color w:val="auto"/>
              </w:rPr>
              <w:t>/s/ [***]</w:t>
            </w:r>
            <w:r>
              <w:rPr>
                <w:rFonts w:ascii="Times New Roman" w:cs="Times New Roman" w:eastAsia="Times New Roman" w:hAnsi="Times New Roman"/>
                <w:sz w:val="20"/>
                <w:szCs w:val="20"/>
                <w:color w:val="auto"/>
              </w:rPr>
              <w:t>_____________________</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Chris Gibson, PhD</w:t>
            </w: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97"/>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Co-Founder and CEO</w:t>
            </w: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Title: SVP, Head of DDS</w:t>
            </w:r>
          </w:p>
        </w:tc>
        <w:tc>
          <w:tcPr>
            <w:tcW w:w="0" w:type="dxa"/>
            <w:vAlign w:val="bottom"/>
          </w:tcPr>
          <w:p>
            <w:pPr>
              <w:spacing w:after="0"/>
              <w:rPr>
                <w:sz w:val="1"/>
                <w:szCs w:val="1"/>
                <w:color w:val="auto"/>
              </w:rPr>
            </w:pPr>
          </w:p>
        </w:tc>
      </w:tr>
      <w:tr>
        <w:trPr>
          <w:trHeight w:val="831"/>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Shafique Virani___</w:t>
            </w:r>
            <w:r>
              <w:rPr>
                <w:rFonts w:ascii="Times New Roman" w:cs="Times New Roman" w:eastAsia="Times New Roman" w:hAnsi="Times New Roman"/>
                <w:sz w:val="20"/>
                <w:szCs w:val="20"/>
                <w:b w:val="1"/>
                <w:bCs w:val="1"/>
                <w:color w:val="auto"/>
              </w:rPr>
              <w:t>________</w:t>
            </w:r>
            <w:r>
              <w:rPr>
                <w:rFonts w:ascii="Times New Roman" w:cs="Times New Roman" w:eastAsia="Times New Roman" w:hAnsi="Times New Roman"/>
                <w:sz w:val="20"/>
                <w:szCs w:val="20"/>
                <w:color w:val="auto"/>
              </w:rPr>
              <w:t>_______</w:t>
            </w: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By (ppa.)_</w:t>
            </w:r>
            <w:r>
              <w:rPr>
                <w:rFonts w:ascii="Times New Roman" w:cs="Times New Roman" w:eastAsia="Times New Roman" w:hAnsi="Times New Roman"/>
                <w:sz w:val="20"/>
                <w:szCs w:val="20"/>
                <w:b w:val="1"/>
                <w:bCs w:val="1"/>
                <w:color w:val="auto"/>
              </w:rPr>
              <w:t>/s/ [***]</w:t>
            </w:r>
            <w:r>
              <w:rPr>
                <w:rFonts w:ascii="Times New Roman" w:cs="Times New Roman" w:eastAsia="Times New Roman" w:hAnsi="Times New Roman"/>
                <w:sz w:val="20"/>
                <w:szCs w:val="20"/>
                <w:color w:val="auto"/>
              </w:rPr>
              <w:t>_____________________</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Shafique Virani, MD, FRCS</w:t>
            </w: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97"/>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Chief Corporate Development Officer</w:t>
            </w:r>
          </w:p>
        </w:tc>
        <w:tc>
          <w:tcPr>
            <w:tcW w:w="5120" w:type="dxa"/>
            <w:vAlign w:val="bottom"/>
            <w:gridSpan w:val="3"/>
            <w:vMerge w:val="restart"/>
          </w:tcPr>
          <w:p>
            <w:pPr>
              <w:ind w:left="900"/>
              <w:spacing w:after="0"/>
              <w:rPr>
                <w:sz w:val="20"/>
                <w:szCs w:val="20"/>
                <w:color w:val="auto"/>
              </w:rPr>
            </w:pPr>
            <w:r>
              <w:rPr>
                <w:rFonts w:ascii="Times New Roman" w:cs="Times New Roman" w:eastAsia="Times New Roman" w:hAnsi="Times New Roman"/>
                <w:sz w:val="20"/>
                <w:szCs w:val="20"/>
                <w:color w:val="auto"/>
                <w:w w:val="98"/>
              </w:rPr>
              <w:t>Title: SVP Head of Regional BD&amp;L and Divestitures</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060"/>
          </w:cols>
          <w:pgMar w:left="320" w:top="1440" w:right="519" w:bottom="1440" w:gutter="0" w:footer="0" w:header="0"/>
        </w:sectPr>
      </w:pPr>
    </w:p>
    <w:bookmarkStart w:id="259" w:name="page260"/>
    <w:bookmarkEnd w:id="259"/>
    <w:p>
      <w:pPr>
        <w:spacing w:after="0" w:line="200" w:lineRule="exact"/>
        <w:rPr>
          <w:sz w:val="20"/>
          <w:szCs w:val="20"/>
          <w:color w:val="auto"/>
        </w:rPr>
      </w:pPr>
    </w:p>
    <w:p>
      <w:pPr>
        <w:spacing w:after="0" w:line="3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Appendix 1</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Collaboration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0139"/>
          </w:cols>
          <w:pgMar w:left="320" w:top="1440" w:right="1440" w:bottom="1440" w:gutter="0" w:footer="0" w:header="0"/>
        </w:sectPr>
      </w:pPr>
    </w:p>
    <w:bookmarkStart w:id="260" w:name="page261"/>
    <w:bookmarkEnd w:id="260"/>
    <w:p>
      <w:pPr>
        <w:spacing w:after="0" w:line="200" w:lineRule="exact"/>
        <w:rPr>
          <w:sz w:val="20"/>
          <w:szCs w:val="20"/>
          <w:color w:val="auto"/>
        </w:rPr>
      </w:pPr>
    </w:p>
    <w:p>
      <w:pPr>
        <w:spacing w:after="0" w:line="3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Appendix 1A</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Anchor Perturbations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139"/>
          </w:cols>
          <w:pgMar w:left="320" w:top="1440" w:right="1440" w:bottom="1440" w:gutter="0" w:footer="0" w:header="0"/>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Appendix 2</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License Agreement (Lead Series)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Research Collaboration and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LICENSE AGREEMENT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Lead Series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[Exhibit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9019"/>
          </w:cols>
          <w:pgMar w:left="1440" w:top="1440" w:right="1440" w:bottom="1440" w:gutter="0" w:footer="0" w:header="0"/>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RECURSION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BAYER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9019"/>
          </w:cols>
          <w:pgMar w:left="1440" w:top="1440" w:right="1440" w:bottom="1440" w:gutter="0" w:footer="0" w:header="0"/>
          <w:type w:val="continuous"/>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40" w:type="dxa"/>
            <w:vAlign w:val="bottom"/>
          </w:tcPr>
          <w:p>
            <w:pPr>
              <w:spacing w:after="0"/>
              <w:rPr>
                <w:sz w:val="22"/>
                <w:szCs w:val="22"/>
                <w:color w:val="auto"/>
              </w:rPr>
            </w:pPr>
          </w:p>
        </w:tc>
        <w:tc>
          <w:tcPr>
            <w:tcW w:w="6660" w:type="dxa"/>
            <w:vAlign w:val="bottom"/>
          </w:tcPr>
          <w:p>
            <w:pPr>
              <w:ind w:left="4320"/>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810"/>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1.</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DEFINITIONS  4</w:t>
            </w:r>
          </w:p>
        </w:tc>
      </w:tr>
      <w:tr>
        <w:trPr>
          <w:trHeight w:val="324"/>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2.</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w w:val="99"/>
              </w:rPr>
              <w:t>LICENSE GRANTS TO LICENSED RIGHTS AND BACKGROUND IP  15</w:t>
            </w:r>
          </w:p>
        </w:tc>
      </w:tr>
      <w:tr>
        <w:trPr>
          <w:trHeight w:val="338"/>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3.</w:t>
            </w:r>
          </w:p>
        </w:tc>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OPTION EXERCISE FEE  17</w:t>
            </w:r>
          </w:p>
        </w:tc>
      </w:tr>
    </w:tbl>
    <w:p>
      <w:pPr>
        <w:spacing w:after="0" w:line="75"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MILESTONE PAYMENTS  17</w:t>
      </w:r>
    </w:p>
    <w:p>
      <w:pPr>
        <w:spacing w:after="0" w:line="94" w:lineRule="exact"/>
        <w:rPr>
          <w:rFonts w:ascii="Times New Roman" w:cs="Times New Roman" w:eastAsia="Times New Roman" w:hAnsi="Times New Roman"/>
          <w:sz w:val="20"/>
          <w:szCs w:val="20"/>
          <w:b w:val="1"/>
          <w:bCs w:val="1"/>
          <w:color w:val="auto"/>
        </w:rPr>
      </w:pPr>
    </w:p>
    <w:p>
      <w:pPr>
        <w:ind w:left="340" w:hanging="332"/>
        <w:spacing w:after="0"/>
        <w:tabs>
          <w:tab w:leader="none" w:pos="34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DILIGENCE EFFORTS  19</w:t>
      </w:r>
    </w:p>
    <w:p>
      <w:pPr>
        <w:spacing w:after="0" w:line="107" w:lineRule="exact"/>
        <w:rPr>
          <w:rFonts w:ascii="Times New Roman" w:cs="Times New Roman" w:eastAsia="Times New Roman" w:hAnsi="Times New Roman"/>
          <w:sz w:val="20"/>
          <w:szCs w:val="20"/>
          <w:b w:val="1"/>
          <w:bCs w:val="1"/>
          <w:color w:val="auto"/>
        </w:rPr>
      </w:pPr>
    </w:p>
    <w:p>
      <w:pPr>
        <w:ind w:left="340" w:hanging="332"/>
        <w:spacing w:after="0"/>
        <w:tabs>
          <w:tab w:leader="none" w:pos="34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ROYALTY PAYMENTS  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7.</w:t>
            </w:r>
          </w:p>
        </w:tc>
        <w:tc>
          <w:tcPr>
            <w:tcW w:w="53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GENERAL FINANCIAL PROVISIONS  21</w:t>
            </w:r>
          </w:p>
        </w:tc>
      </w:tr>
      <w:tr>
        <w:trPr>
          <w:trHeight w:val="324"/>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8.</w:t>
            </w:r>
          </w:p>
        </w:tc>
        <w:tc>
          <w:tcPr>
            <w:tcW w:w="53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ACCOUNTING RECORDS AND AUDITS  24</w:t>
            </w:r>
          </w:p>
        </w:tc>
      </w:tr>
      <w:tr>
        <w:trPr>
          <w:trHeight w:val="338"/>
        </w:trPr>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9.</w:t>
            </w:r>
          </w:p>
        </w:tc>
        <w:tc>
          <w:tcPr>
            <w:tcW w:w="53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w w:val="99"/>
              </w:rPr>
              <w:t>REPRESENTATIONS, WARRANTIES, DISCLAIMERS  26</w:t>
            </w:r>
          </w:p>
        </w:tc>
      </w:tr>
    </w:tbl>
    <w:p>
      <w:pPr>
        <w:spacing w:after="0" w:line="75" w:lineRule="exact"/>
        <w:rPr>
          <w:sz w:val="20"/>
          <w:szCs w:val="20"/>
          <w:color w:val="auto"/>
        </w:rPr>
      </w:pPr>
    </w:p>
    <w:p>
      <w:pPr>
        <w:ind w:left="440" w:hanging="432"/>
        <w:spacing w:after="0"/>
        <w:tabs>
          <w:tab w:leader="none" w:pos="44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INDEMNITY AND INSURANCE  28</w:t>
      </w:r>
    </w:p>
    <w:p>
      <w:pPr>
        <w:spacing w:after="0" w:line="94" w:lineRule="exact"/>
        <w:rPr>
          <w:rFonts w:ascii="Times New Roman" w:cs="Times New Roman" w:eastAsia="Times New Roman" w:hAnsi="Times New Roman"/>
          <w:sz w:val="20"/>
          <w:szCs w:val="20"/>
          <w:b w:val="1"/>
          <w:bCs w:val="1"/>
          <w:color w:val="auto"/>
        </w:rPr>
      </w:pPr>
    </w:p>
    <w:p>
      <w:pPr>
        <w:ind w:left="420" w:hanging="412"/>
        <w:spacing w:after="0"/>
        <w:tabs>
          <w:tab w:leader="none" w:pos="42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30</w:t>
      </w:r>
    </w:p>
    <w:p>
      <w:pPr>
        <w:spacing w:after="0" w:line="107"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PUBLICATIONS  32</w:t>
      </w:r>
    </w:p>
    <w:p>
      <w:pPr>
        <w:spacing w:after="0" w:line="108" w:lineRule="exact"/>
        <w:rPr>
          <w:sz w:val="20"/>
          <w:szCs w:val="20"/>
          <w:color w:val="auto"/>
        </w:rPr>
      </w:pPr>
    </w:p>
    <w:p>
      <w:pPr>
        <w:spacing w:after="0"/>
        <w:tabs>
          <w:tab w:leader="none" w:pos="420" w:val="left"/>
          <w:tab w:leader="none" w:pos="6340" w:val="left"/>
        </w:tabs>
        <w:rPr>
          <w:sz w:val="20"/>
          <w:szCs w:val="20"/>
          <w:color w:val="auto"/>
        </w:rPr>
      </w:pPr>
      <w:r>
        <w:rPr>
          <w:rFonts w:ascii="Times New Roman" w:cs="Times New Roman" w:eastAsia="Times New Roman" w:hAnsi="Times New Roman"/>
          <w:sz w:val="20"/>
          <w:szCs w:val="20"/>
          <w:b w:val="1"/>
          <w:bCs w:val="1"/>
          <w:color w:val="auto"/>
        </w:rPr>
        <w:t>13.</w:t>
        <w:tab/>
        <w:t>PATENT PROSECUTION, MAINTENANCE &amp; INFRINGEMENT</w:t>
        <w:tab/>
        <w:t>32</w:t>
      </w:r>
    </w:p>
    <w:p>
      <w:pPr>
        <w:spacing w:after="0" w:line="94" w:lineRule="exact"/>
        <w:rPr>
          <w:sz w:val="20"/>
          <w:szCs w:val="20"/>
          <w:color w:val="auto"/>
        </w:rPr>
      </w:pPr>
    </w:p>
    <w:p>
      <w:pPr>
        <w:ind w:left="440" w:hanging="432"/>
        <w:spacing w:after="0"/>
        <w:tabs>
          <w:tab w:leader="none" w:pos="44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  37</w:t>
      </w:r>
    </w:p>
    <w:p>
      <w:pPr>
        <w:spacing w:after="0" w:line="107"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AND TERMINATION  39</w:t>
      </w:r>
    </w:p>
    <w:p>
      <w:pPr>
        <w:spacing w:after="0" w:line="107"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PROVISIONS  45</w:t>
      </w:r>
    </w:p>
    <w:p>
      <w:pPr>
        <w:spacing w:after="0" w:line="94"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139"/>
          </w:cols>
          <w:pgMar w:left="320" w:top="1440" w:right="1440" w:bottom="1440" w:gutter="0" w:footer="0" w:header="0"/>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LICENSE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___________ (the “</w:t>
      </w:r>
      <w:r>
        <w:rPr>
          <w:rFonts w:ascii="Times New Roman" w:cs="Times New Roman" w:eastAsia="Times New Roman" w:hAnsi="Times New Roman"/>
          <w:sz w:val="20"/>
          <w:szCs w:val="20"/>
          <w:b w:val="1"/>
          <w:bCs w:val="1"/>
          <w:color w:val="auto"/>
        </w:rPr>
        <w:t>Effective Date of this Agreement</w:t>
      </w:r>
      <w:r>
        <w:rPr>
          <w:rFonts w:ascii="Times New Roman" w:cs="Times New Roman" w:eastAsia="Times New Roman" w:hAnsi="Times New Roman"/>
          <w:sz w:val="20"/>
          <w:szCs w:val="20"/>
          <w:color w:val="auto"/>
        </w:rPr>
        <w:t>”), is made</w:t>
      </w:r>
    </w:p>
    <w:p>
      <w:pPr>
        <w:spacing w:after="0" w:line="211" w:lineRule="auto"/>
        <w:rPr>
          <w:sz w:val="20"/>
          <w:szCs w:val="20"/>
          <w:color w:val="auto"/>
        </w:rPr>
      </w:pPr>
      <w:r>
        <w:rPr>
          <w:rFonts w:ascii="Times New Roman" w:cs="Times New Roman" w:eastAsia="Times New Roman" w:hAnsi="Times New Roman"/>
          <w:sz w:val="20"/>
          <w:szCs w:val="20"/>
          <w:color w:val="auto"/>
        </w:rPr>
        <w:t>by and between Recursion Pharmaceuticals, Inc, a Delaware corporation with offices at 41 S Rio Grande Street, Salt Lake City, UT 84101</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Recursion</w:t>
      </w:r>
      <w:r>
        <w:rPr>
          <w:rFonts w:ascii="Times New Roman" w:cs="Times New Roman" w:eastAsia="Times New Roman" w:hAnsi="Times New Roman"/>
          <w:sz w:val="20"/>
          <w:szCs w:val="20"/>
          <w:color w:val="auto"/>
        </w:rPr>
        <w:t>”) and Bayer AG, a German corporation, with offices at Müllerstrasse 178, 13353 Berlin, Germany (“</w:t>
      </w:r>
      <w:r>
        <w:rPr>
          <w:rFonts w:ascii="Times New Roman" w:cs="Times New Roman" w:eastAsia="Times New Roman" w:hAnsi="Times New Roman"/>
          <w:sz w:val="20"/>
          <w:szCs w:val="20"/>
          <w:b w:val="1"/>
          <w:bCs w:val="1"/>
          <w:color w:val="auto"/>
        </w:rPr>
        <w:t>Bayer</w:t>
      </w:r>
      <w:r>
        <w:rPr>
          <w:rFonts w:ascii="Times New Roman" w:cs="Times New Roman" w:eastAsia="Times New Roman" w:hAnsi="Times New Roman"/>
          <w:sz w:val="20"/>
          <w:szCs w:val="20"/>
          <w:color w:val="auto"/>
        </w:rPr>
        <w:t>”). Each of Recursion and Bayer may be referred to herein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together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0" w:lineRule="exact"/>
        <w:rPr>
          <w:sz w:val="20"/>
          <w:szCs w:val="20"/>
          <w:color w:val="auto"/>
        </w:rPr>
      </w:pPr>
    </w:p>
    <w:p>
      <w:pPr>
        <w:spacing w:after="0" w:line="37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WHEREAS, Recursion and Bayer have concluded an Amended and Restated Research Collaboration and Option Agreement (hereinafter the “</w:t>
      </w:r>
      <w:r>
        <w:rPr>
          <w:rFonts w:ascii="Times New Roman" w:cs="Times New Roman" w:eastAsia="Times New Roman" w:hAnsi="Times New Roman"/>
          <w:sz w:val="20"/>
          <w:szCs w:val="20"/>
          <w:b w:val="1"/>
          <w:bCs w:val="1"/>
          <w:color w:val="auto"/>
        </w:rPr>
        <w:t>Collaboration Agreement</w:t>
      </w:r>
      <w:r>
        <w:rPr>
          <w:rFonts w:ascii="Times New Roman" w:cs="Times New Roman" w:eastAsia="Times New Roman" w:hAnsi="Times New Roman"/>
          <w:sz w:val="20"/>
          <w:szCs w:val="20"/>
          <w:color w:val="auto"/>
        </w:rPr>
        <w:t>”) effective as of November 8, 2023, to conduct research projects with the aim to discover and improve drug products in the oncology field, all in accordance with the terms and conditions set forth therein;</w:t>
      </w:r>
    </w:p>
    <w:p>
      <w:pPr>
        <w:spacing w:after="0" w:line="200" w:lineRule="exact"/>
        <w:rPr>
          <w:sz w:val="20"/>
          <w:szCs w:val="20"/>
          <w:color w:val="auto"/>
        </w:rPr>
      </w:pPr>
    </w:p>
    <w:p>
      <w:pPr>
        <w:spacing w:after="0" w:line="34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WHEREAS, Bayer timely and effectively exercised the Bayer Lead Series Option granted to Bayer under Section 8 of the Collaboration Agreement with respect to the Project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DEFINITIONS</w:t>
      </w:r>
    </w:p>
    <w:p>
      <w:pPr>
        <w:spacing w:after="0" w:line="169" w:lineRule="exact"/>
        <w:rPr>
          <w:rFonts w:ascii="Times New Roman" w:cs="Times New Roman" w:eastAsia="Times New Roman" w:hAnsi="Times New Roman"/>
          <w:sz w:val="22"/>
          <w:szCs w:val="22"/>
          <w:b w:val="1"/>
          <w:bCs w:val="1"/>
          <w:color w:val="auto"/>
        </w:rPr>
      </w:pPr>
    </w:p>
    <w:p>
      <w:pPr>
        <w:jc w:val="both"/>
        <w:ind w:left="660"/>
        <w:spacing w:after="0" w:line="21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All references to particular Exhibits or Sections shall mean the Exhibits attached hereto and the Sections set forth in this Agreement, unless otherwise specified. Any reference herein to any defined term shall include both the singular and the plural, whether or not both forms are included in the reference. For purposes of this Agreement and the Exhibits attached hereto, the following terms (and their correlatives), in addition to terms defined on first use in this Agreement, have the meanings set forth in this Section 1 below. Terms with a capital initial letter which are not defined in this Agreement shall have the meaning given to them in the Collaboration Agreement.</w:t>
      </w:r>
    </w:p>
    <w:p>
      <w:pPr>
        <w:spacing w:after="0" w:line="200" w:lineRule="exact"/>
        <w:rPr>
          <w:rFonts w:ascii="Times New Roman" w:cs="Times New Roman" w:eastAsia="Times New Roman" w:hAnsi="Times New Roman"/>
          <w:sz w:val="22"/>
          <w:szCs w:val="22"/>
          <w:b w:val="1"/>
          <w:bCs w:val="1"/>
          <w:color w:val="auto"/>
        </w:rPr>
      </w:pPr>
    </w:p>
    <w:p>
      <w:pPr>
        <w:spacing w:after="0" w:line="335" w:lineRule="exact"/>
        <w:rPr>
          <w:rFonts w:ascii="Times New Roman" w:cs="Times New Roman" w:eastAsia="Times New Roman" w:hAnsi="Times New Roman"/>
          <w:sz w:val="22"/>
          <w:szCs w:val="22"/>
          <w:b w:val="1"/>
          <w:bCs w:val="1"/>
          <w:color w:val="auto"/>
        </w:rPr>
      </w:pPr>
    </w:p>
    <w:p>
      <w:pPr>
        <w:ind w:left="1300" w:hanging="648"/>
        <w:spacing w:after="0" w:line="23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19"/>
          <w:szCs w:val="19"/>
          <w:color w:val="auto"/>
        </w:rPr>
        <w:t>“Accounting Standards” means the maintenance of records and books of accounts in accordance with Generally Accepted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Accounting Principles (GAAP), when in reference to Recursion, and those accounting standards used in accordance with the accounting standards IFRS/IAS, when in reference to Bayer, which standards or principles (as applicable) are currently used at the relevant time, and consistently applied by the applicable Party.</w:t>
      </w:r>
    </w:p>
    <w:p>
      <w:pPr>
        <w:spacing w:after="0" w:line="144" w:lineRule="exact"/>
        <w:rPr>
          <w:rFonts w:ascii="Times New Roman" w:cs="Times New Roman" w:eastAsia="Times New Roman" w:hAnsi="Times New Roman"/>
          <w:sz w:val="22"/>
          <w:szCs w:val="22"/>
          <w:b w:val="1"/>
          <w:bCs w:val="1"/>
          <w:color w:val="auto"/>
        </w:rPr>
      </w:pPr>
    </w:p>
    <w:p>
      <w:pPr>
        <w:ind w:left="1300" w:right="20" w:hanging="648"/>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19"/>
          <w:szCs w:val="19"/>
          <w:color w:val="auto"/>
        </w:rPr>
        <w:t>“Achievement of Development Candidate Criteria” means a decision of the Bayer committee which is responsible to take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such decision according to the internal guidelines of Bayer that 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type w:val="continuous"/>
        </w:sectPr>
      </w:pPr>
    </w:p>
    <w:bookmarkStart w:id="265" w:name="page266"/>
    <w:bookmarkEnd w:id="265"/>
    <w:p>
      <w:pPr>
        <w:spacing w:after="0" w:line="200" w:lineRule="exact"/>
        <w:rPr>
          <w:sz w:val="20"/>
          <w:szCs w:val="20"/>
          <w:color w:val="auto"/>
        </w:rPr>
      </w:pPr>
    </w:p>
    <w:p>
      <w:pPr>
        <w:spacing w:after="0" w:line="354" w:lineRule="exact"/>
        <w:rPr>
          <w:sz w:val="20"/>
          <w:szCs w:val="20"/>
          <w:color w:val="auto"/>
        </w:rPr>
      </w:pPr>
    </w:p>
    <w:p>
      <w:pPr>
        <w:ind w:left="640" w:right="20"/>
        <w:spacing w:after="0"/>
        <w:rPr>
          <w:sz w:val="20"/>
          <w:szCs w:val="20"/>
          <w:color w:val="auto"/>
        </w:rPr>
      </w:pPr>
      <w:r>
        <w:rPr>
          <w:rFonts w:ascii="Times New Roman" w:cs="Times New Roman" w:eastAsia="Times New Roman" w:hAnsi="Times New Roman"/>
          <w:sz w:val="20"/>
          <w:szCs w:val="20"/>
          <w:color w:val="auto"/>
        </w:rPr>
        <w:t>Licensed Project Compound or a Derivative fulfills Development Candidate Criteria and that GLP toxicology studies shall be started.</w:t>
      </w:r>
    </w:p>
    <w:p>
      <w:pPr>
        <w:spacing w:after="0" w:line="143" w:lineRule="exact"/>
        <w:rPr>
          <w:sz w:val="20"/>
          <w:szCs w:val="20"/>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0"/>
          <w:szCs w:val="20"/>
          <w:color w:val="auto"/>
        </w:rPr>
        <w:t xml:space="preserve">“Active” means, with regard to a compound, that it has a potency below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(or another threshold as agreed upon by the Parties in accordance with the Collaboration Agreement, such other threshold to be further specified in Exhibit C) with regard to the respective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0"/>
          <w:szCs w:val="20"/>
          <w:color w:val="auto"/>
        </w:rPr>
        <w:t>“Affiliate” shall mean any business entity controlled by, controlling, or under common control with a Party hereto. For the</w:t>
      </w:r>
    </w:p>
    <w:p>
      <w:pPr>
        <w:ind w:left="640"/>
        <w:spacing w:after="0" w:line="204" w:lineRule="auto"/>
        <w:rPr>
          <w:sz w:val="20"/>
          <w:szCs w:val="20"/>
          <w:color w:val="auto"/>
        </w:rPr>
      </w:pPr>
      <w:r>
        <w:rPr>
          <w:rFonts w:ascii="Times New Roman" w:cs="Times New Roman" w:eastAsia="Times New Roman" w:hAnsi="Times New Roman"/>
          <w:sz w:val="20"/>
          <w:szCs w:val="20"/>
          <w:color w:val="auto"/>
        </w:rPr>
        <w:t>purpose of this definition, a business entity shall be deemed to “control” another business entity, if it (i) owns directly or indirectly, more than fifty percent (50%) of the outstanding voting securities, capital stock, or other comparable equity or</w:t>
      </w:r>
    </w:p>
    <w:p>
      <w:pPr>
        <w:ind w:left="640"/>
        <w:spacing w:after="0" w:line="211" w:lineRule="auto"/>
        <w:rPr>
          <w:sz w:val="20"/>
          <w:szCs w:val="20"/>
          <w:color w:val="auto"/>
        </w:rPr>
      </w:pPr>
      <w:r>
        <w:rPr>
          <w:rFonts w:ascii="Times New Roman" w:cs="Times New Roman" w:eastAsia="Times New Roman" w:hAnsi="Times New Roman"/>
          <w:sz w:val="20"/>
          <w:szCs w:val="20"/>
          <w:color w:val="auto"/>
        </w:rPr>
        <w:t>ownership interest of such business entity having the power to vote on or direct the affairs of such business entity, as</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applicable (or such lesser percentage which is the maximum allowed to be owned by a foreign corporation in a particular jurisdiction), or (ii) possesses, directly or indirectly, the power to direct or cause the direction of the policies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management of such business entity, as applicable, whether by the ownership of stock, by contract or otherwise.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19"/>
          <w:szCs w:val="19"/>
          <w:color w:val="auto"/>
        </w:rPr>
        <w:t>“Agreement” has the meaning given in the preamble of this Agreement.</w:t>
      </w:r>
    </w:p>
    <w:p>
      <w:pPr>
        <w:spacing w:after="0" w:line="179"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0"/>
          <w:szCs w:val="20"/>
          <w:color w:val="auto"/>
        </w:rPr>
        <w:t>“Anchor Perturbation” means a particular genetic perturbation of relevance to oncology, including any and all molecular subtypes such gene. For purposes of the foregoing, molecular subtypes include mutations, amplifications, loss of function.</w:t>
      </w:r>
    </w:p>
    <w:p>
      <w:pPr>
        <w:spacing w:after="0" w:line="161"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0"/>
          <w:szCs w:val="20"/>
          <w:color w:val="auto"/>
        </w:rPr>
        <w:t>“Applicable Law” means all applicable laws, Accounting Standards, rules and regulations (including any rules, regulations or other requirements of the regulatory authorities) that may be in effect from time to time.</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19"/>
          <w:szCs w:val="19"/>
          <w:color w:val="auto"/>
        </w:rPr>
        <w:t>“Background IP Rights” means all Intellectual Property Rights listed in EXHIBIT D.</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19"/>
          <w:szCs w:val="19"/>
          <w:color w:val="auto"/>
        </w:rPr>
        <w:t>“Background Know-How” means all Know-How that is listed in EXHIBIT D.</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19"/>
          <w:szCs w:val="19"/>
          <w:color w:val="auto"/>
        </w:rPr>
        <w:t>“Bayer” has the meaning given in the preamble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19"/>
          <w:szCs w:val="19"/>
          <w:color w:val="auto"/>
        </w:rPr>
        <w:t>“Bayer Indemnitees” has the meaning given in Section 10.2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19"/>
          <w:szCs w:val="19"/>
          <w:color w:val="auto"/>
        </w:rPr>
        <w:t>“Bayer Lead Series Option” has the meaning given in Section 8.1 of the Collaboration Agreement.</w:t>
      </w:r>
    </w:p>
    <w:p>
      <w:pPr>
        <w:spacing w:after="0" w:line="179"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0"/>
          <w:szCs w:val="20"/>
          <w:color w:val="auto"/>
        </w:rPr>
        <w:t>“Business Day” shall mean any day other than a Saturday, a Sunday or other day on which banks are required or authorized by law to be closed in Salt Lake City USA, or Wuppertal or Berlin, Germany.</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0"/>
          <w:szCs w:val="20"/>
          <w:color w:val="auto"/>
        </w:rPr>
        <w:t>“Calendar Quarter” means a period of three (3) consecutive months corresponding to the calendar quarters commencing on</w:t>
      </w:r>
    </w:p>
    <w:p>
      <w:pPr>
        <w:ind w:left="640"/>
        <w:spacing w:after="0" w:line="221" w:lineRule="auto"/>
        <w:rPr>
          <w:sz w:val="20"/>
          <w:szCs w:val="20"/>
          <w:color w:val="auto"/>
        </w:rPr>
      </w:pPr>
      <w:r>
        <w:rPr>
          <w:rFonts w:ascii="Times New Roman" w:cs="Times New Roman" w:eastAsia="Times New Roman" w:hAnsi="Times New Roman"/>
          <w:sz w:val="20"/>
          <w:szCs w:val="20"/>
          <w:color w:val="auto"/>
        </w:rPr>
        <w:t>the first day of January, April, July or October, or any partial period thereof immediately following the Effective Date of this Agreement or immediately prior to the termination or expiration of this Agreement.</w:t>
      </w:r>
    </w:p>
    <w:p>
      <w:pPr>
        <w:spacing w:after="0" w:line="157"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0"/>
          <w:szCs w:val="20"/>
          <w:color w:val="auto"/>
        </w:rPr>
        <w:t>“Calendar Year” means a period of twelve (12) consecutive months corresponding to the calendar year commencing on the first day of January, or any partial period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580"/>
          </w:cols>
          <w:pgMar w:left="980" w:top="1440" w:right="339" w:bottom="1440" w:gutter="0" w:footer="0" w:header="0"/>
        </w:sectPr>
      </w:pPr>
    </w:p>
    <w:bookmarkStart w:id="266" w:name="page267"/>
    <w:bookmarkEnd w:id="266"/>
    <w:p>
      <w:pPr>
        <w:spacing w:after="0" w:line="191" w:lineRule="auto"/>
        <w:framePr w:w="5700" w:h="147" w:wrap="auto" w:vAnchor="page" w:hAnchor="page" w:x="5880" w:y="4961"/>
        <w:rPr>
          <w:rFonts w:ascii="Arial" w:cs="Arial" w:eastAsia="Arial" w:hAnsi="Arial"/>
          <w:sz w:val="16"/>
          <w:szCs w:val="16"/>
          <w:color w:val="auto"/>
        </w:rPr>
      </w:pPr>
      <w:r>
        <w:rPr>
          <w:rFonts w:ascii="Arial" w:cs="Arial" w:eastAsia="Arial" w:hAnsi="Arial"/>
          <w:sz w:val="16"/>
          <w:szCs w:val="16"/>
          <w:color w:val="auto"/>
        </w:rPr>
        <w:t>where a peptide is any alpha amino acid polymer composed of 40 or fewer</w:t>
      </w:r>
    </w:p>
    <w:p>
      <w:pPr>
        <w:spacing w:after="0" w:line="200" w:lineRule="exact"/>
        <w:rPr>
          <w:rFonts w:ascii="Arial" w:cs="Arial" w:eastAsia="Arial" w:hAnsi="Arial"/>
          <w:sz w:val="16"/>
          <w:szCs w:val="16"/>
          <w:color w:val="auto"/>
        </w:rPr>
      </w:pPr>
    </w:p>
    <w:p>
      <w:pPr>
        <w:spacing w:after="0" w:line="354" w:lineRule="exact"/>
        <w:rPr>
          <w:rFonts w:ascii="Arial" w:cs="Arial" w:eastAsia="Arial" w:hAnsi="Arial"/>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immediately following the Effective Date of this Agreement or immediately prior to the termination or expiration of this Agreement.</w:t>
      </w:r>
    </w:p>
    <w:p>
      <w:pPr>
        <w:spacing w:after="0" w:line="143" w:lineRule="exact"/>
        <w:rPr>
          <w:rFonts w:ascii="Arial" w:cs="Arial" w:eastAsia="Arial" w:hAnsi="Arial"/>
          <w:sz w:val="16"/>
          <w:szCs w:val="16"/>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19"/>
          <w:szCs w:val="19"/>
          <w:color w:val="auto"/>
        </w:rPr>
        <w:t>“Collaboration Agreement” has the meaning given in the recitals above.</w:t>
      </w:r>
    </w:p>
    <w:p>
      <w:pPr>
        <w:spacing w:after="0" w:line="179" w:lineRule="exact"/>
        <w:rPr>
          <w:rFonts w:ascii="Arial" w:cs="Arial" w:eastAsia="Arial" w:hAnsi="Arial"/>
          <w:sz w:val="16"/>
          <w:szCs w:val="16"/>
          <w:color w:val="auto"/>
        </w:rPr>
      </w:pPr>
    </w:p>
    <w:p>
      <w:pPr>
        <w:jc w:val="both"/>
        <w:ind w:left="640" w:right="20" w:hanging="647"/>
        <w:spacing w:after="0" w:line="230" w:lineRule="auto"/>
        <w:tabs>
          <w:tab w:leader="none" w:pos="62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19"/>
          <w:szCs w:val="19"/>
          <w:color w:val="auto"/>
        </w:rPr>
        <w:t>“Combination Product” means a product for use in the Field sold in a single SKU for a single selling price, wherein such product utilizes, contains, incorporates or is made through use of one or more Licensed Project Compound(s), Derivative, Enabled Compounds or Product(s) in combination with one or more other active ingredients or pharmaceutical products, that</w:t>
      </w:r>
    </w:p>
    <w:p>
      <w:pPr>
        <w:spacing w:after="0" w:line="20" w:lineRule="exact"/>
        <w:rPr>
          <w:rFonts w:ascii="Arial" w:cs="Arial" w:eastAsia="Arial" w:hAnsi="Arial"/>
          <w:sz w:val="16"/>
          <w:szCs w:val="16"/>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are not Licensed Project Compounds, Derivative, Enabled Compounds or Products, and are not required for the function of the included Licensed Project Compound(s), Derivative, Enabled Compound or Product(s). A Combination Product is</w:t>
      </w:r>
    </w:p>
    <w:p>
      <w:pPr>
        <w:spacing w:after="0" w:line="1" w:lineRule="exact"/>
        <w:rPr>
          <w:rFonts w:ascii="Arial" w:cs="Arial" w:eastAsia="Arial" w:hAnsi="Arial"/>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deemed included within Product, when that defined term is used herein.</w:t>
      </w:r>
    </w:p>
    <w:p>
      <w:pPr>
        <w:spacing w:after="0" w:line="162" w:lineRule="exact"/>
        <w:rPr>
          <w:rFonts w:ascii="Arial" w:cs="Arial" w:eastAsia="Arial" w:hAnsi="Arial"/>
          <w:sz w:val="16"/>
          <w:szCs w:val="16"/>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19"/>
          <w:szCs w:val="19"/>
          <w:color w:val="auto"/>
        </w:rPr>
        <w:t xml:space="preserve">“Commercially Reasonable Efforts” hereunder means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w:t>
      </w:r>
    </w:p>
    <w:p>
      <w:pPr>
        <w:spacing w:after="0" w:line="179" w:lineRule="exact"/>
        <w:rPr>
          <w:rFonts w:ascii="Arial" w:cs="Arial" w:eastAsia="Arial" w:hAnsi="Arial"/>
          <w:sz w:val="16"/>
          <w:szCs w:val="16"/>
          <w:color w:val="auto"/>
        </w:rPr>
      </w:pPr>
    </w:p>
    <w:p>
      <w:pPr>
        <w:ind w:left="640" w:right="570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0"/>
          <w:szCs w:val="20"/>
          <w:color w:val="auto"/>
        </w:rPr>
        <w:t xml:space="preserve">“Compound(s)” means a small molecule or peptide, </w:t>
      </w:r>
      <w:r>
        <w:rPr>
          <w:rFonts w:ascii="Arial" w:cs="Arial" w:eastAsia="Arial" w:hAnsi="Arial"/>
          <w:sz w:val="16"/>
          <w:szCs w:val="16"/>
          <w:color w:val="auto"/>
        </w:rPr>
        <w:t>amino acids</w:t>
      </w:r>
      <w:r>
        <w:rPr>
          <w:rFonts w:ascii="Times New Roman" w:cs="Times New Roman" w:eastAsia="Times New Roman" w:hAnsi="Times New Roman"/>
          <w:sz w:val="19"/>
          <w:szCs w:val="19"/>
          <w:color w:val="auto"/>
        </w:rPr>
        <w:t>.</w:t>
      </w:r>
    </w:p>
    <w:p>
      <w:pPr>
        <w:spacing w:after="0" w:line="161" w:lineRule="exact"/>
        <w:rPr>
          <w:rFonts w:ascii="Arial" w:cs="Arial" w:eastAsia="Arial" w:hAnsi="Arial"/>
          <w:sz w:val="16"/>
          <w:szCs w:val="16"/>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19"/>
          <w:szCs w:val="19"/>
          <w:color w:val="auto"/>
        </w:rPr>
        <w:t>“Confidential Information” as used herein has the meaning given in Section 11.1 of this Agreement.</w:t>
      </w:r>
    </w:p>
    <w:p>
      <w:pPr>
        <w:spacing w:after="0" w:line="179" w:lineRule="exact"/>
        <w:rPr>
          <w:rFonts w:ascii="Arial" w:cs="Arial" w:eastAsia="Arial" w:hAnsi="Arial"/>
          <w:sz w:val="16"/>
          <w:szCs w:val="16"/>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19"/>
          <w:szCs w:val="19"/>
          <w:color w:val="auto"/>
        </w:rPr>
        <w:t>“Control” means, as to any Know-How, Intellectual Property Right, or Material, the possession (whether by ownership or license, other than by a license granted pursuant to this Agreement) by a Party or its Affiliates of the ability to grant to the other Party access, ownership, a license or a sublicense as required herein to such Know-How, Intellectual Property Right, or</w:t>
      </w:r>
    </w:p>
    <w:p>
      <w:pPr>
        <w:spacing w:after="0" w:line="20" w:lineRule="exact"/>
        <w:rPr>
          <w:rFonts w:ascii="Arial" w:cs="Arial" w:eastAsia="Arial" w:hAnsi="Arial"/>
          <w:sz w:val="16"/>
          <w:szCs w:val="16"/>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Material without (i) violating the terms of any agreement or other arrangement with any Third Party in existence as of the time such Party or its Affiliates would first be required hereunder to grant the other Party such access, ownership, license or</w:t>
      </w:r>
    </w:p>
    <w:p>
      <w:pPr>
        <w:spacing w:after="0" w:line="1" w:lineRule="exact"/>
        <w:rPr>
          <w:rFonts w:ascii="Arial" w:cs="Arial" w:eastAsia="Arial" w:hAnsi="Arial"/>
          <w:sz w:val="16"/>
          <w:szCs w:val="16"/>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sublicense, and (ii) violating any Applicable Law. “Controlled”, “Controls” and “Controlling” have their correlative meanings.</w:t>
      </w:r>
    </w:p>
    <w:p>
      <w:pPr>
        <w:spacing w:after="0" w:line="144" w:lineRule="exact"/>
        <w:rPr>
          <w:rFonts w:ascii="Arial" w:cs="Arial" w:eastAsia="Arial" w:hAnsi="Arial"/>
          <w:sz w:val="16"/>
          <w:szCs w:val="16"/>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0"/>
          <w:szCs w:val="20"/>
          <w:color w:val="auto"/>
        </w:rPr>
        <w:t>“Cover” means, with respect to a particular subject matter in a particular country and a Patent, that the manufacture, use, sale or importation of such subject matter, as applicable, in such country would, but for a license under or joint ownership right in such Patent, infringe a Valid Claim of such Patent.</w:t>
      </w:r>
    </w:p>
    <w:p>
      <w:pPr>
        <w:spacing w:after="0" w:line="176" w:lineRule="exact"/>
        <w:rPr>
          <w:rFonts w:ascii="Arial" w:cs="Arial" w:eastAsia="Arial" w:hAnsi="Arial"/>
          <w:sz w:val="16"/>
          <w:szCs w:val="16"/>
          <w:color w:val="auto"/>
        </w:rPr>
      </w:pPr>
    </w:p>
    <w:p>
      <w:pPr>
        <w:jc w:val="both"/>
        <w:ind w:left="640" w:right="2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0"/>
          <w:szCs w:val="20"/>
          <w:color w:val="auto"/>
        </w:rPr>
        <w:t>“Created” means with respect to non-patent related matters conceived, made or otherwise created; and with respect to patent related matters invented, made or reduced to practice. “Create” and “Creating” have their correlative meanings.</w:t>
      </w:r>
    </w:p>
    <w:p>
      <w:pPr>
        <w:spacing w:after="0" w:line="161" w:lineRule="exact"/>
        <w:rPr>
          <w:rFonts w:ascii="Arial" w:cs="Arial" w:eastAsia="Arial" w:hAnsi="Arial"/>
          <w:sz w:val="16"/>
          <w:szCs w:val="16"/>
          <w:color w:val="auto"/>
        </w:rPr>
      </w:pPr>
    </w:p>
    <w:p>
      <w:pPr>
        <w:jc w:val="both"/>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0"/>
          <w:szCs w:val="20"/>
          <w:color w:val="auto"/>
        </w:rPr>
        <w:t>“Deconvoluted Target” means, with respect to the Licensed Rights, a target that was deconvoluted under the Project and which is further specified in Exhibit C.</w:t>
      </w:r>
    </w:p>
    <w:p>
      <w:pPr>
        <w:spacing w:after="0" w:line="175" w:lineRule="exact"/>
        <w:rPr>
          <w:rFonts w:ascii="Arial" w:cs="Arial" w:eastAsia="Arial" w:hAnsi="Arial"/>
          <w:sz w:val="16"/>
          <w:szCs w:val="16"/>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0"/>
          <w:szCs w:val="20"/>
          <w:color w:val="auto"/>
        </w:rPr>
        <w:t xml:space="preserve">“Derivative” means a Compound which is (i) derived from a Licensed Project Compound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years after the Effective Date of this Agreement and that is generated in the course of further lead optimization of a Lead Series within the Licensed Project Compounds and (ii) which is Active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7" w:lineRule="exact"/>
        <w:rPr>
          <w:rFonts w:ascii="Arial" w:cs="Arial" w:eastAsia="Arial" w:hAnsi="Arial"/>
          <w:sz w:val="16"/>
          <w:szCs w:val="16"/>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580"/>
          </w:cols>
          <w:pgMar w:left="980" w:top="1440" w:right="339" w:bottom="1440" w:gutter="0" w:footer="0" w:header="0"/>
        </w:sectPr>
      </w:pPr>
    </w:p>
    <w:bookmarkStart w:id="267" w:name="page268"/>
    <w:bookmarkEnd w:id="267"/>
    <w:p>
      <w:pPr>
        <w:spacing w:after="0" w:line="200" w:lineRule="exact"/>
        <w:rPr>
          <w:sz w:val="20"/>
          <w:szCs w:val="20"/>
          <w:color w:val="auto"/>
        </w:rPr>
      </w:pPr>
    </w:p>
    <w:p>
      <w:pPr>
        <w:spacing w:after="0" w:line="349" w:lineRule="exact"/>
        <w:rPr>
          <w:sz w:val="20"/>
          <w:szCs w:val="20"/>
          <w:color w:val="auto"/>
        </w:rPr>
      </w:pPr>
    </w:p>
    <w:p>
      <w:pPr>
        <w:jc w:val="both"/>
        <w:ind w:left="640" w:right="20" w:hanging="647"/>
        <w:spacing w:after="0" w:line="230" w:lineRule="auto"/>
        <w:tabs>
          <w:tab w:leader="none" w:pos="62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0"/>
          <w:szCs w:val="20"/>
          <w:color w:val="auto"/>
        </w:rPr>
        <w:t>“Derivative Patent” means IP Rights Created, or filed, by Bayer, its Affiliate or Sublicensee after the Project and claiming a Licensed Project Compound and / or a Derivative as such or a method of use of such a Licensed Project Compound or Derivative thereof.</w:t>
      </w:r>
    </w:p>
    <w:p>
      <w:pPr>
        <w:spacing w:after="0" w:line="162" w:lineRule="exact"/>
        <w:rPr>
          <w:sz w:val="20"/>
          <w:szCs w:val="20"/>
          <w:color w:val="auto"/>
        </w:rPr>
      </w:pPr>
    </w:p>
    <w:p>
      <w:pPr>
        <w:jc w:val="both"/>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0"/>
          <w:szCs w:val="20"/>
          <w:color w:val="auto"/>
        </w:rPr>
        <w:t xml:space="preserve">“Development Candidate” means (a) a Licensed Project Compound that has met the Development Candidate Criteria or (b) a Licensed Project Compound that is otherwise selected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as a Development Candidate.</w:t>
      </w:r>
    </w:p>
    <w:p>
      <w:pPr>
        <w:spacing w:after="0" w:line="175" w:lineRule="exact"/>
        <w:rPr>
          <w:sz w:val="20"/>
          <w:szCs w:val="20"/>
          <w:color w:val="auto"/>
        </w:rPr>
      </w:pPr>
    </w:p>
    <w:p>
      <w:pPr>
        <w:jc w:val="both"/>
        <w:ind w:left="640" w:right="2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0"/>
          <w:szCs w:val="20"/>
          <w:color w:val="auto"/>
        </w:rPr>
        <w:t>“Development Candidate Criteria” means the decision criteria for a Licensed Project Compound to be considered a Development Candidate as set forth in Exhibit F.</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19"/>
          <w:szCs w:val="19"/>
          <w:color w:val="auto"/>
        </w:rPr>
        <w:t>“Disclosing Party” as used hereunder has the meaning given in Section 11.1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1.30</w:t>
      </w:r>
      <w:r>
        <w:rPr>
          <w:sz w:val="20"/>
          <w:szCs w:val="20"/>
          <w:color w:val="auto"/>
        </w:rPr>
        <w:tab/>
      </w:r>
      <w:r>
        <w:rPr>
          <w:rFonts w:ascii="Times New Roman" w:cs="Times New Roman" w:eastAsia="Times New Roman" w:hAnsi="Times New Roman"/>
          <w:sz w:val="19"/>
          <w:szCs w:val="19"/>
          <w:color w:val="auto"/>
        </w:rPr>
        <w:t>“Dispute” has the meaning given in Section 14.1 of this Agreement.</w:t>
      </w:r>
    </w:p>
    <w:p>
      <w:pPr>
        <w:spacing w:after="0" w:line="179" w:lineRule="exact"/>
        <w:rPr>
          <w:sz w:val="20"/>
          <w:szCs w:val="20"/>
          <w:color w:val="auto"/>
        </w:rPr>
      </w:pPr>
    </w:p>
    <w:p>
      <w:pPr>
        <w:jc w:val="both"/>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0"/>
          <w:szCs w:val="20"/>
          <w:color w:val="auto"/>
        </w:rPr>
        <w:t>“Domain Names” means any domain name identical or similar with the Trademarks under any ccTLD (country code Top Level Domain) and gTLD (generic Top Level Domain) address area.</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19"/>
          <w:szCs w:val="19"/>
          <w:color w:val="auto"/>
        </w:rPr>
        <w:t>“Double Tax Treaty” has the meaning given in Section 7.7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19"/>
          <w:szCs w:val="19"/>
          <w:color w:val="auto"/>
        </w:rPr>
        <w:t>“Effective Date of this Agreement” has the meaning given in the preamble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19"/>
          <w:szCs w:val="19"/>
          <w:color w:val="auto"/>
        </w:rPr>
        <w:t>“EMA” means the European Medicines Agency or any successor agency thereto.</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19"/>
          <w:szCs w:val="19"/>
          <w:color w:val="auto"/>
        </w:rPr>
        <w:t xml:space="preserve">“Enabled Compound” shall mean a Compound, that is (i) Active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and (ii)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19"/>
          <w:szCs w:val="19"/>
          <w:color w:val="auto"/>
        </w:rPr>
        <w:t xml:space="preserve">“Enabled Product” means any product for use in oncology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containing an Enabled Compound,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640" w:hanging="647"/>
        <w:spacing w:after="0" w:line="225" w:lineRule="auto"/>
        <w:tabs>
          <w:tab w:leader="none" w:pos="62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0"/>
          <w:szCs w:val="20"/>
          <w:color w:val="auto"/>
        </w:rPr>
        <w:t>“European Union” means the European Union as it exists as of the Effective Date of this Agreement, together with the United Kingdom and any countries or territories that subsequently join the European Union. For clarity, any countries or territories that exit the European Union after the Effective Date of this Agreement shall remain part of the European Union for purposes of this Agreement.</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19"/>
          <w:szCs w:val="19"/>
          <w:color w:val="auto"/>
        </w:rPr>
        <w:t>“FDA” means the U.S. Food and Drug Administration, or any successor agency thereto.</w:t>
      </w:r>
    </w:p>
    <w:p>
      <w:pPr>
        <w:spacing w:after="0" w:line="179" w:lineRule="exact"/>
        <w:rPr>
          <w:sz w:val="20"/>
          <w:szCs w:val="20"/>
          <w:color w:val="auto"/>
        </w:rPr>
      </w:pPr>
    </w:p>
    <w:p>
      <w:pPr>
        <w:jc w:val="both"/>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0"/>
          <w:szCs w:val="20"/>
          <w:color w:val="auto"/>
        </w:rPr>
        <w:t>“Field” means any and all fields, including therapeutic indications and uses for humans and animals and diagnostic uses, including – without limitation – the use as in vitro diagnostics and biomarkers.</w:t>
      </w:r>
    </w:p>
    <w:p>
      <w:pPr>
        <w:spacing w:after="0" w:line="175" w:lineRule="exact"/>
        <w:rPr>
          <w:sz w:val="20"/>
          <w:szCs w:val="20"/>
          <w:color w:val="auto"/>
        </w:rPr>
      </w:pPr>
    </w:p>
    <w:p>
      <w:pPr>
        <w:jc w:val="both"/>
        <w:ind w:left="640" w:hanging="647"/>
        <w:spacing w:after="0" w:line="234" w:lineRule="auto"/>
        <w:tabs>
          <w:tab w:leader="none" w:pos="62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19"/>
          <w:szCs w:val="19"/>
          <w:color w:val="auto"/>
        </w:rPr>
        <w:t>“First Commercial Sale” means the first sale of a Product by Bayer and/or its Affiliates and/or its Sublicensee (as applicable) to a Third Party in any country of the Territory after grant of a Marketing Authorization and pricing approval as applicable in</w:t>
      </w:r>
    </w:p>
    <w:p>
      <w:pPr>
        <w:spacing w:after="0" w:line="19"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the applicable country or jurisdiction. For the avoidance of doubt, supply of a Product to patients for compassionate use, named patient use, clinical trials or other similar purposes prior to regulatory approval shall not be considered a First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Commercial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0580"/>
          </w:cols>
          <w:pgMar w:left="980" w:top="1440" w:right="339" w:bottom="1440" w:gutter="0" w:footer="0" w:header="0"/>
        </w:sectPr>
      </w:pPr>
    </w:p>
    <w:bookmarkStart w:id="268" w:name="page269"/>
    <w:bookmarkEnd w:id="268"/>
    <w:p>
      <w:pPr>
        <w:spacing w:after="0" w:line="200" w:lineRule="exact"/>
        <w:rPr>
          <w:sz w:val="20"/>
          <w:szCs w:val="20"/>
          <w:color w:val="auto"/>
        </w:rPr>
      </w:pPr>
    </w:p>
    <w:p>
      <w:pPr>
        <w:spacing w:after="0" w:line="349" w:lineRule="exact"/>
        <w:rPr>
          <w:sz w:val="20"/>
          <w:szCs w:val="20"/>
          <w:color w:val="auto"/>
        </w:rPr>
      </w:pPr>
    </w:p>
    <w:p>
      <w:pPr>
        <w:jc w:val="right"/>
        <w:spacing w:after="0" w:line="211"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19"/>
          <w:szCs w:val="19"/>
          <w:color w:val="auto"/>
        </w:rPr>
        <w:t>“Generic Product” means, with respect to a Product being sold in any country, a product that contains the same active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pharmaceutical ingredient as such Product, regardless of the polymorphic, salt or solvate form of said active ingredient, and</w:t>
      </w:r>
    </w:p>
    <w:p>
      <w:pPr>
        <w:ind w:left="640"/>
        <w:spacing w:after="0" w:line="215" w:lineRule="auto"/>
        <w:rPr>
          <w:sz w:val="20"/>
          <w:szCs w:val="20"/>
          <w:color w:val="auto"/>
        </w:rPr>
      </w:pPr>
      <w:r>
        <w:rPr>
          <w:rFonts w:ascii="Times New Roman" w:cs="Times New Roman" w:eastAsia="Times New Roman" w:hAnsi="Times New Roman"/>
          <w:sz w:val="19"/>
          <w:szCs w:val="19"/>
          <w:color w:val="auto"/>
        </w:rPr>
        <w:t>the dosage and formulation of such product, which is approved in such country for sale in reliance on a prior approval of such Product by the applicable Regulatory Authority, under Section 505(j) of the Federal Food, Drug and Cosmetic Act or 42</w:t>
      </w:r>
    </w:p>
    <w:p>
      <w:pPr>
        <w:ind w:left="640"/>
        <w:spacing w:after="0" w:line="211" w:lineRule="auto"/>
        <w:rPr>
          <w:sz w:val="20"/>
          <w:szCs w:val="20"/>
          <w:color w:val="auto"/>
        </w:rPr>
      </w:pPr>
      <w:r>
        <w:rPr>
          <w:rFonts w:ascii="Times New Roman" w:cs="Times New Roman" w:eastAsia="Times New Roman" w:hAnsi="Times New Roman"/>
          <w:sz w:val="20"/>
          <w:szCs w:val="20"/>
          <w:color w:val="auto"/>
        </w:rPr>
        <w:t>U.S.C. §§ 262(i)(2) and (k) or under Art. 10 Dir 2001/83/EC or Art. 10a Dir. 2001/83 in the version current at the time of</w:t>
      </w:r>
    </w:p>
    <w:p>
      <w:pPr>
        <w:ind w:left="640"/>
        <w:spacing w:after="0" w:line="215" w:lineRule="auto"/>
        <w:rPr>
          <w:sz w:val="20"/>
          <w:szCs w:val="20"/>
          <w:color w:val="auto"/>
        </w:rPr>
      </w:pPr>
      <w:r>
        <w:rPr>
          <w:rFonts w:ascii="Times New Roman" w:cs="Times New Roman" w:eastAsia="Times New Roman" w:hAnsi="Times New Roman"/>
          <w:sz w:val="19"/>
          <w:szCs w:val="19"/>
          <w:color w:val="auto"/>
        </w:rPr>
        <w:t>approval of such Product,, or in each case, any successor, foreign or equivalent Applicable Law, by way of an abbreviated or expedited approval process, pursuant to which such product is determined to be equivalent to the applicable Product by the</w:t>
      </w:r>
    </w:p>
    <w:p>
      <w:pPr>
        <w:ind w:left="640"/>
        <w:spacing w:after="0" w:line="211" w:lineRule="auto"/>
        <w:rPr>
          <w:sz w:val="20"/>
          <w:szCs w:val="20"/>
          <w:color w:val="auto"/>
        </w:rPr>
      </w:pPr>
      <w:r>
        <w:rPr>
          <w:rFonts w:ascii="Times New Roman" w:cs="Times New Roman" w:eastAsia="Times New Roman" w:hAnsi="Times New Roman"/>
          <w:sz w:val="20"/>
          <w:szCs w:val="20"/>
          <w:color w:val="auto"/>
        </w:rPr>
        <w:t>applicable Regulatory Authority. A product shall not be considered to be a Generic Product if (a) Bayer or any of its</w:t>
      </w:r>
    </w:p>
    <w:p>
      <w:pPr>
        <w:ind w:left="640" w:right="20"/>
        <w:spacing w:after="0" w:line="215" w:lineRule="auto"/>
        <w:rPr>
          <w:sz w:val="20"/>
          <w:szCs w:val="20"/>
          <w:color w:val="auto"/>
        </w:rPr>
      </w:pPr>
      <w:r>
        <w:rPr>
          <w:rFonts w:ascii="Times New Roman" w:cs="Times New Roman" w:eastAsia="Times New Roman" w:hAnsi="Times New Roman"/>
          <w:sz w:val="19"/>
          <w:szCs w:val="19"/>
          <w:color w:val="auto"/>
        </w:rPr>
        <w:t>Affiliates or Sublicensees is or was involved in, or granted such Third Party rights with respect to, the development or commercialization of such product, or (b) such product is commercialized by any Third Party who obtained such product in a</w:t>
      </w: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chain of distribution that included Bayer or any of its Affiliates or any sublicensee engaged or entrusted by Bayer or its Affiliates to (directly or indirectly) sell such product.</w:t>
      </w:r>
    </w:p>
    <w:p>
      <w:pPr>
        <w:spacing w:after="0" w:line="144"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0"/>
          <w:szCs w:val="20"/>
          <w:color w:val="auto"/>
        </w:rPr>
        <w:t>“Intellectual Property Rights” or “IP Rights” means trade secrets protectable under Applicable Law, copyrights, Patents and other registered intellectual property rights including registered trademarks, trade names and domain names.</w:t>
      </w:r>
    </w:p>
    <w:p>
      <w:pPr>
        <w:spacing w:after="0" w:line="175" w:lineRule="exact"/>
        <w:rPr>
          <w:sz w:val="20"/>
          <w:szCs w:val="20"/>
          <w:color w:val="auto"/>
        </w:rPr>
      </w:pPr>
    </w:p>
    <w:p>
      <w:pPr>
        <w:jc w:val="right"/>
        <w:spacing w:after="0" w:line="211"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19"/>
          <w:szCs w:val="19"/>
          <w:color w:val="auto"/>
        </w:rPr>
        <w:t>“Know-How” means all confidential commercial, technical, scientific and other information, unpatented inventions (whether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patentable or not and excluding Materials), knowledge, technology, methods, processes, practices, formulae, instructions,</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skills, techniques, procedures, experiences, ideas, technical assistance, designs, drawings, assembly procedures, computer programs, specifications, data and results (including biological, chemical, pharmacological, toxicological, pharmaceutical,</w:t>
      </w:r>
    </w:p>
    <w:p>
      <w:pPr>
        <w:ind w:left="640"/>
        <w:spacing w:after="0" w:line="211" w:lineRule="auto"/>
        <w:rPr>
          <w:sz w:val="20"/>
          <w:szCs w:val="20"/>
          <w:color w:val="auto"/>
        </w:rPr>
      </w:pPr>
      <w:r>
        <w:rPr>
          <w:rFonts w:ascii="Times New Roman" w:cs="Times New Roman" w:eastAsia="Times New Roman" w:hAnsi="Times New Roman"/>
          <w:sz w:val="20"/>
          <w:szCs w:val="20"/>
          <w:color w:val="auto"/>
        </w:rPr>
        <w:t>physical and analytical, pre-clinical, clinical, safety, manufacturing and quality control data and know-how, including study</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designs and protocols), in all cases whether in written, electronic or any other tangible or non-tangible form, including information related to Materials, samples, assays, compounds, compositions or formulations.</w:t>
      </w:r>
    </w:p>
    <w:p>
      <w:pPr>
        <w:spacing w:after="0" w:line="157"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0"/>
          <w:szCs w:val="20"/>
          <w:color w:val="auto"/>
        </w:rPr>
        <w:t>“Licensed Project Know-How” means (a) the Project Know-How which is listed in EXHIBIT C of this Agreement and (b) the Recursion ISMI IP Know-How.</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19"/>
          <w:szCs w:val="19"/>
          <w:color w:val="auto"/>
        </w:rPr>
        <w:t>“Licensed Project Compound(s)” means the Project Compound(s) listed in EXHIBIT E.</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19"/>
          <w:szCs w:val="19"/>
          <w:color w:val="auto"/>
        </w:rPr>
        <w:t>“Licensed Project IP Rights” means (a) the Project IP Rights listed in EXHIBIT B and (b) the Recursion ISMI IP Rights.</w:t>
      </w:r>
    </w:p>
    <w:p>
      <w:pPr>
        <w:spacing w:after="0" w:line="179"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0"/>
          <w:szCs w:val="20"/>
          <w:color w:val="auto"/>
        </w:rPr>
        <w:t>“Licensed Project Patents” means Licensed Project IP Rights that are Patents, together with all Patents claiming priority thereto or foreign equivalents thereof and all Derivative Patents.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19"/>
          <w:szCs w:val="19"/>
          <w:color w:val="auto"/>
        </w:rPr>
        <w:t>“Licensed Rights” means the Licensed Project Compounds, Licensed Project IP Rights and Licensed Project Know-How.</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19"/>
          <w:szCs w:val="19"/>
          <w:color w:val="auto"/>
        </w:rPr>
        <w:t>“Losses” means claims, demands, liability, damage, loss, or expense (including reasonable attorneys’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0580"/>
          </w:cols>
          <w:pgMar w:left="980" w:top="1440" w:right="339" w:bottom="1440" w:gutter="0" w:footer="0" w:header="0"/>
        </w:sectPr>
      </w:pPr>
    </w:p>
    <w:bookmarkStart w:id="269" w:name="page270"/>
    <w:bookmarkEnd w:id="269"/>
    <w:p>
      <w:pPr>
        <w:spacing w:after="0" w:line="200" w:lineRule="exact"/>
        <w:rPr>
          <w:sz w:val="20"/>
          <w:szCs w:val="20"/>
          <w:color w:val="auto"/>
        </w:rPr>
      </w:pPr>
    </w:p>
    <w:p>
      <w:pPr>
        <w:spacing w:after="0" w:line="349"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1.50</w:t>
      </w:r>
      <w:r>
        <w:rPr>
          <w:sz w:val="20"/>
          <w:szCs w:val="20"/>
          <w:color w:val="auto"/>
        </w:rPr>
        <w:tab/>
      </w:r>
      <w:r>
        <w:rPr>
          <w:rFonts w:ascii="Times New Roman" w:cs="Times New Roman" w:eastAsia="Times New Roman" w:hAnsi="Times New Roman"/>
          <w:sz w:val="20"/>
          <w:szCs w:val="20"/>
          <w:color w:val="auto"/>
        </w:rPr>
        <w:t>“Marketing Authorization” means any approval, license, registration or authorization required from the relevant Regulatory Authority to market and sell the Product in a particular country or jurisdiction.</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19"/>
          <w:szCs w:val="19"/>
          <w:color w:val="auto"/>
        </w:rPr>
        <w:t>“Net Receipts” means all money or money’s worth paid to Bayer or its Affiliates by Bayer’s or its Affiliates’ Sublicensees or</w:t>
      </w:r>
    </w:p>
    <w:p>
      <w:pPr>
        <w:ind w:left="640"/>
        <w:spacing w:after="0" w:line="221" w:lineRule="auto"/>
        <w:rPr>
          <w:sz w:val="20"/>
          <w:szCs w:val="20"/>
          <w:color w:val="auto"/>
        </w:rPr>
      </w:pPr>
      <w:r>
        <w:rPr>
          <w:rFonts w:ascii="Times New Roman" w:cs="Times New Roman" w:eastAsia="Times New Roman" w:hAnsi="Times New Roman"/>
          <w:sz w:val="20"/>
          <w:szCs w:val="20"/>
          <w:color w:val="auto"/>
        </w:rPr>
        <w:t>other parties granted a compulsory license in accordance with Section 6.6 including, but not limited to, licensing fees, upfront and milestone payments, and royalties, less sales, value-added and excise taxes.</w:t>
      </w:r>
    </w:p>
    <w:p>
      <w:pPr>
        <w:spacing w:after="0" w:line="157" w:lineRule="exact"/>
        <w:rPr>
          <w:sz w:val="20"/>
          <w:szCs w:val="20"/>
          <w:color w:val="auto"/>
        </w:rPr>
      </w:pPr>
    </w:p>
    <w:p>
      <w:pPr>
        <w:jc w:val="right"/>
        <w:spacing w:after="0" w:line="226"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19"/>
          <w:szCs w:val="19"/>
          <w:color w:val="auto"/>
        </w:rPr>
        <w:t>“Net Sales” means the gross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for sales of a Product (or Combination Product) to Third Parties less customary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reasonable deductions like: value-added tax or customs duties; allowances or credits upon rejections or returns of</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Product (or Combination Product), including recalls or damaged goods; quantity, early payment, cash settlement and other trade discounts; rebates, chargebacks or premiums; fees, discounts or other charges paid as required by government or public</w:t>
      </w:r>
    </w:p>
    <w:p>
      <w:pPr>
        <w:ind w:left="640"/>
        <w:spacing w:after="0" w:line="211" w:lineRule="auto"/>
        <w:rPr>
          <w:sz w:val="20"/>
          <w:szCs w:val="20"/>
          <w:color w:val="auto"/>
        </w:rPr>
      </w:pPr>
      <w:r>
        <w:rPr>
          <w:rFonts w:ascii="Times New Roman" w:cs="Times New Roman" w:eastAsia="Times New Roman" w:hAnsi="Times New Roman"/>
          <w:sz w:val="20"/>
          <w:szCs w:val="20"/>
          <w:color w:val="auto"/>
        </w:rPr>
        <w:t xml:space="preserve">healthcare legislation, as reasonably allocated to the Product; and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percent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lump sum of the gross amount</w:t>
      </w: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 xml:space="preserve">invoiced to cover transportation, freight, insurance, distribution, shipping, packaging and handling costs as well as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percent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lump sum of the gross amount invoiced to cover bad debt charges.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the event that a Product is sold in the form of a Combination Product, then, for the purpose of calculating royalties due,</w:t>
      </w:r>
    </w:p>
    <w:p>
      <w:pPr>
        <w:ind w:left="640"/>
        <w:spacing w:after="0" w:line="204" w:lineRule="auto"/>
        <w:rPr>
          <w:sz w:val="20"/>
          <w:szCs w:val="20"/>
          <w:color w:val="auto"/>
        </w:rPr>
      </w:pPr>
      <w:r>
        <w:rPr>
          <w:rFonts w:ascii="Times New Roman" w:cs="Times New Roman" w:eastAsia="Times New Roman" w:hAnsi="Times New Roman"/>
          <w:sz w:val="20"/>
          <w:szCs w:val="20"/>
          <w:color w:val="auto"/>
        </w:rPr>
        <w:t>Net Sales will be adjusted by multiplying Net Sales of such Combination Product (as calculated in accordance with the first paragraph of this Section 1.52) by the fraction A/(A+B) where A is the gross per unit invoice price of the Product, if sold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separately, and B is the gross per unit invoice price of all other active ingredient(s) in the combination, if sold separately.</w:t>
      </w:r>
    </w:p>
    <w:p>
      <w:pPr>
        <w:spacing w:after="0" w:line="167" w:lineRule="exact"/>
        <w:rPr>
          <w:sz w:val="20"/>
          <w:szCs w:val="20"/>
          <w:color w:val="auto"/>
        </w:rPr>
      </w:pPr>
    </w:p>
    <w:p>
      <w:pPr>
        <w:ind w:left="640" w:right="20"/>
        <w:spacing w:after="0" w:line="227" w:lineRule="auto"/>
        <w:rPr>
          <w:sz w:val="20"/>
          <w:szCs w:val="20"/>
          <w:color w:val="auto"/>
        </w:rPr>
      </w:pPr>
      <w:r>
        <w:rPr>
          <w:rFonts w:ascii="Times New Roman" w:cs="Times New Roman" w:eastAsia="Times New Roman" w:hAnsi="Times New Roman"/>
          <w:sz w:val="19"/>
          <w:szCs w:val="19"/>
          <w:color w:val="auto"/>
        </w:rPr>
        <w:t>If, on a country-by-country basis, the other active ingredient(s) in the combination are not sold separately in that country, Net Sales will be adjusted by multiplying by the fraction A/C where A is the gross per unit invoice price of the Product, if sold</w:t>
      </w:r>
    </w:p>
    <w:p>
      <w:pPr>
        <w:ind w:left="640"/>
        <w:spacing w:after="0" w:line="222" w:lineRule="auto"/>
        <w:rPr>
          <w:sz w:val="20"/>
          <w:szCs w:val="20"/>
          <w:color w:val="auto"/>
        </w:rPr>
      </w:pPr>
      <w:r>
        <w:rPr>
          <w:rFonts w:ascii="Times New Roman" w:cs="Times New Roman" w:eastAsia="Times New Roman" w:hAnsi="Times New Roman"/>
          <w:sz w:val="19"/>
          <w:szCs w:val="19"/>
          <w:color w:val="auto"/>
        </w:rPr>
        <w:t>separately, and C is the gross per unit invoice price of the Combination Product. In each case, the gross per unit invoice price</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shall be those applicable during the relevant Calendar Quarter. If sales of both the Product and the other active ingredient(s) in the same formulation and dosage in a comparable indication did not occur in such Calendar Quarter, in such country, or on</w:t>
      </w:r>
    </w:p>
    <w:p>
      <w:pPr>
        <w:ind w:left="640"/>
        <w:spacing w:after="0" w:line="211" w:lineRule="auto"/>
        <w:rPr>
          <w:sz w:val="20"/>
          <w:szCs w:val="20"/>
          <w:color w:val="auto"/>
        </w:rPr>
      </w:pPr>
      <w:r>
        <w:rPr>
          <w:rFonts w:ascii="Times New Roman" w:cs="Times New Roman" w:eastAsia="Times New Roman" w:hAnsi="Times New Roman"/>
          <w:sz w:val="20"/>
          <w:szCs w:val="20"/>
          <w:color w:val="auto"/>
        </w:rPr>
        <w:t>a country-by-country basis, neither the Product nor the other active ingredient(s) of the Combination Product are sold</w:t>
      </w:r>
    </w:p>
    <w:p>
      <w:pPr>
        <w:ind w:left="640"/>
        <w:spacing w:after="0" w:line="221" w:lineRule="auto"/>
        <w:rPr>
          <w:sz w:val="20"/>
          <w:szCs w:val="20"/>
          <w:color w:val="auto"/>
        </w:rPr>
      </w:pPr>
      <w:r>
        <w:rPr>
          <w:rFonts w:ascii="Times New Roman" w:cs="Times New Roman" w:eastAsia="Times New Roman" w:hAnsi="Times New Roman"/>
          <w:sz w:val="20"/>
          <w:szCs w:val="20"/>
          <w:color w:val="auto"/>
        </w:rPr>
        <w:t>separately in such country, then the fraction by which the Net Sales value shall be multiplied shall be determined between the Parties in good faith.</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19"/>
          <w:szCs w:val="19"/>
          <w:color w:val="auto"/>
        </w:rPr>
        <w:t>“Option Exercise Fee” has the meaning given in Section 3.1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19"/>
          <w:szCs w:val="19"/>
          <w:color w:val="auto"/>
        </w:rPr>
        <w:t>“Quarterly Report” has the meaning given in Section 6.5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19"/>
          <w:szCs w:val="19"/>
          <w:color w:val="auto"/>
        </w:rPr>
        <w:t>“Party” and “Parties” have the meanings given in the preamble to this Agreement.</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0"/>
          <w:szCs w:val="20"/>
          <w:color w:val="auto"/>
        </w:rPr>
        <w:t>“Patents” means (a) all national, regional and international patents and patent applications filed in any country of the world</w:t>
      </w:r>
    </w:p>
    <w:p>
      <w:pPr>
        <w:ind w:left="640"/>
        <w:spacing w:after="0" w:line="204" w:lineRule="auto"/>
        <w:rPr>
          <w:sz w:val="20"/>
          <w:szCs w:val="20"/>
          <w:color w:val="auto"/>
        </w:rPr>
      </w:pPr>
      <w:r>
        <w:rPr>
          <w:rFonts w:ascii="Times New Roman" w:cs="Times New Roman" w:eastAsia="Times New Roman" w:hAnsi="Times New Roman"/>
          <w:sz w:val="20"/>
          <w:szCs w:val="20"/>
          <w:color w:val="auto"/>
        </w:rPr>
        <w:t>including provisional patent applications, (b) all patents and patent applications filed either from such patents, patent applications or provisional applications, including any continuations, continuations-in part which are limited to the subject</w:t>
      </w:r>
    </w:p>
    <w:p>
      <w:pPr>
        <w:ind w:left="640"/>
        <w:spacing w:after="0" w:line="211" w:lineRule="auto"/>
        <w:rPr>
          <w:sz w:val="20"/>
          <w:szCs w:val="20"/>
          <w:color w:val="auto"/>
        </w:rPr>
      </w:pPr>
      <w:r>
        <w:rPr>
          <w:rFonts w:ascii="Times New Roman" w:cs="Times New Roman" w:eastAsia="Times New Roman" w:hAnsi="Times New Roman"/>
          <w:sz w:val="20"/>
          <w:szCs w:val="20"/>
          <w:color w:val="auto"/>
        </w:rPr>
        <w:t>matter directly related to the subject matter of the original patent application, divisions, provisionals, converted provisionals</w:t>
      </w:r>
    </w:p>
    <w:p>
      <w:pPr>
        <w:spacing w:after="0" w:line="1"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and continued prosecution applications, or any substitute applications, (c) any patent issued with respect to or in the future issued from any such patent applications, (d) any and all extensions or restorations by existing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0580"/>
          </w:cols>
          <w:pgMar w:left="980" w:top="1440" w:right="339" w:bottom="1440" w:gutter="0" w:footer="0" w:header="0"/>
        </w:sectPr>
      </w:pPr>
    </w:p>
    <w:bookmarkStart w:id="270" w:name="page271"/>
    <w:bookmarkEnd w:id="270"/>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extension or restoration mechanisms, including reissues, re-examinations and extensions (including any supplementary</w:t>
      </w:r>
    </w:p>
    <w:p>
      <w:pPr>
        <w:ind w:left="640"/>
        <w:spacing w:after="0" w:line="221" w:lineRule="auto"/>
        <w:rPr>
          <w:sz w:val="20"/>
          <w:szCs w:val="20"/>
          <w:color w:val="auto"/>
        </w:rPr>
      </w:pPr>
      <w:r>
        <w:rPr>
          <w:rFonts w:ascii="Times New Roman" w:cs="Times New Roman" w:eastAsia="Times New Roman" w:hAnsi="Times New Roman"/>
          <w:sz w:val="20"/>
          <w:szCs w:val="20"/>
          <w:color w:val="auto"/>
        </w:rPr>
        <w:t>protection certificates, patent term extensions and the like) of the foregoing patents and (e) any utility models, design patents or similar rights, and all foreign counterparts of any of the foregoing.</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19"/>
          <w:szCs w:val="19"/>
          <w:color w:val="auto"/>
        </w:rPr>
        <w:t>“Patent Matters” has the meaning given in Section 14.5 of this Agreement.</w:t>
      </w:r>
    </w:p>
    <w:p>
      <w:pPr>
        <w:spacing w:after="0" w:line="179"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1.58</w:t>
      </w:r>
      <w:r>
        <w:rPr>
          <w:sz w:val="20"/>
          <w:szCs w:val="20"/>
          <w:color w:val="auto"/>
        </w:rPr>
        <w:tab/>
      </w:r>
      <w:r>
        <w:rPr>
          <w:rFonts w:ascii="Times New Roman" w:cs="Times New Roman" w:eastAsia="Times New Roman" w:hAnsi="Times New Roman"/>
          <w:sz w:val="20"/>
          <w:szCs w:val="20"/>
          <w:color w:val="auto"/>
        </w:rPr>
        <w:t>“Person” means an individual, and any form of legally recognized entity, including, without limitation, a corporation, limited liability company, association, joint stock company, trust, or governmental entity.</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1.59</w:t>
      </w:r>
      <w:r>
        <w:rPr>
          <w:sz w:val="20"/>
          <w:szCs w:val="20"/>
          <w:color w:val="auto"/>
        </w:rPr>
        <w:tab/>
      </w:r>
      <w:r>
        <w:rPr>
          <w:rFonts w:ascii="Times New Roman" w:cs="Times New Roman" w:eastAsia="Times New Roman" w:hAnsi="Times New Roman"/>
          <w:sz w:val="20"/>
          <w:szCs w:val="20"/>
          <w:color w:val="auto"/>
        </w:rPr>
        <w:t>“Phase 1 Clinical Trial” means a human clinical trial of a Product, the principal purpose of which is to determine initial</w:t>
      </w:r>
    </w:p>
    <w:p>
      <w:pPr>
        <w:ind w:left="640"/>
        <w:spacing w:after="0" w:line="204" w:lineRule="auto"/>
        <w:rPr>
          <w:sz w:val="20"/>
          <w:szCs w:val="20"/>
          <w:color w:val="auto"/>
        </w:rPr>
      </w:pPr>
      <w:r>
        <w:rPr>
          <w:rFonts w:ascii="Times New Roman" w:cs="Times New Roman" w:eastAsia="Times New Roman" w:hAnsi="Times New Roman"/>
          <w:sz w:val="20"/>
          <w:szCs w:val="20"/>
          <w:color w:val="auto"/>
        </w:rPr>
        <w:t>tolerance or safety of such Product in the target patient population, or in the United States, is otherwise consistent with a human clinical trial as described in 21 CFR 312.21(a), or, in a country other than the United States, a similar clinical study</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prescribed by the applicable Regulatory Authority. With respect to the milestone payments set forth in Section 4, a Phase 1 Clinical Trial shall be deemed started upon the first dosing of the first subject of the first Phase 1 Clinical Trial.</w:t>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1.60</w:t>
      </w:r>
      <w:r>
        <w:rPr>
          <w:sz w:val="20"/>
          <w:szCs w:val="20"/>
          <w:color w:val="auto"/>
        </w:rPr>
        <w:tab/>
      </w:r>
      <w:r>
        <w:rPr>
          <w:rFonts w:ascii="Times New Roman" w:cs="Times New Roman" w:eastAsia="Times New Roman" w:hAnsi="Times New Roman"/>
          <w:sz w:val="19"/>
          <w:szCs w:val="19"/>
          <w:color w:val="auto"/>
        </w:rPr>
        <w:t>“Phase 3 Clinical Trial” means a human clinical trial of a Product, on a sufficient number of subjects that is designed to:</w:t>
      </w:r>
    </w:p>
    <w:p>
      <w:pPr>
        <w:spacing w:after="0" w:line="197" w:lineRule="exact"/>
        <w:rPr>
          <w:sz w:val="20"/>
          <w:szCs w:val="20"/>
          <w:color w:val="auto"/>
        </w:rPr>
      </w:pPr>
    </w:p>
    <w:p>
      <w:pPr>
        <w:ind w:left="1140" w:hanging="524"/>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evaluate overall benefit risk profile;</w:t>
      </w:r>
    </w:p>
    <w:p>
      <w:pPr>
        <w:spacing w:after="0" w:line="179" w:lineRule="exact"/>
        <w:rPr>
          <w:rFonts w:ascii="Times New Roman" w:cs="Times New Roman" w:eastAsia="Times New Roman" w:hAnsi="Times New Roman"/>
          <w:sz w:val="22"/>
          <w:szCs w:val="22"/>
          <w:color w:val="auto"/>
        </w:rPr>
      </w:pPr>
    </w:p>
    <w:p>
      <w:pPr>
        <w:ind w:left="1140" w:hanging="524"/>
        <w:spacing w:after="0" w:line="229" w:lineRule="auto"/>
        <w:tabs>
          <w:tab w:leader="none" w:pos="112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define possible warnings, precautions and adverse reactions that are associated with such Product in the dosage range to be prescribed; and</w:t>
      </w:r>
    </w:p>
    <w:p>
      <w:pPr>
        <w:spacing w:after="0" w:line="173" w:lineRule="exact"/>
        <w:rPr>
          <w:rFonts w:ascii="Times New Roman" w:cs="Times New Roman" w:eastAsia="Times New Roman" w:hAnsi="Times New Roman"/>
          <w:sz w:val="22"/>
          <w:szCs w:val="22"/>
          <w:color w:val="auto"/>
        </w:rPr>
      </w:pPr>
    </w:p>
    <w:p>
      <w:pPr>
        <w:ind w:left="1120" w:hanging="504"/>
        <w:spacing w:after="0"/>
        <w:tabs>
          <w:tab w:leader="none" w:pos="11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support Marketing Authorization of such Product;</w:t>
      </w:r>
    </w:p>
    <w:p>
      <w:pPr>
        <w:spacing w:after="0" w:line="165" w:lineRule="exact"/>
        <w:rPr>
          <w:rFonts w:ascii="Times New Roman" w:cs="Times New Roman" w:eastAsia="Times New Roman" w:hAnsi="Times New Roman"/>
          <w:sz w:val="22"/>
          <w:szCs w:val="22"/>
          <w:color w:val="auto"/>
        </w:rPr>
      </w:pPr>
    </w:p>
    <w:p>
      <w:pPr>
        <w:jc w:val="both"/>
        <w:ind w:left="1140"/>
        <w:spacing w:after="0" w:line="22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or is otherwise (x) consistent with in the United States, a human clinical trial as described in 21 CFR 312.21(c), or, in a country other than the United States, a similar clinical study prescribed by the applicable Regulatory Authority or (y) supports Marketing Authorization of a Products without the need for subsequent clinical trials, including any such Phase 2/3 clinical trial.</w:t>
      </w:r>
    </w:p>
    <w:p>
      <w:pPr>
        <w:spacing w:after="0" w:line="161" w:lineRule="exact"/>
        <w:rPr>
          <w:rFonts w:ascii="Times New Roman" w:cs="Times New Roman" w:eastAsia="Times New Roman" w:hAnsi="Times New Roman"/>
          <w:sz w:val="22"/>
          <w:szCs w:val="22"/>
          <w:color w:val="auto"/>
        </w:rPr>
      </w:pPr>
    </w:p>
    <w:p>
      <w:pPr>
        <w:ind w:left="114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respect to the milestone payments set forth in Section 4, a Phase 3 Clinical Trial shall be deemed started upon the first dosing of the first subject of the first Phase 3 Clinical Trial.</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19"/>
          <w:szCs w:val="19"/>
          <w:color w:val="auto"/>
        </w:rPr>
        <w:t>“Product” means any Project Product or Enabled Product, as the case may be.</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19"/>
          <w:szCs w:val="19"/>
          <w:color w:val="auto"/>
        </w:rPr>
        <w:t>“Project” means the Project under the Collaboration Agreement specifically identified in EXHIBIT A.</w:t>
      </w:r>
    </w:p>
    <w:p>
      <w:pPr>
        <w:spacing w:after="0" w:line="179"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0"/>
          <w:szCs w:val="20"/>
          <w:color w:val="auto"/>
        </w:rPr>
        <w:t>“Project Product” means any product containing a Licensed Project Compound or a Derivative, in any and all dosage forms, formulations, presentations, administrations, line extensions and package configurations.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19"/>
          <w:szCs w:val="19"/>
          <w:color w:val="auto"/>
        </w:rPr>
        <w:t>“Receiving Party” as used hereunder has the meaning given in Section 11.1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19"/>
          <w:szCs w:val="19"/>
          <w:color w:val="auto"/>
        </w:rPr>
        <w:t>“Recursion” has the meaning given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0580"/>
          </w:cols>
          <w:pgMar w:left="980" w:top="1440" w:right="339" w:bottom="1440" w:gutter="0" w:footer="0" w:header="0"/>
        </w:sectPr>
      </w:pPr>
    </w:p>
    <w:bookmarkStart w:id="271" w:name="page272"/>
    <w:bookmarkEnd w:id="271"/>
    <w:p>
      <w:pPr>
        <w:spacing w:after="0" w:line="200" w:lineRule="exact"/>
        <w:rPr>
          <w:sz w:val="20"/>
          <w:szCs w:val="20"/>
          <w:color w:val="auto"/>
        </w:rPr>
      </w:pPr>
    </w:p>
    <w:p>
      <w:pPr>
        <w:spacing w:after="0" w:line="3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19"/>
          <w:szCs w:val="19"/>
          <w:color w:val="auto"/>
        </w:rPr>
        <w:t>“Recursion Indemnitees” has the meaning given in Section 10.1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19"/>
          <w:szCs w:val="19"/>
          <w:color w:val="auto"/>
        </w:rPr>
        <w:t>Recursion ISMI IP Rights” means the IP Rights listed in EXHIBIT G.</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19"/>
          <w:szCs w:val="19"/>
          <w:color w:val="auto"/>
        </w:rPr>
        <w:t>Recursion ISMI Know-How” means the Know-How listed in EXHIBIT H.</w:t>
      </w:r>
    </w:p>
    <w:p>
      <w:pPr>
        <w:spacing w:after="0" w:line="179" w:lineRule="exact"/>
        <w:rPr>
          <w:sz w:val="20"/>
          <w:szCs w:val="20"/>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2"/>
          <w:szCs w:val="22"/>
          <w:color w:val="auto"/>
        </w:rPr>
        <w:t>1.69</w:t>
      </w:r>
      <w:r>
        <w:rPr>
          <w:sz w:val="20"/>
          <w:szCs w:val="20"/>
          <w:color w:val="auto"/>
        </w:rPr>
        <w:tab/>
      </w:r>
      <w:r>
        <w:rPr>
          <w:rFonts w:ascii="Times New Roman" w:cs="Times New Roman" w:eastAsia="Times New Roman" w:hAnsi="Times New Roman"/>
          <w:sz w:val="20"/>
          <w:szCs w:val="20"/>
          <w:color w:val="auto"/>
        </w:rPr>
        <w:t>“Regulatory Authority” means the FDA, the EMA or any supranational, national or local agency, authority, department, inspectorate, ministry official, parliament or public or statutory person of any government of any country having jurisdiction over any of the activities contemplated by this Agreement or the Parties, or any successor bodies thereto.</w:t>
      </w:r>
    </w:p>
    <w:p>
      <w:pPr>
        <w:spacing w:after="0" w:line="162" w:lineRule="exact"/>
        <w:rPr>
          <w:sz w:val="20"/>
          <w:szCs w:val="20"/>
          <w:color w:val="auto"/>
        </w:rPr>
      </w:pPr>
    </w:p>
    <w:p>
      <w:pPr>
        <w:jc w:val="both"/>
        <w:ind w:left="640" w:hanging="647"/>
        <w:spacing w:after="0" w:line="225" w:lineRule="auto"/>
        <w:tabs>
          <w:tab w:leader="none" w:pos="62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0"/>
          <w:szCs w:val="20"/>
          <w:color w:val="auto"/>
        </w:rPr>
        <w:t>“Regulatory Exclusivity” means, with respect to a Product in a country, any period of data, market or other regulatory exclusivity (other than Patent exclusivity) granted or afforded by Applicable Law or by a Regulatory Authority in such country that confers exclusive marketing rights with respect to such Product in such country or prevents another party from using or otherwise relying on any data supporting the approval of the Marketing Authorization for such Product.</w:t>
      </w:r>
    </w:p>
    <w:p>
      <w:pPr>
        <w:spacing w:after="0" w:line="164" w:lineRule="exact"/>
        <w:rPr>
          <w:sz w:val="20"/>
          <w:szCs w:val="20"/>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0"/>
          <w:szCs w:val="20"/>
          <w:color w:val="auto"/>
        </w:rPr>
        <w:t xml:space="preserve">“Reversion Technology” means, with respect to a Product under development or commercialization by Bayer at, or prior to, the time of termination, any Patents or Know-How Controlled by Bayer or any of its Affiliates as of the effective date of termination of this Agreement,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19"/>
          <w:szCs w:val="19"/>
          <w:color w:val="auto"/>
        </w:rPr>
        <w:t>“Royalty Term” has the meaning given in Section 6.4 of this Agreement.</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0"/>
          <w:szCs w:val="20"/>
          <w:color w:val="auto"/>
        </w:rPr>
        <w:t>“Sublicense” means an agreement pursuant to which a Third Party receives: (i) a grant or transfer of any rights to design,</w:t>
      </w:r>
    </w:p>
    <w:p>
      <w:pPr>
        <w:ind w:left="640"/>
        <w:spacing w:after="0" w:line="204" w:lineRule="auto"/>
        <w:rPr>
          <w:sz w:val="20"/>
          <w:szCs w:val="20"/>
          <w:color w:val="auto"/>
        </w:rPr>
      </w:pPr>
      <w:r>
        <w:rPr>
          <w:rFonts w:ascii="Times New Roman" w:cs="Times New Roman" w:eastAsia="Times New Roman" w:hAnsi="Times New Roman"/>
          <w:sz w:val="20"/>
          <w:szCs w:val="20"/>
          <w:color w:val="auto"/>
        </w:rPr>
        <w:t>develop, test, make, use, sell, offer for sale or import Licensed Project Compounds, Derivatives, Enabled Compounds or Products or any sublicense or other transfer of the rights licensed to Bayer under Section 2.1, or (ii) the benefit of an</w:t>
      </w:r>
    </w:p>
    <w:p>
      <w:pPr>
        <w:ind w:left="640"/>
        <w:spacing w:after="0" w:line="211" w:lineRule="auto"/>
        <w:rPr>
          <w:sz w:val="20"/>
          <w:szCs w:val="20"/>
          <w:color w:val="auto"/>
        </w:rPr>
      </w:pPr>
      <w:r>
        <w:rPr>
          <w:rFonts w:ascii="Times New Roman" w:cs="Times New Roman" w:eastAsia="Times New Roman" w:hAnsi="Times New Roman"/>
          <w:sz w:val="20"/>
          <w:szCs w:val="20"/>
          <w:color w:val="auto"/>
        </w:rPr>
        <w:t>agreement not to assert such rights or to sue, prevent or seek a legal remedy for the practice of the rights licensed to Bayer</w:t>
      </w:r>
    </w:p>
    <w:p>
      <w:pPr>
        <w:spacing w:after="0" w:line="1"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under Section 2.1. Where the definition “Sublicense” is used it shall not include any distribution or manufacturing agreement or other agreement by which Bayer or an Affiliate exercises its right to have done research on, have developed, have made,</w:t>
      </w:r>
    </w:p>
    <w:p>
      <w:pPr>
        <w:ind w:left="640"/>
        <w:spacing w:after="0" w:line="211" w:lineRule="auto"/>
        <w:rPr>
          <w:sz w:val="20"/>
          <w:szCs w:val="20"/>
          <w:color w:val="auto"/>
        </w:rPr>
      </w:pPr>
      <w:r>
        <w:rPr>
          <w:rFonts w:ascii="Times New Roman" w:cs="Times New Roman" w:eastAsia="Times New Roman" w:hAnsi="Times New Roman"/>
          <w:sz w:val="20"/>
          <w:szCs w:val="20"/>
          <w:color w:val="auto"/>
        </w:rPr>
        <w:t>or have sold Products in the Field in the Territory for Bayer or the Affiliate or Sublicensee granting such right and shall not</w:t>
      </w:r>
    </w:p>
    <w:p>
      <w:pPr>
        <w:ind w:left="640"/>
        <w:spacing w:after="0" w:line="215" w:lineRule="auto"/>
        <w:rPr>
          <w:sz w:val="20"/>
          <w:szCs w:val="20"/>
          <w:color w:val="auto"/>
        </w:rPr>
      </w:pPr>
      <w:r>
        <w:rPr>
          <w:rFonts w:ascii="Times New Roman" w:cs="Times New Roman" w:eastAsia="Times New Roman" w:hAnsi="Times New Roman"/>
          <w:sz w:val="19"/>
          <w:szCs w:val="19"/>
          <w:color w:val="auto"/>
        </w:rPr>
        <w:t>include the grant of licenses by Bayer or an Affiliate or Sublicensee to Third Parties solely for joint research and development activities between Bayer or its Affiliates and such Third Parties (e.g. joint collaboration activities on the further</w:t>
      </w:r>
    </w:p>
    <w:p>
      <w:pPr>
        <w:ind w:left="640"/>
        <w:spacing w:after="0"/>
        <w:rPr>
          <w:sz w:val="20"/>
          <w:szCs w:val="20"/>
          <w:color w:val="auto"/>
        </w:rPr>
      </w:pPr>
      <w:r>
        <w:rPr>
          <w:rFonts w:ascii="Times New Roman" w:cs="Times New Roman" w:eastAsia="Times New Roman" w:hAnsi="Times New Roman"/>
          <w:sz w:val="20"/>
          <w:szCs w:val="20"/>
          <w:color w:val="auto"/>
        </w:rPr>
        <w:t>research and development of the Products).</w:t>
      </w:r>
    </w:p>
    <w:p>
      <w:pPr>
        <w:spacing w:after="0" w:line="162"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0"/>
          <w:szCs w:val="20"/>
          <w:color w:val="auto"/>
        </w:rPr>
        <w:t>“Sublicensee” means any Third Party to which Bayer, an Affiliate or any Sublicensee (which received a Sublicense from or through Bayer or its Affiliate) has granted a Sublicense.</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19"/>
          <w:szCs w:val="19"/>
          <w:color w:val="auto"/>
        </w:rPr>
        <w:t>“Term” has the meaning given in Section 15.1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19"/>
          <w:szCs w:val="19"/>
          <w:color w:val="auto"/>
        </w:rPr>
        <w:t>“Territory” means worldwide.</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1.77</w:t>
      </w:r>
      <w:r>
        <w:rPr>
          <w:sz w:val="20"/>
          <w:szCs w:val="20"/>
          <w:color w:val="auto"/>
        </w:rPr>
        <w:tab/>
      </w:r>
      <w:r>
        <w:rPr>
          <w:rFonts w:ascii="Times New Roman" w:cs="Times New Roman" w:eastAsia="Times New Roman" w:hAnsi="Times New Roman"/>
          <w:sz w:val="19"/>
          <w:szCs w:val="19"/>
          <w:color w:val="auto"/>
        </w:rPr>
        <w:t>“Third Party” means any Person other than Bayer or Recursion or any Bayer Affiliate or Recursion Affiliate.</w:t>
      </w:r>
    </w:p>
    <w:p>
      <w:pPr>
        <w:spacing w:after="0" w:line="179"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0"/>
          <w:szCs w:val="20"/>
          <w:color w:val="auto"/>
        </w:rPr>
        <w:t>“Third Party Patents” means one or more valid and enforceable patents and/or pending patent applications (provided that such pending application has not extended beyond seven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0580"/>
          </w:cols>
          <w:pgMar w:left="980" w:top="1440" w:right="339" w:bottom="1440" w:gutter="0" w:footer="0" w:header="0"/>
        </w:sectPr>
      </w:pPr>
    </w:p>
    <w:bookmarkStart w:id="272" w:name="page273"/>
    <w:bookmarkEnd w:id="272"/>
    <w:p>
      <w:pPr>
        <w:spacing w:after="0" w:line="200" w:lineRule="exact"/>
        <w:rPr>
          <w:sz w:val="20"/>
          <w:szCs w:val="20"/>
          <w:color w:val="auto"/>
        </w:rPr>
      </w:pPr>
    </w:p>
    <w:p>
      <w:pPr>
        <w:spacing w:after="0" w:line="34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years from its earliest priority date) owned by one or more Third Parties that are licensed to Bayer or its Affiliate or</w:t>
      </w:r>
    </w:p>
    <w:p>
      <w:pPr>
        <w:ind w:left="1292"/>
        <w:spacing w:after="0" w:line="221" w:lineRule="auto"/>
        <w:rPr>
          <w:sz w:val="20"/>
          <w:szCs w:val="20"/>
          <w:color w:val="auto"/>
        </w:rPr>
      </w:pPr>
      <w:r>
        <w:rPr>
          <w:rFonts w:ascii="Times New Roman" w:cs="Times New Roman" w:eastAsia="Times New Roman" w:hAnsi="Times New Roman"/>
          <w:sz w:val="20"/>
          <w:szCs w:val="20"/>
          <w:color w:val="auto"/>
        </w:rPr>
        <w:t>Sublicensee and that Cover the manufacturing, use, sale, offer to sell, or importation of the Licensed Project Compound or Derivative in a Product.</w:t>
      </w:r>
    </w:p>
    <w:p>
      <w:pPr>
        <w:spacing w:after="0" w:line="157" w:lineRule="exact"/>
        <w:rPr>
          <w:sz w:val="20"/>
          <w:szCs w:val="20"/>
          <w:color w:val="auto"/>
        </w:rPr>
      </w:pPr>
    </w:p>
    <w:p>
      <w:pPr>
        <w:jc w:val="both"/>
        <w:ind w:left="1292" w:hanging="647"/>
        <w:spacing w:after="0" w:line="230" w:lineRule="auto"/>
        <w:tabs>
          <w:tab w:leader="none" w:pos="1272" w:val="left"/>
        </w:tabs>
        <w:rPr>
          <w:sz w:val="20"/>
          <w:szCs w:val="20"/>
          <w:color w:val="auto"/>
        </w:rPr>
      </w:pPr>
      <w:r>
        <w:rPr>
          <w:rFonts w:ascii="Times New Roman" w:cs="Times New Roman" w:eastAsia="Times New Roman" w:hAnsi="Times New Roman"/>
          <w:sz w:val="22"/>
          <w:szCs w:val="22"/>
          <w:color w:val="auto"/>
        </w:rPr>
        <w:t>1.77</w:t>
      </w:r>
      <w:r>
        <w:rPr>
          <w:sz w:val="20"/>
          <w:szCs w:val="20"/>
          <w:color w:val="auto"/>
        </w:rPr>
        <w:tab/>
      </w:r>
      <w:r>
        <w:rPr>
          <w:rFonts w:ascii="Times New Roman" w:cs="Times New Roman" w:eastAsia="Times New Roman" w:hAnsi="Times New Roman"/>
          <w:sz w:val="20"/>
          <w:szCs w:val="20"/>
          <w:color w:val="auto"/>
        </w:rPr>
        <w:t>“Third Party Royalties” shall mean the collective running royalty for Third Party Patents based on the Net Sales for Products, on a Product-by-Product and country-by-country basis, that Bayer or its Affiliate or Sublicensee is obligated to pay to Third Parties for the manufacture, use, sale, offer to sell or importation of such Products in such country.</w:t>
      </w:r>
    </w:p>
    <w:p>
      <w:pPr>
        <w:spacing w:after="0" w:line="162" w:lineRule="exact"/>
        <w:rPr>
          <w:sz w:val="20"/>
          <w:szCs w:val="20"/>
          <w:color w:val="auto"/>
        </w:rPr>
      </w:pPr>
    </w:p>
    <w:p>
      <w:pPr>
        <w:jc w:val="both"/>
        <w:ind w:left="1292" w:hanging="647"/>
        <w:spacing w:after="0"/>
        <w:tabs>
          <w:tab w:leader="none" w:pos="1272" w:val="left"/>
        </w:tabs>
        <w:rPr>
          <w:sz w:val="20"/>
          <w:szCs w:val="20"/>
          <w:color w:val="auto"/>
        </w:rPr>
      </w:pPr>
      <w:r>
        <w:rPr>
          <w:rFonts w:ascii="Times New Roman" w:cs="Times New Roman" w:eastAsia="Times New Roman" w:hAnsi="Times New Roman"/>
          <w:sz w:val="22"/>
          <w:szCs w:val="22"/>
          <w:color w:val="auto"/>
        </w:rPr>
        <w:t>1.78</w:t>
      </w:r>
      <w:r>
        <w:rPr>
          <w:sz w:val="20"/>
          <w:szCs w:val="20"/>
          <w:color w:val="auto"/>
        </w:rPr>
        <w:tab/>
      </w:r>
      <w:r>
        <w:rPr>
          <w:rFonts w:ascii="Times New Roman" w:cs="Times New Roman" w:eastAsia="Times New Roman" w:hAnsi="Times New Roman"/>
          <w:sz w:val="20"/>
          <w:szCs w:val="20"/>
          <w:color w:val="auto"/>
        </w:rPr>
        <w:t>“Trademark” means any trademark owned and controlled by Bayer and used by them in connection with the marketing of the Products.</w:t>
      </w:r>
    </w:p>
    <w:p>
      <w:pPr>
        <w:spacing w:after="0" w:line="17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2"/>
          <w:szCs w:val="22"/>
          <w:color w:val="auto"/>
        </w:rPr>
        <w:t>1.79</w:t>
      </w:r>
      <w:r>
        <w:rPr>
          <w:sz w:val="20"/>
          <w:szCs w:val="20"/>
          <w:color w:val="auto"/>
        </w:rPr>
        <w:tab/>
      </w:r>
      <w:r>
        <w:rPr>
          <w:rFonts w:ascii="Times New Roman" w:cs="Times New Roman" w:eastAsia="Times New Roman" w:hAnsi="Times New Roman"/>
          <w:sz w:val="19"/>
          <w:szCs w:val="19"/>
          <w:color w:val="auto"/>
        </w:rPr>
        <w:t>“USD” has the meaning given in Section 7.4 of this Agreement.</w:t>
      </w:r>
    </w:p>
    <w:p>
      <w:pPr>
        <w:spacing w:after="0" w:line="179" w:lineRule="exact"/>
        <w:rPr>
          <w:sz w:val="20"/>
          <w:szCs w:val="20"/>
          <w:color w:val="auto"/>
        </w:rPr>
      </w:pPr>
    </w:p>
    <w:p>
      <w:pPr>
        <w:jc w:val="both"/>
        <w:ind w:left="1292" w:hanging="647"/>
        <w:spacing w:after="0" w:line="234" w:lineRule="auto"/>
        <w:tabs>
          <w:tab w:leader="none" w:pos="1272" w:val="left"/>
        </w:tabs>
        <w:rPr>
          <w:sz w:val="20"/>
          <w:szCs w:val="20"/>
          <w:color w:val="auto"/>
        </w:rPr>
      </w:pPr>
      <w:r>
        <w:rPr>
          <w:rFonts w:ascii="Times New Roman" w:cs="Times New Roman" w:eastAsia="Times New Roman" w:hAnsi="Times New Roman"/>
          <w:sz w:val="22"/>
          <w:szCs w:val="22"/>
          <w:color w:val="auto"/>
        </w:rPr>
        <w:t>1.80</w:t>
      </w:r>
      <w:r>
        <w:rPr>
          <w:sz w:val="20"/>
          <w:szCs w:val="20"/>
          <w:color w:val="auto"/>
        </w:rPr>
        <w:tab/>
      </w:r>
      <w:r>
        <w:rPr>
          <w:rFonts w:ascii="Times New Roman" w:cs="Times New Roman" w:eastAsia="Times New Roman" w:hAnsi="Times New Roman"/>
          <w:sz w:val="19"/>
          <w:szCs w:val="19"/>
          <w:color w:val="auto"/>
        </w:rPr>
        <w:t>“Valid Claim” means a claim of a pending or issued Patent that has not (A) expired or been cancelled, (B) been declared invalid by a decision of a court or other appropriate body of competent jurisdiction, from which no appeal is or can be taken,</w:t>
      </w:r>
    </w:p>
    <w:p>
      <w:pPr>
        <w:spacing w:after="0" w:line="19" w:lineRule="exact"/>
        <w:rPr>
          <w:sz w:val="20"/>
          <w:szCs w:val="20"/>
          <w:color w:val="auto"/>
        </w:rPr>
      </w:pPr>
    </w:p>
    <w:p>
      <w:pPr>
        <w:ind w:left="1292" w:firstLine="4"/>
        <w:spacing w:after="0" w:line="221" w:lineRule="auto"/>
        <w:tabs>
          <w:tab w:leader="none" w:pos="164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admitted to be invalid or unenforceable through reexamination, reissue, disclaimer or otherwise, or (D) been abandoned or disclaimed.</w:t>
      </w:r>
    </w:p>
    <w:p>
      <w:pPr>
        <w:spacing w:after="0" w:line="157"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19"/>
          <w:szCs w:val="19"/>
          <w:color w:val="auto"/>
        </w:rPr>
        <w:t>“VAT” has the meaning given in Section 7.6.</w:t>
      </w:r>
    </w:p>
    <w:p>
      <w:pPr>
        <w:spacing w:after="0" w:line="193" w:lineRule="exact"/>
        <w:rPr>
          <w:sz w:val="20"/>
          <w:szCs w:val="20"/>
          <w:color w:val="auto"/>
        </w:rPr>
      </w:pPr>
    </w:p>
    <w:p>
      <w:pPr>
        <w:ind w:left="652" w:right="4400" w:hanging="652"/>
        <w:spacing w:after="0" w:line="417" w:lineRule="auto"/>
        <w:tabs>
          <w:tab w:leader="none" w:pos="652"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LICENSE GRANTS TO LICENSED RIGHTS AND BACKGROUND IP </w:t>
      </w: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License Grant</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right"/>
        <w:ind w:left="1292"/>
        <w:spacing w:after="0" w:line="215"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Exclusive License to Recursion interest in Licensed Rights.</w:t>
      </w:r>
      <w:r>
        <w:rPr>
          <w:rFonts w:ascii="Times New Roman" w:cs="Times New Roman" w:eastAsia="Times New Roman" w:hAnsi="Times New Roman"/>
          <w:sz w:val="20"/>
          <w:szCs w:val="20"/>
          <w:color w:val="auto"/>
        </w:rPr>
        <w:t xml:space="preserve"> Subject to the terms and conditions of this Agreement, Recursion agrees to grant and does hereby grant to Bayer an exclusive, sub-licensable and royalty-bearing license</w:t>
      </w:r>
    </w:p>
    <w:p>
      <w:pPr>
        <w:ind w:left="1952"/>
        <w:spacing w:after="0" w:line="212" w:lineRule="auto"/>
        <w:rPr>
          <w:sz w:val="20"/>
          <w:szCs w:val="20"/>
          <w:color w:val="auto"/>
        </w:rPr>
      </w:pPr>
      <w:r>
        <w:rPr>
          <w:rFonts w:ascii="Times New Roman" w:cs="Times New Roman" w:eastAsia="Times New Roman" w:hAnsi="Times New Roman"/>
          <w:sz w:val="20"/>
          <w:szCs w:val="20"/>
          <w:color w:val="auto"/>
        </w:rPr>
        <w:t>under Recursion’s rights, title and interest in the Licensed Rights to do or have done research on, develop or have</w:t>
      </w:r>
    </w:p>
    <w:p>
      <w:pPr>
        <w:spacing w:after="0" w:line="1" w:lineRule="exact"/>
        <w:rPr>
          <w:sz w:val="20"/>
          <w:szCs w:val="20"/>
          <w:color w:val="auto"/>
        </w:rPr>
      </w:pPr>
    </w:p>
    <w:p>
      <w:pPr>
        <w:ind w:left="1952"/>
        <w:spacing w:after="0" w:line="215" w:lineRule="auto"/>
        <w:rPr>
          <w:sz w:val="20"/>
          <w:szCs w:val="20"/>
          <w:color w:val="auto"/>
        </w:rPr>
      </w:pPr>
      <w:r>
        <w:rPr>
          <w:rFonts w:ascii="Times New Roman" w:cs="Times New Roman" w:eastAsia="Times New Roman" w:hAnsi="Times New Roman"/>
          <w:sz w:val="19"/>
          <w:szCs w:val="19"/>
          <w:color w:val="auto"/>
        </w:rPr>
        <w:t>developed, make, have made, use, have used, sell, have sold, offer for sale, have offered for sale and import and have imported Products and to use such Licensed Rights as tools in independent research and development projects of</w:t>
      </w:r>
    </w:p>
    <w:p>
      <w:pPr>
        <w:ind w:left="1952"/>
        <w:spacing w:after="0"/>
        <w:rPr>
          <w:sz w:val="20"/>
          <w:szCs w:val="20"/>
          <w:color w:val="auto"/>
        </w:rPr>
      </w:pPr>
      <w:r>
        <w:rPr>
          <w:rFonts w:ascii="Times New Roman" w:cs="Times New Roman" w:eastAsia="Times New Roman" w:hAnsi="Times New Roman"/>
          <w:sz w:val="20"/>
          <w:szCs w:val="20"/>
          <w:color w:val="auto"/>
        </w:rPr>
        <w:t>Bayer, in each case in the Field in the Territory.</w:t>
      </w:r>
    </w:p>
    <w:p>
      <w:pPr>
        <w:spacing w:after="0" w:line="167" w:lineRule="exact"/>
        <w:rPr>
          <w:sz w:val="20"/>
          <w:szCs w:val="20"/>
          <w:color w:val="auto"/>
        </w:rPr>
      </w:pPr>
    </w:p>
    <w:p>
      <w:pPr>
        <w:jc w:val="right"/>
        <w:ind w:left="1292"/>
        <w:spacing w:after="0" w:line="215"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Non-Exclusive License to Recursion’s Background IP Rights and Background Know-How</w:t>
      </w:r>
      <w:r>
        <w:rPr>
          <w:rFonts w:ascii="Times New Roman" w:cs="Times New Roman" w:eastAsia="Times New Roman" w:hAnsi="Times New Roman"/>
          <w:sz w:val="20"/>
          <w:szCs w:val="20"/>
          <w:color w:val="auto"/>
        </w:rPr>
        <w:t>. Subject to the terms and conditions of this Agreement, Recursion agrees to grant and does hereby grant to Bayer a non-exclusive, sub-</w:t>
      </w:r>
    </w:p>
    <w:p>
      <w:pPr>
        <w:ind w:left="1952"/>
        <w:spacing w:after="0" w:line="212" w:lineRule="auto"/>
        <w:rPr>
          <w:sz w:val="20"/>
          <w:szCs w:val="20"/>
          <w:color w:val="auto"/>
        </w:rPr>
      </w:pPr>
      <w:r>
        <w:rPr>
          <w:rFonts w:ascii="Times New Roman" w:cs="Times New Roman" w:eastAsia="Times New Roman" w:hAnsi="Times New Roman"/>
          <w:sz w:val="20"/>
          <w:szCs w:val="20"/>
          <w:color w:val="auto"/>
        </w:rPr>
        <w:t>licensable, license to Recursion’s Background IP Rights and Background Know-How specifically identified in</w:t>
      </w:r>
    </w:p>
    <w:p>
      <w:pPr>
        <w:spacing w:after="0" w:line="1" w:lineRule="exact"/>
        <w:rPr>
          <w:sz w:val="20"/>
          <w:szCs w:val="20"/>
          <w:color w:val="auto"/>
        </w:rPr>
      </w:pPr>
    </w:p>
    <w:p>
      <w:pPr>
        <w:ind w:left="1952"/>
        <w:spacing w:after="0" w:line="215" w:lineRule="auto"/>
        <w:rPr>
          <w:sz w:val="20"/>
          <w:szCs w:val="20"/>
          <w:color w:val="auto"/>
        </w:rPr>
      </w:pPr>
      <w:r>
        <w:rPr>
          <w:rFonts w:ascii="Times New Roman" w:cs="Times New Roman" w:eastAsia="Times New Roman" w:hAnsi="Times New Roman"/>
          <w:sz w:val="19"/>
          <w:szCs w:val="19"/>
          <w:color w:val="auto"/>
        </w:rPr>
        <w:t>EXHIBIT D solely to the extent such Background IP Rights and Background Know-How are necessary to do or have done research on, to develop, have developed, make, have made, use, have used, sell, have sold, offer to sell, have</w:t>
      </w:r>
    </w:p>
    <w:p>
      <w:pPr>
        <w:ind w:left="1952"/>
        <w:spacing w:after="0"/>
        <w:rPr>
          <w:sz w:val="20"/>
          <w:szCs w:val="20"/>
          <w:color w:val="auto"/>
        </w:rPr>
      </w:pPr>
      <w:r>
        <w:rPr>
          <w:rFonts w:ascii="Times New Roman" w:cs="Times New Roman" w:eastAsia="Times New Roman" w:hAnsi="Times New Roman"/>
          <w:sz w:val="20"/>
          <w:szCs w:val="20"/>
          <w:color w:val="auto"/>
        </w:rPr>
        <w:t>offered for sale, import and have imported Products in the Field in the Territory.</w:t>
      </w:r>
    </w:p>
    <w:p>
      <w:pPr>
        <w:spacing w:after="0" w:line="153" w:lineRule="exact"/>
        <w:rPr>
          <w:sz w:val="20"/>
          <w:szCs w:val="20"/>
          <w:color w:val="auto"/>
        </w:rPr>
      </w:pPr>
    </w:p>
    <w:p>
      <w:pPr>
        <w:ind w:left="1952"/>
        <w:spacing w:after="0" w:line="234" w:lineRule="auto"/>
        <w:rPr>
          <w:sz w:val="20"/>
          <w:szCs w:val="20"/>
          <w:color w:val="auto"/>
        </w:rPr>
      </w:pPr>
      <w:r>
        <w:rPr>
          <w:rFonts w:ascii="Times New Roman" w:cs="Times New Roman" w:eastAsia="Times New Roman" w:hAnsi="Times New Roman"/>
          <w:sz w:val="19"/>
          <w:szCs w:val="19"/>
          <w:color w:val="auto"/>
        </w:rPr>
        <w:t>For the avoidance of doubt, the aforementioned right to sublicense under Recursion’s Background IP Rights and Background Know-How does not grant Bayer any rights to sub-license such Background IP Rights and Background</w:t>
      </w:r>
    </w:p>
    <w:p>
      <w:pPr>
        <w:spacing w:after="0" w:line="1" w:lineRule="exact"/>
        <w:rPr>
          <w:sz w:val="20"/>
          <w:szCs w:val="20"/>
          <w:color w:val="auto"/>
        </w:rPr>
      </w:pPr>
    </w:p>
    <w:p>
      <w:pPr>
        <w:ind w:left="1952"/>
        <w:spacing w:after="0" w:line="204" w:lineRule="auto"/>
        <w:rPr>
          <w:sz w:val="20"/>
          <w:szCs w:val="20"/>
          <w:color w:val="auto"/>
        </w:rPr>
      </w:pPr>
      <w:r>
        <w:rPr>
          <w:rFonts w:ascii="Times New Roman" w:cs="Times New Roman" w:eastAsia="Times New Roman" w:hAnsi="Times New Roman"/>
          <w:sz w:val="20"/>
          <w:szCs w:val="20"/>
          <w:color w:val="auto"/>
        </w:rPr>
        <w:t>Know-How independently from the development and commercialization of the Licensed Rights (e.g. no right for independent sub-licensing for the purpose of generating license fees from Recursion’s Background IP Rights and</w:t>
      </w:r>
    </w:p>
    <w:p>
      <w:pPr>
        <w:spacing w:after="0" w:line="1"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20"/>
          <w:szCs w:val="20"/>
          <w:color w:val="auto"/>
        </w:rPr>
        <w:t>Background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32"/>
          </w:cols>
          <w:pgMar w:left="328" w:top="1440" w:right="339" w:bottom="1440" w:gutter="0" w:footer="0" w:header="0"/>
        </w:sectPr>
      </w:pPr>
    </w:p>
    <w:bookmarkStart w:id="273" w:name="page274"/>
    <w:bookmarkEnd w:id="273"/>
    <w:p>
      <w:pPr>
        <w:spacing w:after="0" w:line="200" w:lineRule="exact"/>
        <w:rPr>
          <w:sz w:val="20"/>
          <w:szCs w:val="20"/>
          <w:color w:val="auto"/>
        </w:rPr>
      </w:pPr>
    </w:p>
    <w:p>
      <w:pPr>
        <w:spacing w:after="0" w:line="354" w:lineRule="exact"/>
        <w:rPr>
          <w:sz w:val="20"/>
          <w:szCs w:val="20"/>
          <w:color w:val="auto"/>
        </w:rPr>
      </w:pPr>
    </w:p>
    <w:p>
      <w:pPr>
        <w:ind w:left="1932" w:hanging="647"/>
        <w:spacing w:after="0"/>
        <w:tabs>
          <w:tab w:leader="none" w:pos="1912"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u w:val="single" w:color="auto"/>
          <w:color w:val="auto"/>
        </w:rPr>
        <w:t>Use and Exploitation Rights</w:t>
      </w:r>
      <w:r>
        <w:rPr>
          <w:rFonts w:ascii="Times New Roman" w:cs="Times New Roman" w:eastAsia="Times New Roman" w:hAnsi="Times New Roman"/>
          <w:sz w:val="20"/>
          <w:szCs w:val="20"/>
          <w:color w:val="auto"/>
        </w:rPr>
        <w:t>. For the avoidance of doubt, the Use and Exploitation Rights agreed under Section 10.2</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of the Collaboration Agreement remains unimpaired.</w:t>
      </w:r>
    </w:p>
    <w:p>
      <w:pPr>
        <w:spacing w:after="0" w:line="148" w:lineRule="exact"/>
        <w:rPr>
          <w:sz w:val="20"/>
          <w:szCs w:val="20"/>
          <w:color w:val="auto"/>
        </w:rPr>
      </w:pPr>
    </w:p>
    <w:p>
      <w:pPr>
        <w:ind w:left="1932" w:right="20" w:hanging="647"/>
        <w:spacing w:after="0"/>
        <w:tabs>
          <w:tab w:leader="none" w:pos="1912"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0"/>
          <w:szCs w:val="20"/>
          <w:u w:val="single" w:color="auto"/>
          <w:color w:val="auto"/>
        </w:rPr>
        <w:t>Right to Sublicense</w:t>
      </w:r>
      <w:r>
        <w:rPr>
          <w:rFonts w:ascii="Times New Roman" w:cs="Times New Roman" w:eastAsia="Times New Roman" w:hAnsi="Times New Roman"/>
          <w:sz w:val="20"/>
          <w:szCs w:val="20"/>
          <w:color w:val="auto"/>
        </w:rPr>
        <w:t>. Without limiting the license grant in Sections 2.1.1 and 2.1.2 the following provisions shall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apply with respect to sublicenses to Affiliates and Sublicensees.</w:t>
      </w:r>
    </w:p>
    <w:p>
      <w:pPr>
        <w:spacing w:after="0" w:line="161" w:lineRule="exact"/>
        <w:rPr>
          <w:sz w:val="20"/>
          <w:szCs w:val="20"/>
          <w:color w:val="auto"/>
        </w:rPr>
      </w:pPr>
    </w:p>
    <w:p>
      <w:pPr>
        <w:jc w:val="right"/>
        <w:ind w:left="2552" w:right="20"/>
        <w:spacing w:after="0" w:line="227" w:lineRule="auto"/>
        <w:rPr>
          <w:sz w:val="20"/>
          <w:szCs w:val="20"/>
          <w:color w:val="auto"/>
        </w:rPr>
      </w:pPr>
      <w:r>
        <w:rPr>
          <w:rFonts w:ascii="Times New Roman" w:cs="Times New Roman" w:eastAsia="Times New Roman" w:hAnsi="Times New Roman"/>
          <w:sz w:val="19"/>
          <w:szCs w:val="19"/>
          <w:color w:val="auto"/>
        </w:rPr>
        <w:t xml:space="preserve">2.1.4.1 </w:t>
      </w:r>
      <w:r>
        <w:rPr>
          <w:rFonts w:ascii="Times New Roman" w:cs="Times New Roman" w:eastAsia="Times New Roman" w:hAnsi="Times New Roman"/>
          <w:sz w:val="19"/>
          <w:szCs w:val="19"/>
          <w:u w:val="single" w:color="auto"/>
          <w:color w:val="auto"/>
        </w:rPr>
        <w:t>Sublicense to Affiliates</w:t>
      </w:r>
      <w:r>
        <w:rPr>
          <w:rFonts w:ascii="Times New Roman" w:cs="Times New Roman" w:eastAsia="Times New Roman" w:hAnsi="Times New Roman"/>
          <w:sz w:val="19"/>
          <w:szCs w:val="19"/>
          <w:color w:val="auto"/>
        </w:rPr>
        <w:t>. If any Affiliate exercises any of Bayer’s rights or fulfills Bayer’s obligations under this Agreement, each and every such Affiliate shall be bound by all terms and conditions of</w:t>
      </w:r>
    </w:p>
    <w:p>
      <w:pPr>
        <w:ind w:left="3192"/>
        <w:spacing w:after="0" w:line="211" w:lineRule="auto"/>
        <w:rPr>
          <w:sz w:val="20"/>
          <w:szCs w:val="20"/>
          <w:color w:val="auto"/>
        </w:rPr>
      </w:pPr>
      <w:r>
        <w:rPr>
          <w:rFonts w:ascii="Times New Roman" w:cs="Times New Roman" w:eastAsia="Times New Roman" w:hAnsi="Times New Roman"/>
          <w:sz w:val="20"/>
          <w:szCs w:val="20"/>
          <w:color w:val="auto"/>
        </w:rPr>
        <w:t>this Agreement, including but not limited to indemnity, insurance, royalty payment obligations. In</w:t>
      </w:r>
    </w:p>
    <w:p>
      <w:pPr>
        <w:spacing w:after="0" w:line="1" w:lineRule="exact"/>
        <w:rPr>
          <w:sz w:val="20"/>
          <w:szCs w:val="20"/>
          <w:color w:val="auto"/>
        </w:rPr>
      </w:pPr>
    </w:p>
    <w:p>
      <w:pPr>
        <w:ind w:left="3192"/>
        <w:spacing w:after="0" w:line="221" w:lineRule="auto"/>
        <w:rPr>
          <w:sz w:val="20"/>
          <w:szCs w:val="20"/>
          <w:color w:val="auto"/>
        </w:rPr>
      </w:pPr>
      <w:r>
        <w:rPr>
          <w:rFonts w:ascii="Times New Roman" w:cs="Times New Roman" w:eastAsia="Times New Roman" w:hAnsi="Times New Roman"/>
          <w:sz w:val="20"/>
          <w:szCs w:val="20"/>
          <w:color w:val="auto"/>
        </w:rPr>
        <w:t>addition, Bayer shall remain fully liable to Recursion for all acts and obligations of any of its Affiliates such that acts of any and all Affiliates shall be considered acts of Bayer.</w:t>
      </w:r>
    </w:p>
    <w:p>
      <w:pPr>
        <w:spacing w:after="0" w:line="156" w:lineRule="exact"/>
        <w:rPr>
          <w:sz w:val="20"/>
          <w:szCs w:val="20"/>
          <w:color w:val="auto"/>
        </w:rPr>
      </w:pPr>
    </w:p>
    <w:p>
      <w:pPr>
        <w:ind w:left="2552"/>
        <w:spacing w:after="0"/>
        <w:rPr>
          <w:sz w:val="20"/>
          <w:szCs w:val="20"/>
          <w:color w:val="auto"/>
        </w:rPr>
      </w:pPr>
      <w:r>
        <w:rPr>
          <w:rFonts w:ascii="Times New Roman" w:cs="Times New Roman" w:eastAsia="Times New Roman" w:hAnsi="Times New Roman"/>
          <w:sz w:val="20"/>
          <w:szCs w:val="20"/>
          <w:color w:val="auto"/>
        </w:rPr>
        <w:t xml:space="preserve">2.1.4.2 </w:t>
      </w:r>
      <w:r>
        <w:rPr>
          <w:rFonts w:ascii="Times New Roman" w:cs="Times New Roman" w:eastAsia="Times New Roman" w:hAnsi="Times New Roman"/>
          <w:sz w:val="20"/>
          <w:szCs w:val="20"/>
          <w:u w:val="single" w:color="auto"/>
          <w:color w:val="auto"/>
        </w:rPr>
        <w:t>Sublicense to Third Parties</w:t>
      </w:r>
      <w:r>
        <w:rPr>
          <w:rFonts w:ascii="Times New Roman" w:cs="Times New Roman" w:eastAsia="Times New Roman" w:hAnsi="Times New Roman"/>
          <w:sz w:val="20"/>
          <w:szCs w:val="20"/>
          <w:color w:val="auto"/>
        </w:rPr>
        <w:t>. With respect to Sublicenses to Third Parties, each Sublicense shall be in</w:t>
      </w:r>
    </w:p>
    <w:p>
      <w:pPr>
        <w:ind w:left="3192"/>
        <w:spacing w:after="0" w:line="221" w:lineRule="auto"/>
        <w:rPr>
          <w:sz w:val="20"/>
          <w:szCs w:val="20"/>
          <w:color w:val="auto"/>
        </w:rPr>
      </w:pPr>
      <w:r>
        <w:rPr>
          <w:rFonts w:ascii="Times New Roman" w:cs="Times New Roman" w:eastAsia="Times New Roman" w:hAnsi="Times New Roman"/>
          <w:sz w:val="20"/>
          <w:szCs w:val="20"/>
          <w:color w:val="auto"/>
        </w:rPr>
        <w:t>writing and contain terms and conditions consistent with this Agreement and sufficient to enable Bayer and require Bayer’s Sublicensees to comply with this Agreement.</w:t>
      </w:r>
    </w:p>
    <w:p>
      <w:pPr>
        <w:spacing w:after="0" w:line="162" w:lineRule="exact"/>
        <w:rPr>
          <w:sz w:val="20"/>
          <w:szCs w:val="20"/>
          <w:color w:val="auto"/>
        </w:rPr>
      </w:pPr>
    </w:p>
    <w:p>
      <w:pPr>
        <w:ind w:left="3192"/>
        <w:spacing w:after="0"/>
        <w:rPr>
          <w:sz w:val="20"/>
          <w:szCs w:val="20"/>
          <w:color w:val="auto"/>
        </w:rPr>
      </w:pPr>
      <w:r>
        <w:rPr>
          <w:rFonts w:ascii="Times New Roman" w:cs="Times New Roman" w:eastAsia="Times New Roman" w:hAnsi="Times New Roman"/>
          <w:sz w:val="20"/>
          <w:szCs w:val="20"/>
          <w:color w:val="auto"/>
        </w:rPr>
        <w:t>Any Sublicense granted or authorized by Bayer hereunder shall not relieve Bayer from any of its obligations under this Agreement.</w:t>
      </w:r>
    </w:p>
    <w:p>
      <w:pPr>
        <w:spacing w:after="0" w:line="148" w:lineRule="exact"/>
        <w:rPr>
          <w:sz w:val="20"/>
          <w:szCs w:val="20"/>
          <w:color w:val="auto"/>
        </w:rPr>
      </w:pPr>
    </w:p>
    <w:p>
      <w:pPr>
        <w:ind w:left="3192"/>
        <w:spacing w:after="0" w:line="222" w:lineRule="auto"/>
        <w:rPr>
          <w:sz w:val="20"/>
          <w:szCs w:val="20"/>
          <w:color w:val="auto"/>
        </w:rPr>
      </w:pPr>
      <w:r>
        <w:rPr>
          <w:rFonts w:ascii="Times New Roman" w:cs="Times New Roman" w:eastAsia="Times New Roman" w:hAnsi="Times New Roman"/>
          <w:sz w:val="20"/>
          <w:szCs w:val="20"/>
          <w:color w:val="auto"/>
        </w:rPr>
        <w:t xml:space="preserve">Bayer shall provide written notice to Recursion of any Sublicense with a Third Party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days after entering into such Sublicense along with a copy of such Sublicense, which may be</w:t>
      </w:r>
    </w:p>
    <w:p>
      <w:pPr>
        <w:spacing w:after="0" w:line="2" w:lineRule="exact"/>
        <w:rPr>
          <w:sz w:val="20"/>
          <w:szCs w:val="20"/>
          <w:color w:val="auto"/>
        </w:rPr>
      </w:pPr>
    </w:p>
    <w:p>
      <w:pPr>
        <w:ind w:left="3192"/>
        <w:spacing w:after="0" w:line="215" w:lineRule="auto"/>
        <w:rPr>
          <w:sz w:val="20"/>
          <w:szCs w:val="20"/>
          <w:color w:val="auto"/>
        </w:rPr>
      </w:pPr>
      <w:r>
        <w:rPr>
          <w:rFonts w:ascii="Times New Roman" w:cs="Times New Roman" w:eastAsia="Times New Roman" w:hAnsi="Times New Roman"/>
          <w:sz w:val="19"/>
          <w:szCs w:val="19"/>
          <w:color w:val="auto"/>
        </w:rPr>
        <w:t>redacted to remove any provisions not necessary to determine compliance with this Agreement, provided, however, that this requirement shall not apply when no commercialization rights are being</w:t>
      </w:r>
    </w:p>
    <w:p>
      <w:pPr>
        <w:ind w:left="3192"/>
        <w:spacing w:after="0"/>
        <w:rPr>
          <w:sz w:val="20"/>
          <w:szCs w:val="20"/>
          <w:color w:val="auto"/>
        </w:rPr>
      </w:pPr>
      <w:r>
        <w:rPr>
          <w:rFonts w:ascii="Times New Roman" w:cs="Times New Roman" w:eastAsia="Times New Roman" w:hAnsi="Times New Roman"/>
          <w:sz w:val="20"/>
          <w:szCs w:val="20"/>
          <w:color w:val="auto"/>
        </w:rPr>
        <w:t>granted to the Licensed Rights.</w:t>
      </w:r>
    </w:p>
    <w:p>
      <w:pPr>
        <w:spacing w:after="0" w:line="167" w:lineRule="exact"/>
        <w:rPr>
          <w:sz w:val="20"/>
          <w:szCs w:val="20"/>
          <w:color w:val="auto"/>
        </w:rPr>
      </w:pPr>
    </w:p>
    <w:p>
      <w:pPr>
        <w:ind w:left="3192"/>
        <w:spacing w:after="0" w:line="233" w:lineRule="auto"/>
        <w:rPr>
          <w:sz w:val="20"/>
          <w:szCs w:val="20"/>
          <w:color w:val="auto"/>
        </w:rPr>
      </w:pPr>
      <w:r>
        <w:rPr>
          <w:rFonts w:ascii="Times New Roman" w:cs="Times New Roman" w:eastAsia="Times New Roman" w:hAnsi="Times New Roman"/>
          <w:sz w:val="20"/>
          <w:szCs w:val="20"/>
          <w:color w:val="auto"/>
        </w:rPr>
        <w:t>Bayer agrees to be fully responsible for the performance of Sublicensees hereunder, including acts and omissions of same.</w:t>
      </w:r>
    </w:p>
    <w:p>
      <w:pPr>
        <w:spacing w:after="0" w:line="161" w:lineRule="exact"/>
        <w:rPr>
          <w:sz w:val="20"/>
          <w:szCs w:val="20"/>
          <w:color w:val="auto"/>
        </w:rPr>
      </w:pPr>
    </w:p>
    <w:p>
      <w:pPr>
        <w:ind w:left="3192"/>
        <w:spacing w:after="0" w:line="233" w:lineRule="auto"/>
        <w:rPr>
          <w:sz w:val="20"/>
          <w:szCs w:val="20"/>
          <w:color w:val="auto"/>
        </w:rPr>
      </w:pPr>
      <w:r>
        <w:rPr>
          <w:rFonts w:ascii="Times New Roman" w:cs="Times New Roman" w:eastAsia="Times New Roman" w:hAnsi="Times New Roman"/>
          <w:sz w:val="20"/>
          <w:szCs w:val="20"/>
          <w:color w:val="auto"/>
        </w:rPr>
        <w:t>Bayer’s obligation to meet the requirements of Section 5.1 of this Agreement shall not be waived by the grant of any Sublicense.</w:t>
      </w:r>
    </w:p>
    <w:p>
      <w:pPr>
        <w:spacing w:after="0" w:line="161" w:lineRule="exact"/>
        <w:rPr>
          <w:sz w:val="20"/>
          <w:szCs w:val="20"/>
          <w:color w:val="auto"/>
        </w:rPr>
      </w:pPr>
    </w:p>
    <w:p>
      <w:pPr>
        <w:ind w:left="2552"/>
        <w:spacing w:after="0"/>
        <w:rPr>
          <w:sz w:val="20"/>
          <w:szCs w:val="20"/>
          <w:color w:val="auto"/>
        </w:rPr>
      </w:pPr>
      <w:r>
        <w:rPr>
          <w:rFonts w:ascii="Times New Roman" w:cs="Times New Roman" w:eastAsia="Times New Roman" w:hAnsi="Times New Roman"/>
          <w:sz w:val="19"/>
          <w:szCs w:val="19"/>
          <w:color w:val="auto"/>
        </w:rPr>
        <w:t>2.1.4.3 For the avoidance of doubt, this Section 2.1.4 shall not limit Bayer’s right to grant sublicenses within</w:t>
      </w:r>
    </w:p>
    <w:p>
      <w:pPr>
        <w:spacing w:after="0" w:line="6" w:lineRule="exact"/>
        <w:rPr>
          <w:sz w:val="20"/>
          <w:szCs w:val="20"/>
          <w:color w:val="auto"/>
        </w:rPr>
      </w:pPr>
    </w:p>
    <w:p>
      <w:pPr>
        <w:ind w:left="3192"/>
        <w:spacing w:after="0" w:line="204" w:lineRule="auto"/>
        <w:rPr>
          <w:sz w:val="20"/>
          <w:szCs w:val="20"/>
          <w:color w:val="auto"/>
        </w:rPr>
      </w:pPr>
      <w:r>
        <w:rPr>
          <w:rFonts w:ascii="Times New Roman" w:cs="Times New Roman" w:eastAsia="Times New Roman" w:hAnsi="Times New Roman"/>
          <w:sz w:val="20"/>
          <w:szCs w:val="20"/>
          <w:color w:val="auto"/>
        </w:rPr>
        <w:t>the scope of the license grant in Sections 2.1.1 through 2.1.2 to Third Parties who do not fall under the definition of a Sublicensee respectively (e.g. if sublicenses granted to such Sublicensees are</w:t>
      </w:r>
    </w:p>
    <w:p>
      <w:pPr>
        <w:ind w:left="3192"/>
        <w:spacing w:after="0" w:line="211" w:lineRule="auto"/>
        <w:rPr>
          <w:sz w:val="20"/>
          <w:szCs w:val="20"/>
          <w:color w:val="auto"/>
        </w:rPr>
      </w:pPr>
      <w:r>
        <w:rPr>
          <w:rFonts w:ascii="Times New Roman" w:cs="Times New Roman" w:eastAsia="Times New Roman" w:hAnsi="Times New Roman"/>
          <w:sz w:val="20"/>
          <w:szCs w:val="20"/>
          <w:color w:val="auto"/>
        </w:rPr>
        <w:t>granted for distribution or manufacturing agreements or other agreements by which Bayer or an</w:t>
      </w:r>
    </w:p>
    <w:p>
      <w:pPr>
        <w:spacing w:after="0" w:line="1" w:lineRule="exact"/>
        <w:rPr>
          <w:sz w:val="20"/>
          <w:szCs w:val="20"/>
          <w:color w:val="auto"/>
        </w:rPr>
      </w:pPr>
    </w:p>
    <w:p>
      <w:pPr>
        <w:ind w:left="3192"/>
        <w:spacing w:after="0" w:line="215" w:lineRule="auto"/>
        <w:rPr>
          <w:sz w:val="20"/>
          <w:szCs w:val="20"/>
          <w:color w:val="auto"/>
        </w:rPr>
      </w:pPr>
      <w:r>
        <w:rPr>
          <w:rFonts w:ascii="Times New Roman" w:cs="Times New Roman" w:eastAsia="Times New Roman" w:hAnsi="Times New Roman"/>
          <w:sz w:val="19"/>
          <w:szCs w:val="19"/>
          <w:color w:val="auto"/>
        </w:rPr>
        <w:t>Affiliate exercises its right to have done research on, have developed, have made, or have sold, Products in the Field in the Territory for Bayer or the Affiliate or if sublicenses are granted by Bayer</w:t>
      </w:r>
    </w:p>
    <w:p>
      <w:pPr>
        <w:ind w:left="3192"/>
        <w:spacing w:after="0" w:line="228" w:lineRule="auto"/>
        <w:rPr>
          <w:sz w:val="20"/>
          <w:szCs w:val="20"/>
          <w:color w:val="auto"/>
        </w:rPr>
      </w:pPr>
      <w:r>
        <w:rPr>
          <w:rFonts w:ascii="Times New Roman" w:cs="Times New Roman" w:eastAsia="Times New Roman" w:hAnsi="Times New Roman"/>
          <w:sz w:val="20"/>
          <w:szCs w:val="20"/>
          <w:color w:val="auto"/>
        </w:rPr>
        <w:t>or an Affiliate to Third Parties solely for joint research and development activities between Bayer or its Affiliates and such Third Parties).</w:t>
      </w:r>
    </w:p>
    <w:p>
      <w:pPr>
        <w:spacing w:after="0" w:line="158" w:lineRule="exact"/>
        <w:rPr>
          <w:sz w:val="20"/>
          <w:szCs w:val="20"/>
          <w:color w:val="auto"/>
        </w:rPr>
      </w:pPr>
    </w:p>
    <w:p>
      <w:pPr>
        <w:ind w:left="652" w:hanging="652"/>
        <w:spacing w:after="0"/>
        <w:tabs>
          <w:tab w:leader="none" w:pos="652"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OPTION EXERCISE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32"/>
          </w:cols>
          <w:pgMar w:left="328" w:top="1440" w:right="339" w:bottom="1440" w:gutter="0" w:footer="0" w:header="0"/>
        </w:sectPr>
      </w:pPr>
    </w:p>
    <w:bookmarkStart w:id="274" w:name="page275"/>
    <w:bookmarkEnd w:id="274"/>
    <w:p>
      <w:pPr>
        <w:spacing w:after="0" w:line="200" w:lineRule="exact"/>
        <w:rPr>
          <w:sz w:val="20"/>
          <w:szCs w:val="20"/>
          <w:color w:val="auto"/>
        </w:rPr>
      </w:pPr>
    </w:p>
    <w:p>
      <w:pPr>
        <w:spacing w:after="0" w:line="348"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In consideration for Bayer’s exercise of the Option according to Section 8 of the Collaboration Agreement with regard to the</w:t>
      </w:r>
    </w:p>
    <w:p>
      <w:pPr>
        <w:ind w:left="1292"/>
        <w:spacing w:after="0" w:line="204" w:lineRule="auto"/>
        <w:rPr>
          <w:sz w:val="20"/>
          <w:szCs w:val="20"/>
          <w:color w:val="auto"/>
        </w:rPr>
      </w:pPr>
      <w:r>
        <w:rPr>
          <w:rFonts w:ascii="Times New Roman" w:cs="Times New Roman" w:eastAsia="Times New Roman" w:hAnsi="Times New Roman"/>
          <w:sz w:val="20"/>
          <w:szCs w:val="20"/>
          <w:color w:val="auto"/>
        </w:rPr>
        <w:t xml:space="preserve">respective Lead Series and the execution of this Agreement, and as consideration for the licenses granted by Recursion to Bayer under Section 2.1 of this Agreement, Bayer shall pay Recursion an “Option Exercise Fee” of </w:t>
      </w:r>
      <w:r>
        <w:rPr>
          <w:rFonts w:ascii="Arial" w:cs="Arial" w:eastAsia="Arial" w:hAnsi="Arial"/>
          <w:sz w:val="17"/>
          <w:szCs w:val="17"/>
          <w:b w:val="1"/>
          <w:bCs w:val="1"/>
          <w:color w:val="auto"/>
        </w:rPr>
        <w:t>[***]</w:t>
      </w:r>
      <w:r>
        <w:rPr>
          <w:rFonts w:ascii="Times New Roman" w:cs="Times New Roman" w:eastAsia="Times New Roman" w:hAnsi="Times New Roman"/>
          <w:sz w:val="20"/>
          <w:szCs w:val="20"/>
          <w:color w:val="auto"/>
        </w:rPr>
        <w:t xml:space="preserve"> within </w:t>
      </w:r>
      <w:r>
        <w:rPr>
          <w:rFonts w:ascii="Arial" w:cs="Arial" w:eastAsia="Arial" w:hAnsi="Arial"/>
          <w:sz w:val="17"/>
          <w:szCs w:val="17"/>
          <w:b w:val="1"/>
          <w:bCs w:val="1"/>
          <w:color w:val="auto"/>
        </w:rPr>
        <w:t>[***]</w:t>
      </w:r>
      <w:r>
        <w:rPr>
          <w:rFonts w:ascii="Times New Roman" w:cs="Times New Roman" w:eastAsia="Times New Roman" w:hAnsi="Times New Roman"/>
          <w:sz w:val="20"/>
          <w:szCs w:val="20"/>
          <w:color w:val="auto"/>
        </w:rPr>
        <w:t xml:space="preserve"> days</w:t>
      </w:r>
    </w:p>
    <w:p>
      <w:pPr>
        <w:spacing w:after="0" w:line="1"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after receipt of a correct invoice that is compliant with the Applicable Law.</w:t>
      </w:r>
    </w:p>
    <w:p>
      <w:pPr>
        <w:spacing w:after="0" w:line="167" w:lineRule="exact"/>
        <w:rPr>
          <w:sz w:val="20"/>
          <w:szCs w:val="20"/>
          <w:color w:val="auto"/>
        </w:rPr>
      </w:pPr>
    </w:p>
    <w:p>
      <w:pPr>
        <w:jc w:val="right"/>
        <w:ind w:left="652"/>
        <w:spacing w:after="0" w:line="23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No Multiple Payments</w:t>
      </w:r>
      <w:r>
        <w:rPr>
          <w:rFonts w:ascii="Times New Roman" w:cs="Times New Roman" w:eastAsia="Times New Roman" w:hAnsi="Times New Roman"/>
          <w:sz w:val="20"/>
          <w:szCs w:val="20"/>
          <w:color w:val="auto"/>
        </w:rPr>
        <w:t>. For the avoidance of doubt only one Option Exercise Fee payment shall be made for each respective Lead Series (including potential back up compounds) and only if Bayer exercised the Option for such respective Lead Series.</w:t>
      </w:r>
    </w:p>
    <w:p>
      <w:pPr>
        <w:spacing w:after="0" w:line="197" w:lineRule="exact"/>
        <w:rPr>
          <w:sz w:val="20"/>
          <w:szCs w:val="20"/>
          <w:color w:val="auto"/>
        </w:rPr>
      </w:pPr>
    </w:p>
    <w:p>
      <w:pPr>
        <w:ind w:left="652" w:hanging="652"/>
        <w:spacing w:after="0"/>
        <w:tabs>
          <w:tab w:leader="none" w:pos="652"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MILESTONE PAYMENTS</w:t>
      </w:r>
    </w:p>
    <w:p>
      <w:pPr>
        <w:spacing w:after="0" w:line="169"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4.1</w:t>
      </w:r>
      <w:r>
        <w:rPr>
          <w:rFonts w:ascii="Times New Roman" w:cs="Times New Roman" w:eastAsia="Times New Roman" w:hAnsi="Times New Roman"/>
          <w:sz w:val="19"/>
          <w:szCs w:val="19"/>
          <w:u w:val="single" w:color="auto"/>
          <w:color w:val="auto"/>
        </w:rPr>
        <w:t>Development Milestones for Project Products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292"/>
        <w:spacing w:after="0" w:line="215" w:lineRule="auto"/>
        <w:rPr>
          <w:sz w:val="20"/>
          <w:szCs w:val="20"/>
          <w:color w:val="auto"/>
        </w:rPr>
      </w:pPr>
      <w:r>
        <w:rPr>
          <w:rFonts w:ascii="Times New Roman" w:cs="Times New Roman" w:eastAsia="Times New Roman" w:hAnsi="Times New Roman"/>
          <w:sz w:val="20"/>
          <w:szCs w:val="20"/>
          <w:color w:val="auto"/>
        </w:rPr>
        <w:t>Bayer will pay Recursion the amounts listed in the table below based on the achievement of the first Project Product of the respective milestone, by Bayer or any of its Affiliates or Sublicensees, whereby each milestone shall be payable only once</w:t>
      </w:r>
    </w:p>
    <w:p>
      <w:pPr>
        <w:spacing w:after="0" w:line="1"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upon its first occurrence. All amounts below are in USD million (M USD, where M = 1,000,000).</w:t>
      </w:r>
    </w:p>
    <w:p>
      <w:pPr>
        <w:spacing w:after="0" w:line="210" w:lineRule="exact"/>
        <w:rPr>
          <w:sz w:val="20"/>
          <w:szCs w:val="20"/>
          <w:color w:val="auto"/>
        </w:rPr>
      </w:pPr>
    </w:p>
    <w:tbl>
      <w:tblPr>
        <w:tblLayout w:type="fixed"/>
        <w:tblInd w:w="922" w:type="dxa"/>
        <w:tblCellMar>
          <w:top w:w="0" w:type="dxa"/>
          <w:left w:w="0" w:type="dxa"/>
          <w:bottom w:w="0" w:type="dxa"/>
          <w:right w:w="0" w:type="dxa"/>
        </w:tblCellMar>
      </w:tblPr>
      <w:tr>
        <w:trPr>
          <w:trHeight w:val="270"/>
        </w:trPr>
        <w:tc>
          <w:tcPr>
            <w:tcW w:w="4640" w:type="dxa"/>
            <w:vAlign w:val="bottom"/>
            <w:tcBorders>
              <w:top w:val="single" w:sz="8" w:color="auto"/>
              <w:left w:val="single" w:sz="8" w:color="auto"/>
              <w:bottom w:val="single" w:sz="8" w:color="auto"/>
              <w:right w:val="single" w:sz="8" w:color="auto"/>
            </w:tcBorders>
            <w:gridSpan w:val="2"/>
          </w:tcPr>
          <w:p>
            <w:pPr>
              <w:jc w:val="right"/>
              <w:ind w:right="2150"/>
              <w:spacing w:after="0"/>
              <w:rPr>
                <w:sz w:val="20"/>
                <w:szCs w:val="20"/>
                <w:color w:val="auto"/>
              </w:rPr>
            </w:pPr>
            <w:r>
              <w:rPr>
                <w:rFonts w:ascii="Times New Roman" w:cs="Times New Roman" w:eastAsia="Times New Roman" w:hAnsi="Times New Roman"/>
                <w:sz w:val="20"/>
                <w:szCs w:val="20"/>
                <w:b w:val="1"/>
                <w:bCs w:val="1"/>
                <w:i w:val="1"/>
                <w:iCs w:val="1"/>
                <w:color w:val="auto"/>
                <w:w w:val="99"/>
              </w:rPr>
              <w:t>Development milestone event</w:t>
            </w:r>
          </w:p>
        </w:tc>
        <w:tc>
          <w:tcPr>
            <w:tcW w:w="4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Development milestone payment</w:t>
            </w:r>
          </w:p>
        </w:tc>
      </w:tr>
      <w:tr>
        <w:trPr>
          <w:trHeight w:val="250"/>
        </w:trPr>
        <w:tc>
          <w:tcPr>
            <w:tcW w:w="5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6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6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6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6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6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60" w:type="dxa"/>
            <w:vAlign w:val="bottom"/>
            <w:tcBorders>
              <w:bottom w:val="single" w:sz="8" w:color="auto"/>
              <w:right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61" w:lineRule="exact"/>
        <w:rPr>
          <w:sz w:val="20"/>
          <w:szCs w:val="20"/>
          <w:color w:val="auto"/>
        </w:rPr>
      </w:pPr>
    </w:p>
    <w:p>
      <w:pPr>
        <w:ind w:left="1292"/>
        <w:spacing w:after="0" w:line="234" w:lineRule="auto"/>
        <w:rPr>
          <w:sz w:val="20"/>
          <w:szCs w:val="20"/>
          <w:color w:val="auto"/>
        </w:rPr>
      </w:pPr>
      <w:r>
        <w:rPr>
          <w:rFonts w:ascii="Times New Roman" w:cs="Times New Roman" w:eastAsia="Times New Roman" w:hAnsi="Times New Roman"/>
          <w:sz w:val="19"/>
          <w:szCs w:val="19"/>
          <w:color w:val="auto"/>
        </w:rPr>
        <w:t>If any of the development milestone events set forth in rows (1)-(3) of the chart above is achieved for a Project Product, each development milestone event in a higher row not previously achieved shall be deemed achieved upon achievement of such</w:t>
      </w:r>
    </w:p>
    <w:p>
      <w:pPr>
        <w:spacing w:after="0" w:line="1" w:lineRule="exact"/>
        <w:rPr>
          <w:sz w:val="20"/>
          <w:szCs w:val="20"/>
          <w:color w:val="auto"/>
        </w:rPr>
      </w:pPr>
    </w:p>
    <w:p>
      <w:pPr>
        <w:ind w:left="1292"/>
        <w:spacing w:after="0" w:line="215" w:lineRule="auto"/>
        <w:rPr>
          <w:sz w:val="20"/>
          <w:szCs w:val="20"/>
          <w:color w:val="auto"/>
        </w:rPr>
      </w:pPr>
      <w:r>
        <w:rPr>
          <w:rFonts w:ascii="Times New Roman" w:cs="Times New Roman" w:eastAsia="Times New Roman" w:hAnsi="Times New Roman"/>
          <w:sz w:val="19"/>
          <w:szCs w:val="19"/>
          <w:color w:val="auto"/>
        </w:rPr>
        <w:t>development milestone event in a lower row. If any of the development milestone events set forth in rows (4)-(6) of the chart above is achieved prior to the achievement of any development milestone event set forth in rows (1)-(3), each development</w:t>
      </w:r>
    </w:p>
    <w:p>
      <w:pPr>
        <w:ind w:left="1292"/>
        <w:spacing w:after="0" w:line="228" w:lineRule="auto"/>
        <w:rPr>
          <w:sz w:val="20"/>
          <w:szCs w:val="20"/>
          <w:color w:val="auto"/>
        </w:rPr>
      </w:pPr>
      <w:r>
        <w:rPr>
          <w:rFonts w:ascii="Times New Roman" w:cs="Times New Roman" w:eastAsia="Times New Roman" w:hAnsi="Times New Roman"/>
          <w:sz w:val="20"/>
          <w:szCs w:val="20"/>
          <w:color w:val="auto"/>
        </w:rPr>
        <w:t>milestone event in rows (1)-(3) not previously achieved shall be deemed achieved upon achievement of such development milestone event set forth in row (4), (5) or (6).</w:t>
      </w:r>
    </w:p>
    <w:p>
      <w:pPr>
        <w:spacing w:after="0" w:line="149"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Sales Milestones for Project Products.</w:t>
      </w:r>
    </w:p>
    <w:p>
      <w:pPr>
        <w:spacing w:after="0" w:line="189" w:lineRule="exact"/>
        <w:rPr>
          <w:sz w:val="20"/>
          <w:szCs w:val="20"/>
          <w:color w:val="auto"/>
        </w:rPr>
      </w:pPr>
    </w:p>
    <w:p>
      <w:pPr>
        <w:ind w:left="1292"/>
        <w:spacing w:after="0" w:line="213" w:lineRule="auto"/>
        <w:rPr>
          <w:sz w:val="20"/>
          <w:szCs w:val="20"/>
          <w:color w:val="auto"/>
        </w:rPr>
      </w:pPr>
      <w:r>
        <w:rPr>
          <w:rFonts w:ascii="Times New Roman" w:cs="Times New Roman" w:eastAsia="Times New Roman" w:hAnsi="Times New Roman"/>
          <w:sz w:val="20"/>
          <w:szCs w:val="20"/>
          <w:color w:val="auto"/>
        </w:rPr>
        <w:t>Bayer shall pay Recursion upon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occurrence of global cumulative Net Sales of all Project Products in the Field in the Territory, the amounts indicated in the below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32"/>
          </w:cols>
          <w:pgMar w:left="328" w:top="1440" w:right="339" w:bottom="1440" w:gutter="0" w:footer="0" w:header="0"/>
        </w:sectPr>
      </w:pPr>
    </w:p>
    <w:bookmarkStart w:id="275" w:name="page276"/>
    <w:bookmarkEnd w:id="275"/>
    <w:p>
      <w:pPr>
        <w:spacing w:after="0" w:line="200" w:lineRule="exact"/>
        <w:rPr>
          <w:sz w:val="20"/>
          <w:szCs w:val="20"/>
          <w:color w:val="auto"/>
        </w:rPr>
      </w:pPr>
    </w:p>
    <w:p>
      <w:pPr>
        <w:spacing w:after="0" w:line="35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For the avoidance of doubt “global cumulative Net Sales” means worldwide Net Sales of Project Products in a given Calendar Year. All amounts below are in USD million (M USD, where M = 1,000,000).</w:t>
      </w:r>
    </w:p>
    <w:p>
      <w:pPr>
        <w:spacing w:after="0" w:line="191" w:lineRule="exact"/>
        <w:rPr>
          <w:sz w:val="20"/>
          <w:szCs w:val="20"/>
          <w:color w:val="auto"/>
        </w:rPr>
      </w:pPr>
    </w:p>
    <w:tbl>
      <w:tblPr>
        <w:tblLayout w:type="fixed"/>
        <w:tblInd w:w="922" w:type="dxa"/>
        <w:tblCellMar>
          <w:top w:w="0" w:type="dxa"/>
          <w:left w:w="0" w:type="dxa"/>
          <w:bottom w:w="0" w:type="dxa"/>
          <w:right w:w="0" w:type="dxa"/>
        </w:tblCellMar>
      </w:tblPr>
      <w:tr>
        <w:trPr>
          <w:trHeight w:val="203"/>
        </w:trPr>
        <w:tc>
          <w:tcPr>
            <w:tcW w:w="4640" w:type="dxa"/>
            <w:vAlign w:val="bottom"/>
            <w:tcBorders>
              <w:top w:val="single" w:sz="8" w:color="auto"/>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b w:val="1"/>
                <w:bCs w:val="1"/>
                <w:i w:val="1"/>
                <w:iCs w:val="1"/>
                <w:color w:val="auto"/>
              </w:rPr>
              <w:t>Sales milestone event for first occurrence of global</w:t>
            </w:r>
          </w:p>
        </w:tc>
        <w:tc>
          <w:tcPr>
            <w:tcW w:w="46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Sales milestone payment</w:t>
            </w:r>
          </w:p>
        </w:tc>
        <w:tc>
          <w:tcPr>
            <w:tcW w:w="0" w:type="dxa"/>
            <w:vAlign w:val="bottom"/>
          </w:tcPr>
          <w:p>
            <w:pPr>
              <w:spacing w:after="0"/>
              <w:rPr>
                <w:sz w:val="1"/>
                <w:szCs w:val="1"/>
                <w:color w:val="auto"/>
              </w:rPr>
            </w:pPr>
          </w:p>
        </w:tc>
      </w:tr>
      <w:tr>
        <w:trPr>
          <w:trHeight w:val="154"/>
        </w:trPr>
        <w:tc>
          <w:tcPr>
            <w:tcW w:w="46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cumulative Net Sales exceeds</w:t>
            </w:r>
          </w:p>
        </w:tc>
        <w:tc>
          <w:tcPr>
            <w:tcW w:w="4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6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4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9"/>
          <w:szCs w:val="19"/>
          <w:color w:val="auto"/>
        </w:rPr>
        <w:t>For the avoidance of doubt, if more than one sales milestone event is achieved in a Calendar Year, Bayer shall pay each sales</w:t>
      </w:r>
    </w:p>
    <w:p>
      <w:pPr>
        <w:spacing w:after="0" w:line="6" w:lineRule="exact"/>
        <w:rPr>
          <w:sz w:val="20"/>
          <w:szCs w:val="20"/>
          <w:color w:val="auto"/>
        </w:rPr>
      </w:pPr>
    </w:p>
    <w:p>
      <w:pPr>
        <w:ind w:left="1292" w:right="20"/>
        <w:spacing w:after="0" w:line="221" w:lineRule="auto"/>
        <w:rPr>
          <w:sz w:val="20"/>
          <w:szCs w:val="20"/>
          <w:color w:val="auto"/>
        </w:rPr>
      </w:pPr>
      <w:r>
        <w:rPr>
          <w:rFonts w:ascii="Times New Roman" w:cs="Times New Roman" w:eastAsia="Times New Roman" w:hAnsi="Times New Roman"/>
          <w:sz w:val="20"/>
          <w:szCs w:val="20"/>
          <w:color w:val="auto"/>
        </w:rPr>
        <w:t>milestone payment associated with each sales milestone event achieved during such Calendar Year after the end of such Calendar Year in accordance with Section 7.</w:t>
      </w:r>
    </w:p>
    <w:p>
      <w:pPr>
        <w:spacing w:after="0" w:line="158"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Milestones for Enabled Products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i w:val="1"/>
          <w:iCs w:val="1"/>
          <w:color w:val="auto"/>
        </w:rPr>
        <w:t>To be negotiated prior to execution of the license agreement,</w:t>
      </w:r>
      <w:r>
        <w:rPr>
          <w:rFonts w:ascii="Times New Roman" w:cs="Times New Roman" w:eastAsia="Times New Roman" w:hAnsi="Times New Roman"/>
          <w:sz w:val="19"/>
          <w:szCs w:val="19"/>
          <w:u w:val="single" w:color="auto"/>
          <w:color w:val="auto"/>
        </w:rPr>
        <w:t xml:space="preserve"> </w:t>
      </w:r>
      <w:r>
        <w:rPr>
          <w:rFonts w:ascii="Arial" w:cs="Arial" w:eastAsia="Arial" w:hAnsi="Arial"/>
          <w:sz w:val="16"/>
          <w:szCs w:val="16"/>
          <w:color w:val="auto"/>
        </w:rPr>
        <w:t>[***]</w:t>
      </w:r>
      <w:r>
        <w:rPr>
          <w:rFonts w:ascii="Times New Roman" w:cs="Times New Roman" w:eastAsia="Times New Roman" w:hAnsi="Times New Roman"/>
          <w:sz w:val="19"/>
          <w:szCs w:val="19"/>
          <w:i w:val="1"/>
          <w:iCs w:val="1"/>
          <w:color w:val="auto"/>
        </w:rPr>
        <w:t>.</w:t>
      </w:r>
    </w:p>
    <w:p>
      <w:pPr>
        <w:spacing w:after="0" w:line="193" w:lineRule="exact"/>
        <w:rPr>
          <w:sz w:val="20"/>
          <w:szCs w:val="20"/>
          <w:color w:val="auto"/>
        </w:rPr>
      </w:pPr>
    </w:p>
    <w:p>
      <w:pPr>
        <w:jc w:val="right"/>
        <w:ind w:left="652"/>
        <w:spacing w:after="0" w:line="215"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No Multiple Payments</w:t>
      </w:r>
      <w:r>
        <w:rPr>
          <w:rFonts w:ascii="Times New Roman" w:cs="Times New Roman" w:eastAsia="Times New Roman" w:hAnsi="Times New Roman"/>
          <w:sz w:val="20"/>
          <w:szCs w:val="20"/>
          <w:color w:val="auto"/>
        </w:rPr>
        <w:t>. For the avoidance of doubt no milestone payment shall be made more than once, irrespective of the number of Products (including combinations with other products) or the number of indications that have achieved the</w:t>
      </w:r>
    </w:p>
    <w:p>
      <w:pPr>
        <w:spacing w:after="0" w:line="1"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milestone or the number of countries in which such milestone has been achieved.</w:t>
      </w:r>
    </w:p>
    <w:p>
      <w:pPr>
        <w:spacing w:after="0" w:line="167" w:lineRule="exact"/>
        <w:rPr>
          <w:sz w:val="20"/>
          <w:szCs w:val="20"/>
          <w:color w:val="auto"/>
        </w:rPr>
      </w:pPr>
    </w:p>
    <w:p>
      <w:pPr>
        <w:jc w:val="right"/>
        <w:ind w:left="652"/>
        <w:spacing w:after="0" w:line="215"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Reporting on Milestone Achievement and Payment</w:t>
      </w:r>
      <w:r>
        <w:rPr>
          <w:rFonts w:ascii="Times New Roman" w:cs="Times New Roman" w:eastAsia="Times New Roman" w:hAnsi="Times New Roman"/>
          <w:sz w:val="20"/>
          <w:szCs w:val="20"/>
          <w:color w:val="auto"/>
        </w:rPr>
        <w:t xml:space="preserve">. Bayer shall provide written notice to Recursion of any occurrence of any of the Development Milestones set forth in Section 4.1 no later than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calendar days following the occurrence of the</w:t>
      </w:r>
    </w:p>
    <w:p>
      <w:pPr>
        <w:ind w:left="1292"/>
        <w:spacing w:after="0" w:line="212" w:lineRule="auto"/>
        <w:rPr>
          <w:sz w:val="20"/>
          <w:szCs w:val="20"/>
          <w:color w:val="auto"/>
        </w:rPr>
      </w:pPr>
      <w:r>
        <w:rPr>
          <w:rFonts w:ascii="Times New Roman" w:cs="Times New Roman" w:eastAsia="Times New Roman" w:hAnsi="Times New Roman"/>
          <w:sz w:val="20"/>
          <w:szCs w:val="20"/>
          <w:color w:val="auto"/>
        </w:rPr>
        <w:t>relevant milestone. The Sales Milestones set forth in Section 4.2 shall be reported to Recursion within the Quarterly Report</w:t>
      </w:r>
    </w:p>
    <w:p>
      <w:pPr>
        <w:spacing w:after="0" w:line="1" w:lineRule="exact"/>
        <w:rPr>
          <w:sz w:val="20"/>
          <w:szCs w:val="20"/>
          <w:color w:val="auto"/>
        </w:rPr>
      </w:pPr>
    </w:p>
    <w:p>
      <w:pPr>
        <w:ind w:left="1292"/>
        <w:spacing w:after="0" w:line="221" w:lineRule="auto"/>
        <w:rPr>
          <w:sz w:val="20"/>
          <w:szCs w:val="20"/>
          <w:color w:val="auto"/>
        </w:rPr>
      </w:pPr>
      <w:r>
        <w:rPr>
          <w:rFonts w:ascii="Times New Roman" w:cs="Times New Roman" w:eastAsia="Times New Roman" w:hAnsi="Times New Roman"/>
          <w:sz w:val="20"/>
          <w:szCs w:val="20"/>
          <w:color w:val="auto"/>
        </w:rPr>
        <w:t>(see Section 6.5) of the respective Calendar Quarter in which the Sales Milestone was met. Bayer shall remit payment for the applicable milestone due pursuant to Section 7.</w:t>
      </w:r>
    </w:p>
    <w:p>
      <w:pPr>
        <w:spacing w:after="0" w:line="174" w:lineRule="exact"/>
        <w:rPr>
          <w:sz w:val="20"/>
          <w:szCs w:val="20"/>
          <w:color w:val="auto"/>
        </w:rPr>
      </w:pPr>
    </w:p>
    <w:p>
      <w:pPr>
        <w:ind w:left="652" w:hanging="652"/>
        <w:spacing w:after="0"/>
        <w:tabs>
          <w:tab w:leader="none" w:pos="652"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DILIGENCE EFFORTS</w:t>
      </w:r>
    </w:p>
    <w:p>
      <w:pPr>
        <w:ind w:left="1292" w:hanging="648"/>
        <w:spacing w:after="0" w:line="21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5.1</w:t>
      </w:r>
      <w:r>
        <w:rPr>
          <w:rFonts w:ascii="Times New Roman" w:cs="Times New Roman" w:eastAsia="Times New Roman" w:hAnsi="Times New Roman"/>
          <w:sz w:val="20"/>
          <w:szCs w:val="20"/>
          <w:u w:val="single" w:color="auto"/>
          <w:color w:val="auto"/>
        </w:rPr>
        <w:t>Diligence Efforts</w:t>
      </w:r>
      <w:r>
        <w:rPr>
          <w:rFonts w:ascii="Times New Roman" w:cs="Times New Roman" w:eastAsia="Times New Roman" w:hAnsi="Times New Roman"/>
          <w:sz w:val="20"/>
          <w:szCs w:val="20"/>
          <w:color w:val="auto"/>
        </w:rPr>
        <w:t>. Bayer, acting itself and/or through its Sublicensee, will use Commercially Reasonable Efforts to develop</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and commercialize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Project Product </w:t>
      </w:r>
      <w:r>
        <w:rPr>
          <w:rFonts w:ascii="Arial" w:cs="Arial" w:eastAsia="Arial" w:hAnsi="Arial"/>
          <w:sz w:val="17"/>
          <w:szCs w:val="17"/>
          <w:color w:val="auto"/>
        </w:rPr>
        <w:t>[***]</w:t>
      </w:r>
      <w:r>
        <w:rPr>
          <w:rFonts w:ascii="Times New Roman" w:cs="Times New Roman" w:eastAsia="Times New Roman" w:hAnsi="Times New Roman"/>
          <w:sz w:val="20"/>
          <w:szCs w:val="20"/>
          <w:color w:val="auto"/>
        </w:rPr>
        <w:t>. Bayer shall provide Recursion with annual written reports summarizing Bayer’s, its Affiliates and its Sublicensee’s development and commercialization of Licensed Project Compounds, Derivatives, and Products, including a summary of the development and commercialization activities and progress of such development. Without limiting the foregoing, such reports shall contain sufficient detail to enable Recursion to assess Bayer’s compliance with its obligations hereunder. The reports shall also contain sufficient detail to enable Recursion to assess whether Achievement of Development Candidate Criteria has occurred with respect to any Licensed Project Compound or Derivative or any Product is otherwise selected as a Development Candidate.</w:t>
      </w:r>
    </w:p>
    <w:p>
      <w:pPr>
        <w:spacing w:after="0" w:line="200"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32"/>
          </w:cols>
          <w:pgMar w:left="328" w:top="1440" w:right="339" w:bottom="1440" w:gutter="0" w:footer="0" w:header="0"/>
        </w:sectPr>
      </w:pPr>
    </w:p>
    <w:bookmarkStart w:id="276" w:name="page277"/>
    <w:bookmarkEnd w:id="276"/>
    <w:p>
      <w:pPr>
        <w:spacing w:after="0" w:line="200" w:lineRule="exact"/>
        <w:rPr>
          <w:sz w:val="20"/>
          <w:szCs w:val="20"/>
          <w:color w:val="auto"/>
        </w:rPr>
      </w:pPr>
    </w:p>
    <w:p>
      <w:pPr>
        <w:spacing w:after="0" w:line="354" w:lineRule="exact"/>
        <w:rPr>
          <w:sz w:val="20"/>
          <w:szCs w:val="20"/>
          <w:color w:val="auto"/>
        </w:rPr>
      </w:pPr>
    </w:p>
    <w:p>
      <w:pPr>
        <w:ind w:left="64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u w:val="single" w:color="auto"/>
          <w:color w:val="auto"/>
        </w:rPr>
        <w:t>Royalty Rates for Project Products</w:t>
      </w:r>
      <w:r>
        <w:rPr>
          <w:rFonts w:ascii="Times New Roman" w:cs="Times New Roman" w:eastAsia="Times New Roman" w:hAnsi="Times New Roman"/>
          <w:sz w:val="20"/>
          <w:szCs w:val="20"/>
          <w:color w:val="auto"/>
        </w:rPr>
        <w:t>. Bayer shall pay Recursion a running royalty on the aggregate Net Sales of Project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Products in a Calendar Year, the applicable percent in accordance with the table below:</w:t>
      </w:r>
    </w:p>
    <w:p>
      <w:pPr>
        <w:spacing w:after="0" w:line="191" w:lineRule="exact"/>
        <w:rPr>
          <w:sz w:val="20"/>
          <w:szCs w:val="20"/>
          <w:color w:val="auto"/>
        </w:rPr>
      </w:pPr>
    </w:p>
    <w:tbl>
      <w:tblPr>
        <w:tblLayout w:type="fixed"/>
        <w:tblInd w:w="270" w:type="dxa"/>
        <w:tblCellMar>
          <w:top w:w="0" w:type="dxa"/>
          <w:left w:w="0" w:type="dxa"/>
          <w:bottom w:w="0" w:type="dxa"/>
          <w:right w:w="0" w:type="dxa"/>
        </w:tblCellMar>
      </w:tblPr>
      <w:tr>
        <w:trPr>
          <w:trHeight w:val="270"/>
        </w:trPr>
        <w:tc>
          <w:tcPr>
            <w:tcW w:w="6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Portion of Net Sales During Calendar Year (in USD)</w:t>
            </w:r>
          </w:p>
        </w:tc>
        <w:tc>
          <w:tcPr>
            <w:tcW w:w="32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Royalty Rate (% of Net Sales)</w:t>
            </w:r>
          </w:p>
        </w:tc>
      </w:tr>
      <w:tr>
        <w:trPr>
          <w:trHeight w:val="223"/>
        </w:trPr>
        <w:tc>
          <w:tcPr>
            <w:tcW w:w="6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i w:val="1"/>
          <w:iCs w:val="1"/>
          <w:color w:val="auto"/>
        </w:rPr>
        <w:t>6.2</w:t>
      </w:r>
      <w:r>
        <w:rPr>
          <w:sz w:val="20"/>
          <w:szCs w:val="20"/>
          <w:color w:val="auto"/>
        </w:rPr>
        <w:tab/>
      </w:r>
      <w:r>
        <w:rPr>
          <w:rFonts w:ascii="Times New Roman" w:cs="Times New Roman" w:eastAsia="Times New Roman" w:hAnsi="Times New Roman"/>
          <w:sz w:val="19"/>
          <w:szCs w:val="19"/>
          <w:u w:val="single" w:color="auto"/>
          <w:color w:val="auto"/>
        </w:rPr>
        <w:t>Royalty Rates for Enabled Products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i w:val="1"/>
          <w:iCs w:val="1"/>
          <w:color w:val="auto"/>
        </w:rPr>
        <w:t>To be negotiated prior to execution of the license agreement,</w:t>
      </w:r>
      <w:r>
        <w:rPr>
          <w:rFonts w:ascii="Times New Roman" w:cs="Times New Roman" w:eastAsia="Times New Roman" w:hAnsi="Times New Roman"/>
          <w:sz w:val="19"/>
          <w:szCs w:val="19"/>
          <w:u w:val="single" w:color="auto"/>
          <w:color w:val="auto"/>
        </w:rPr>
        <w:t xml:space="preserve"> </w:t>
      </w:r>
      <w:r>
        <w:rPr>
          <w:rFonts w:ascii="Arial" w:cs="Arial" w:eastAsia="Arial" w:hAnsi="Arial"/>
          <w:sz w:val="16"/>
          <w:szCs w:val="16"/>
          <w:color w:val="auto"/>
        </w:rPr>
        <w:t>[***]</w:t>
      </w:r>
      <w:r>
        <w:rPr>
          <w:rFonts w:ascii="Times New Roman" w:cs="Times New Roman" w:eastAsia="Times New Roman" w:hAnsi="Times New Roman"/>
          <w:sz w:val="19"/>
          <w:szCs w:val="19"/>
          <w:i w:val="1"/>
          <w:iCs w:val="1"/>
          <w:color w:val="auto"/>
        </w:rPr>
        <w:t>.</w:t>
      </w: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For the avoidance of doubt, the aggregate Net Sales value shall be calculated on a Calendar Year basis.</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Royalty Term</w:t>
      </w:r>
      <w:r>
        <w:rPr>
          <w:rFonts w:ascii="Times New Roman" w:cs="Times New Roman" w:eastAsia="Times New Roman" w:hAnsi="Times New Roman"/>
          <w:sz w:val="20"/>
          <w:szCs w:val="20"/>
          <w:color w:val="auto"/>
        </w:rPr>
        <w:t>. Bayer’s obligation to pay royalties to Recursion shall commence, on a Product-by-Product basis and country-by-country basis on the First Commercial Sale of such Product in such country and end on latest of (a) the expiration or</w:t>
      </w:r>
    </w:p>
    <w:p>
      <w:pPr>
        <w:ind w:left="640"/>
        <w:spacing w:after="0" w:line="212" w:lineRule="auto"/>
        <w:rPr>
          <w:sz w:val="20"/>
          <w:szCs w:val="20"/>
          <w:color w:val="auto"/>
        </w:rPr>
      </w:pPr>
      <w:r>
        <w:rPr>
          <w:rFonts w:ascii="Times New Roman" w:cs="Times New Roman" w:eastAsia="Times New Roman" w:hAnsi="Times New Roman"/>
          <w:sz w:val="20"/>
          <w:szCs w:val="20"/>
          <w:color w:val="auto"/>
        </w:rPr>
        <w:t>termination of the last to expire Valid Claim of a Project Patent or Derivative Patent Covering the Product in such country,</w:t>
      </w:r>
    </w:p>
    <w:p>
      <w:pPr>
        <w:spacing w:after="0" w:line="1" w:lineRule="exact"/>
        <w:rPr>
          <w:sz w:val="20"/>
          <w:szCs w:val="20"/>
          <w:color w:val="auto"/>
        </w:rPr>
      </w:pPr>
    </w:p>
    <w:p>
      <w:pPr>
        <w:ind w:left="640" w:firstLine="4"/>
        <w:spacing w:after="0" w:line="221" w:lineRule="auto"/>
        <w:tabs>
          <w:tab w:leader="none" w:pos="9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Regulatory Exclusivity applicable to such Product in such country, and (c) ten (10) years after the First Commercial Sale of such Product in such country (“Royalty Term”).</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Quarterly Royalty Reporting</w:t>
      </w:r>
      <w:r>
        <w:rPr>
          <w:rFonts w:ascii="Times New Roman" w:cs="Times New Roman" w:eastAsia="Times New Roman" w:hAnsi="Times New Roman"/>
          <w:sz w:val="19"/>
          <w:szCs w:val="19"/>
          <w:color w:val="auto"/>
        </w:rPr>
        <w:t>. Starting from the date of First Commercial Sale of a Product in any country, Bayer shall submit</w:t>
      </w: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to Recursion within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after the end of each Calendar Quarter a statement showing the Net Sales for that Calendar Quarter on a country-by-country basis, the total gross amount invoiced from sales of Product by Bayer, its Affiliates and</w:t>
      </w:r>
    </w:p>
    <w:p>
      <w:pPr>
        <w:ind w:left="640"/>
        <w:spacing w:after="0" w:line="211" w:lineRule="auto"/>
        <w:rPr>
          <w:sz w:val="20"/>
          <w:szCs w:val="20"/>
          <w:color w:val="auto"/>
        </w:rPr>
      </w:pPr>
      <w:r>
        <w:rPr>
          <w:rFonts w:ascii="Times New Roman" w:cs="Times New Roman" w:eastAsia="Times New Roman" w:hAnsi="Times New Roman"/>
          <w:sz w:val="20"/>
          <w:szCs w:val="20"/>
          <w:color w:val="auto"/>
        </w:rPr>
        <w:t>Sublicensees, the manner and basis for any currency conversion in accordance with Section 7.4, if any sales milestone event</w:t>
      </w:r>
    </w:p>
    <w:p>
      <w:pPr>
        <w:spacing w:after="0" w:line="1"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is achieved during such Calendar Quarter and the associated royalties due to Recursion (“Quarterly Report”). Recursion may invoice the royalties payable for the Calendar Quarter upon receipt of the respective Quarterly Report.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20"/>
          <w:szCs w:val="20"/>
          <w:u w:val="single" w:color="auto"/>
          <w:color w:val="auto"/>
        </w:rPr>
        <w:t>Compulsory Licenses</w:t>
      </w:r>
      <w:r>
        <w:rPr>
          <w:rFonts w:ascii="Times New Roman" w:cs="Times New Roman" w:eastAsia="Times New Roman" w:hAnsi="Times New Roman"/>
          <w:sz w:val="20"/>
          <w:szCs w:val="20"/>
          <w:color w:val="auto"/>
        </w:rPr>
        <w:t>. In the event that a court or a governmental agency of competent jurisdiction requires Recursion or</w:t>
      </w:r>
    </w:p>
    <w:p>
      <w:pPr>
        <w:ind w:left="640"/>
        <w:spacing w:after="0" w:line="204" w:lineRule="auto"/>
        <w:rPr>
          <w:sz w:val="20"/>
          <w:szCs w:val="20"/>
          <w:color w:val="auto"/>
        </w:rPr>
      </w:pPr>
      <w:r>
        <w:rPr>
          <w:rFonts w:ascii="Times New Roman" w:cs="Times New Roman" w:eastAsia="Times New Roman" w:hAnsi="Times New Roman"/>
          <w:sz w:val="20"/>
          <w:szCs w:val="20"/>
          <w:color w:val="auto"/>
        </w:rPr>
        <w:t>Bayer and/or its Affiliates to grant a compulsory license to a Third Party permitting such Third Party to make and/or sell the Product in a particular country, then the royalties to be paid by Bayer to Recursion on the Net Sales of such Product in such</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country shall automatically be reduced </w:t>
      </w:r>
      <w:r>
        <w:rPr>
          <w:rFonts w:ascii="Arial" w:cs="Arial" w:eastAsia="Arial" w:hAnsi="Arial"/>
          <w:sz w:val="17"/>
          <w:szCs w:val="17"/>
          <w:color w:val="auto"/>
        </w:rPr>
        <w:t>[***]</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Generic Product</w:t>
      </w:r>
      <w:r>
        <w:rPr>
          <w:rFonts w:ascii="Times New Roman" w:cs="Times New Roman" w:eastAsia="Times New Roman" w:hAnsi="Times New Roman"/>
          <w:sz w:val="20"/>
          <w:szCs w:val="20"/>
          <w:color w:val="auto"/>
        </w:rPr>
        <w:t>. If during the Royalty Term, a Third Party receives marketing authorization for and commences commercial sale of a Generic Product in a country in the Territory, and quantities sold of such Generic Product represent a market share</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of </w:t>
      </w:r>
      <w:r>
        <w:rPr>
          <w:rFonts w:ascii="Arial" w:cs="Arial" w:eastAsia="Arial" w:hAnsi="Arial"/>
          <w:sz w:val="16"/>
          <w:szCs w:val="16"/>
          <w:color w:val="auto"/>
        </w:rPr>
        <w:t>[***]</w:t>
      </w:r>
      <w:r>
        <w:rPr>
          <w:rFonts w:ascii="Times New Roman" w:cs="Times New Roman" w:eastAsia="Times New Roman" w:hAnsi="Times New Roman"/>
          <w:sz w:val="19"/>
          <w:szCs w:val="19"/>
          <w:color w:val="auto"/>
        </w:rPr>
        <w:t xml:space="preserve"> of the total market for such Generic Product and the corresponding Product sold during such Calendar Quarter in that country </w:t>
      </w:r>
      <w:r>
        <w:rPr>
          <w:rFonts w:ascii="Arial" w:cs="Arial" w:eastAsia="Arial" w:hAnsi="Arial"/>
          <w:sz w:val="16"/>
          <w:szCs w:val="16"/>
          <w:color w:val="auto"/>
        </w:rPr>
        <w:t>[***]</w:t>
      </w:r>
      <w:r>
        <w:rPr>
          <w:rFonts w:ascii="Times New Roman" w:cs="Times New Roman" w:eastAsia="Times New Roman" w:hAnsi="Times New Roman"/>
          <w:sz w:val="19"/>
          <w:szCs w:val="19"/>
          <w:color w:val="auto"/>
        </w:rPr>
        <w:t>, then Bayer shall have the right to reduce any royalties payable in such country for such Product pursuant to</w:t>
      </w:r>
    </w:p>
    <w:p>
      <w:pPr>
        <w:ind w:left="640"/>
        <w:spacing w:after="0"/>
        <w:rPr>
          <w:sz w:val="20"/>
          <w:szCs w:val="20"/>
          <w:color w:val="auto"/>
        </w:rPr>
      </w:pPr>
      <w:r>
        <w:rPr>
          <w:rFonts w:ascii="Times New Roman" w:cs="Times New Roman" w:eastAsia="Times New Roman" w:hAnsi="Times New Roman"/>
          <w:sz w:val="20"/>
          <w:szCs w:val="20"/>
          <w:color w:val="auto"/>
        </w:rPr>
        <w:t xml:space="preserve">Section 6.1 </w:t>
      </w:r>
      <w:r>
        <w:rPr>
          <w:rFonts w:ascii="Arial" w:cs="Arial" w:eastAsia="Arial" w:hAnsi="Arial"/>
          <w:sz w:val="17"/>
          <w:szCs w:val="17"/>
          <w:color w:val="auto"/>
        </w:rPr>
        <w: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0580"/>
          </w:cols>
          <w:pgMar w:left="980" w:top="1440" w:right="339" w:bottom="1440" w:gutter="0" w:footer="0" w:header="0"/>
        </w:sectPr>
      </w:pPr>
    </w:p>
    <w:bookmarkStart w:id="277" w:name="page278"/>
    <w:bookmarkEnd w:id="277"/>
    <w:p>
      <w:pPr>
        <w:spacing w:after="0" w:line="200" w:lineRule="exact"/>
        <w:rPr>
          <w:sz w:val="20"/>
          <w:szCs w:val="20"/>
          <w:color w:val="auto"/>
        </w:rPr>
      </w:pPr>
    </w:p>
    <w:p>
      <w:pPr>
        <w:spacing w:after="0" w:line="3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Third Party Technology</w:t>
      </w:r>
      <w:r>
        <w:rPr>
          <w:rFonts w:ascii="Times New Roman" w:cs="Times New Roman" w:eastAsia="Times New Roman" w:hAnsi="Times New Roman"/>
          <w:sz w:val="19"/>
          <w:szCs w:val="19"/>
          <w:color w:val="auto"/>
        </w:rPr>
        <w:t>. In the event that Bayer is required to pay Third Party Royalties for the manufacture, use, sale, offer</w:t>
      </w: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 xml:space="preserve">to sell or importation of a particular Product in a country, then the royalty payments made by Bayer to Recursion herein in said country for such Product shall be reduced </w:t>
      </w:r>
      <w:r>
        <w:rPr>
          <w:rFonts w:ascii="Arial" w:cs="Arial" w:eastAsia="Arial" w:hAnsi="Arial"/>
          <w:sz w:val="17"/>
          <w:szCs w:val="17"/>
          <w:color w:val="auto"/>
        </w:rPr>
        <w:t>[***]</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Royalty Floor</w:t>
      </w:r>
      <w:r>
        <w:rPr>
          <w:rFonts w:ascii="Times New Roman" w:cs="Times New Roman" w:eastAsia="Times New Roman" w:hAnsi="Times New Roman"/>
          <w:sz w:val="19"/>
          <w:szCs w:val="19"/>
          <w:color w:val="auto"/>
        </w:rPr>
        <w:t>. In no event will the aggregate amount of royalty payments due to Recursion for a Product in a country in any</w:t>
      </w: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given Calendar Quarter during the Royalty Term for such Product in such country be reduced to less than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percent (</w:t>
      </w:r>
      <w:r>
        <w:rPr>
          <w:rFonts w:ascii="Arial" w:cs="Arial" w:eastAsia="Arial" w:hAnsi="Arial"/>
          <w:sz w:val="17"/>
          <w:szCs w:val="17"/>
          <w:color w:val="auto"/>
        </w:rPr>
        <w:t>[***]</w:t>
      </w:r>
      <w:r>
        <w:rPr>
          <w:rFonts w:ascii="Times New Roman" w:cs="Times New Roman" w:eastAsia="Times New Roman" w:hAnsi="Times New Roman"/>
          <w:sz w:val="20"/>
          <w:szCs w:val="20"/>
          <w:color w:val="auto"/>
        </w:rPr>
        <w:t>%) of the amount that otherwise would have been due and payable to Recursion in such Calendar Quarter for such</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Product in such country pursuant to Section 6.1 as a result of cumulative reductions set forth in Sections 6.7 and 6.8.</w:t>
      </w:r>
    </w:p>
    <w:p>
      <w:pPr>
        <w:spacing w:after="0" w:line="203"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GENERAL FINANCIAL PROVISIONS</w:t>
      </w:r>
    </w:p>
    <w:p>
      <w:pPr>
        <w:spacing w:after="0" w:line="170" w:lineRule="exact"/>
        <w:rPr>
          <w:sz w:val="20"/>
          <w:szCs w:val="20"/>
          <w:color w:val="auto"/>
        </w:rPr>
      </w:pPr>
    </w:p>
    <w:p>
      <w:pPr>
        <w:jc w:val="both"/>
        <w:ind w:left="1300" w:hanging="647"/>
        <w:spacing w:after="0" w:line="233" w:lineRule="auto"/>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u w:val="single" w:color="auto"/>
          <w:color w:val="auto"/>
        </w:rPr>
        <w:t>Payment Terms</w:t>
      </w:r>
      <w:r>
        <w:rPr>
          <w:rFonts w:ascii="Times New Roman" w:cs="Times New Roman" w:eastAsia="Times New Roman" w:hAnsi="Times New Roman"/>
          <w:sz w:val="20"/>
          <w:szCs w:val="20"/>
          <w:color w:val="auto"/>
        </w:rPr>
        <w:t>. Unless otherwise agreed herein, all payments due under this Agreement shall be made within</w:t>
      </w:r>
      <w:r>
        <w:rPr>
          <w:rFonts w:ascii="Times New Roman" w:cs="Times New Roman" w:eastAsia="Times New Roman" w:hAnsi="Times New Roman"/>
          <w:sz w:val="20"/>
          <w:szCs w:val="20"/>
          <w:u w:val="single" w:color="auto"/>
          <w:color w:val="auto"/>
        </w:rPr>
        <w:t xml:space="preserve"> </w:t>
      </w:r>
      <w:r>
        <w:rPr>
          <w:rFonts w:ascii="Arial" w:cs="Arial" w:eastAsia="Arial" w:hAnsi="Arial"/>
          <w:sz w:val="17"/>
          <w:szCs w:val="17"/>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days after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receipt of a correct invoice that is compliant with the Applicable Law.</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Invoicing by Recursion</w:t>
      </w:r>
      <w:r>
        <w:rPr>
          <w:rFonts w:ascii="Times New Roman" w:cs="Times New Roman" w:eastAsia="Times New Roman" w:hAnsi="Times New Roman"/>
          <w:sz w:val="19"/>
          <w:szCs w:val="19"/>
          <w:color w:val="auto"/>
        </w:rPr>
        <w:t>. All invoices shall be sent by Recursion to the following address of Bayer:</w:t>
      </w:r>
    </w:p>
    <w:p>
      <w:pPr>
        <w:spacing w:after="0" w:line="1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Bayer AG</w:t>
      </w:r>
    </w:p>
    <w:p>
      <w:pPr>
        <w:ind w:left="5200"/>
        <w:spacing w:after="0" w:line="211" w:lineRule="auto"/>
        <w:rPr>
          <w:sz w:val="20"/>
          <w:szCs w:val="20"/>
          <w:color w:val="auto"/>
        </w:rPr>
      </w:pPr>
      <w:r>
        <w:rPr>
          <w:rFonts w:ascii="Times New Roman" w:cs="Times New Roman" w:eastAsia="Times New Roman" w:hAnsi="Times New Roman"/>
          <w:sz w:val="20"/>
          <w:szCs w:val="20"/>
          <w:color w:val="auto"/>
        </w:rPr>
        <w:t xml:space="preserve">Attn: </w:t>
      </w:r>
      <w:r>
        <w:rPr>
          <w:rFonts w:ascii="Times New Roman" w:cs="Times New Roman" w:eastAsia="Times New Roman" w:hAnsi="Times New Roman"/>
          <w:sz w:val="17"/>
          <w:szCs w:val="17"/>
          <w:color w:val="auto"/>
        </w:rPr>
        <w:t>[***]</w:t>
      </w:r>
    </w:p>
    <w:p>
      <w:pPr>
        <w:jc w:val="center"/>
        <w:spacing w:after="0" w:line="211" w:lineRule="auto"/>
        <w:rPr>
          <w:sz w:val="20"/>
          <w:szCs w:val="20"/>
          <w:color w:val="auto"/>
        </w:rPr>
      </w:pPr>
      <w:r>
        <w:rPr>
          <w:rFonts w:ascii="Times New Roman" w:cs="Times New Roman" w:eastAsia="Times New Roman" w:hAnsi="Times New Roman"/>
          <w:sz w:val="20"/>
          <w:szCs w:val="20"/>
          <w:color w:val="auto"/>
        </w:rPr>
        <w:t>51368 Leverkusen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Germany</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mentioning such other information required and as may be amended and/or provided by Bayer to Recursion from time to time.</w:t>
      </w:r>
    </w:p>
    <w:p>
      <w:pPr>
        <w:spacing w:after="0" w:line="161" w:lineRule="exact"/>
        <w:rPr>
          <w:sz w:val="20"/>
          <w:szCs w:val="20"/>
          <w:color w:val="auto"/>
        </w:rPr>
      </w:pPr>
    </w:p>
    <w:p>
      <w:pPr>
        <w:ind w:left="1300" w:right="20"/>
        <w:spacing w:after="0" w:line="233" w:lineRule="auto"/>
        <w:rPr>
          <w:sz w:val="20"/>
          <w:szCs w:val="20"/>
          <w:color w:val="auto"/>
        </w:rPr>
      </w:pPr>
      <w:r>
        <w:rPr>
          <w:rFonts w:ascii="Times New Roman" w:cs="Times New Roman" w:eastAsia="Times New Roman" w:hAnsi="Times New Roman"/>
          <w:sz w:val="20"/>
          <w:szCs w:val="20"/>
          <w:color w:val="auto"/>
        </w:rPr>
        <w:t>Each invoice for payments mentioning the aforementioned address and reference shall be sent electronically in portable document format (pdf) via email without electronic signature (“pdf-invoicing”), to</w:t>
      </w:r>
    </w:p>
    <w:p>
      <w:pPr>
        <w:spacing w:after="0" w:line="1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@bayer.com</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thus replacing a corresponding paper form.</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u w:val="single" w:color="auto"/>
          <w:color w:val="auto"/>
        </w:rPr>
        <w:t>Bank Accounts</w:t>
      </w:r>
      <w:r>
        <w:rPr>
          <w:rFonts w:ascii="Times New Roman" w:cs="Times New Roman" w:eastAsia="Times New Roman" w:hAnsi="Times New Roman"/>
          <w:sz w:val="20"/>
          <w:szCs w:val="20"/>
          <w:color w:val="auto"/>
        </w:rPr>
        <w:t>. All payments to Recursion under this Agreement shall be made by wire transfer to the following bank</w:t>
      </w: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 xml:space="preserve">account of Recursion, or such other bank account as notified in writing by Recursion to Bayer at least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Business Days prior to the Payment Date:</w:t>
      </w:r>
    </w:p>
    <w:p>
      <w:pPr>
        <w:spacing w:after="0" w:line="15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For ACH delivery:</w:t>
      </w: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For Wire Transfers:</w:t>
      </w:r>
    </w:p>
    <w:p>
      <w:pPr>
        <w:jc w:val="center"/>
        <w:ind w:right="6960"/>
        <w:spacing w:after="0"/>
        <w:rPr>
          <w:sz w:val="20"/>
          <w:szCs w:val="20"/>
          <w:color w:val="auto"/>
        </w:rPr>
      </w:pP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Account Name: </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Payments by Bayer to Recursion shall reference “[•]” to identify the payment.</w:t>
      </w:r>
    </w:p>
    <w:p>
      <w:pPr>
        <w:spacing w:after="0" w:line="175" w:lineRule="exact"/>
        <w:rPr>
          <w:sz w:val="20"/>
          <w:szCs w:val="20"/>
          <w:color w:val="auto"/>
        </w:rPr>
      </w:pPr>
    </w:p>
    <w:p>
      <w:pPr>
        <w:jc w:val="both"/>
        <w:ind w:left="1300" w:hanging="647"/>
        <w:spacing w:after="0" w:line="230" w:lineRule="auto"/>
        <w:tabs>
          <w:tab w:leader="none" w:pos="128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20"/>
          <w:szCs w:val="20"/>
          <w:u w:val="single" w:color="auto"/>
          <w:color w:val="auto"/>
        </w:rPr>
        <w:t>Currency</w:t>
      </w:r>
      <w:r>
        <w:rPr>
          <w:rFonts w:ascii="Times New Roman" w:cs="Times New Roman" w:eastAsia="Times New Roman" w:hAnsi="Times New Roman"/>
          <w:sz w:val="20"/>
          <w:szCs w:val="20"/>
          <w:color w:val="auto"/>
        </w:rPr>
        <w:t>. All payments under this Agreement will be made in U.S. dollars (“USD”). Where the payments due are calculated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based on a currency other than USD, the amount due will be converted to USD using the average exchange rate for the applicable Calendar Quarter as consistently applied per Bayer’s internal accounting and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200" w:lineRule="exact"/>
        <w:rPr>
          <w:sz w:val="20"/>
          <w:szCs w:val="20"/>
          <w:color w:val="auto"/>
        </w:rPr>
      </w:pPr>
    </w:p>
    <w:p>
      <w:pPr>
        <w:spacing w:after="0" w:line="3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20"/>
          <w:szCs w:val="20"/>
          <w:u w:val="single" w:color="auto"/>
          <w:color w:val="auto"/>
        </w:rPr>
        <w:t>Late Payments</w:t>
      </w:r>
      <w:r>
        <w:rPr>
          <w:rFonts w:ascii="Times New Roman" w:cs="Times New Roman" w:eastAsia="Times New Roman" w:hAnsi="Times New Roman"/>
          <w:sz w:val="20"/>
          <w:szCs w:val="20"/>
          <w:color w:val="auto"/>
        </w:rPr>
        <w:t>. All payments not made by</w:t>
      </w:r>
      <w:r>
        <w:rPr>
          <w:rFonts w:ascii="Times New Roman" w:cs="Times New Roman" w:eastAsia="Times New Roman" w:hAnsi="Times New Roman"/>
          <w:sz w:val="20"/>
          <w:szCs w:val="20"/>
          <w:u w:val="single" w:color="auto"/>
          <w:color w:val="auto"/>
        </w:rPr>
        <w:t xml:space="preserve"> </w:t>
      </w:r>
      <w:r>
        <w:rPr>
          <w:rFonts w:ascii="Arial" w:cs="Arial" w:eastAsia="Arial" w:hAnsi="Arial"/>
          <w:sz w:val="17"/>
          <w:szCs w:val="17"/>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days after the respective date on which such payment is due (“Payment</w:t>
      </w:r>
    </w:p>
    <w:p>
      <w:pPr>
        <w:ind w:left="640"/>
        <w:spacing w:after="0" w:line="204" w:lineRule="auto"/>
        <w:rPr>
          <w:sz w:val="20"/>
          <w:szCs w:val="20"/>
          <w:color w:val="auto"/>
        </w:rPr>
      </w:pPr>
      <w:r>
        <w:rPr>
          <w:rFonts w:ascii="Times New Roman" w:cs="Times New Roman" w:eastAsia="Times New Roman" w:hAnsi="Times New Roman"/>
          <w:sz w:val="20"/>
          <w:szCs w:val="20"/>
          <w:color w:val="auto"/>
        </w:rPr>
        <w:t>Date”) set out in this Agreement shall be subject to late payment interest at the United States Secured overnight Financing Rate (SOFR), currently published on Bloomberg screen &lt;SOFRRATE Indie&gt;, fixed two Business Days prior to the</w:t>
      </w:r>
    </w:p>
    <w:p>
      <w:pPr>
        <w:ind w:left="640"/>
        <w:spacing w:after="0" w:line="211" w:lineRule="auto"/>
        <w:rPr>
          <w:sz w:val="20"/>
          <w:szCs w:val="20"/>
          <w:color w:val="auto"/>
        </w:rPr>
      </w:pPr>
      <w:r>
        <w:rPr>
          <w:rFonts w:ascii="Times New Roman" w:cs="Times New Roman" w:eastAsia="Times New Roman" w:hAnsi="Times New Roman"/>
          <w:sz w:val="20"/>
          <w:szCs w:val="20"/>
          <w:color w:val="auto"/>
        </w:rPr>
        <w:t>respective Payment Date and reset to the prevailing one (1) month USD rate at monthly intervals thereafter, plus a premium</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of one (1) percentage point (or the maximum applicable legal rate of interest if lower). Interest shall be calculated based on the actual number of days in the interest period divided by 360 and shall be calculated from the respective Payment Date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(inclusive) until the date of payment (exclusive).</w:t>
      </w:r>
    </w:p>
    <w:p>
      <w:pPr>
        <w:spacing w:after="0" w:line="167" w:lineRule="exact"/>
        <w:rPr>
          <w:sz w:val="20"/>
          <w:szCs w:val="20"/>
          <w:color w:val="auto"/>
        </w:rPr>
      </w:pPr>
    </w:p>
    <w:p>
      <w:pPr>
        <w:jc w:val="both"/>
        <w:ind w:left="640" w:hanging="647"/>
        <w:spacing w:after="0" w:line="227" w:lineRule="auto"/>
        <w:tabs>
          <w:tab w:leader="none" w:pos="6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Value Added Tax</w:t>
      </w:r>
      <w:r>
        <w:rPr>
          <w:rFonts w:ascii="Times New Roman" w:cs="Times New Roman" w:eastAsia="Times New Roman" w:hAnsi="Times New Roman"/>
          <w:sz w:val="19"/>
          <w:szCs w:val="19"/>
          <w:color w:val="auto"/>
        </w:rPr>
        <w:t>. All agreed consideration is exclusive of “VAT” (including European Value Added Tax, goods and service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tax and similar taxes). If VAT is applicable, VAT shall be invoiced additionally according to the applicable VAT law. Such</w:t>
      </w:r>
    </w:p>
    <w:p>
      <w:pPr>
        <w:ind w:left="640"/>
        <w:spacing w:after="0" w:line="228" w:lineRule="auto"/>
        <w:rPr>
          <w:sz w:val="20"/>
          <w:szCs w:val="20"/>
          <w:color w:val="auto"/>
        </w:rPr>
      </w:pPr>
      <w:r>
        <w:rPr>
          <w:rFonts w:ascii="Times New Roman" w:cs="Times New Roman" w:eastAsia="Times New Roman" w:hAnsi="Times New Roman"/>
          <w:sz w:val="20"/>
          <w:szCs w:val="20"/>
          <w:color w:val="auto"/>
        </w:rPr>
        <w:t>VAT shall be paid to a Party only, if such Party is obliged to transfer such VAT to respective tax authorities and after receipt of a corresponding invoice. Each Party shall issue correct invoices in accordance with the applicable VAT law.</w:t>
      </w:r>
    </w:p>
    <w:p>
      <w:pPr>
        <w:spacing w:after="0" w:line="149" w:lineRule="exact"/>
        <w:rPr>
          <w:sz w:val="20"/>
          <w:szCs w:val="20"/>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u w:val="single" w:color="auto"/>
          <w:color w:val="auto"/>
        </w:rPr>
        <w:t>Withholding Tax</w:t>
      </w:r>
      <w:r>
        <w:rPr>
          <w:rFonts w:ascii="Times New Roman" w:cs="Times New Roman" w:eastAsia="Times New Roman" w:hAnsi="Times New Roman"/>
          <w:sz w:val="20"/>
          <w:szCs w:val="20"/>
          <w:color w:val="auto"/>
        </w:rPr>
        <w:t>. Any Party required to make a payment pursuant to this Agreement shall be entitled to deduct and withhold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from the amount payable the tax for which paying Party on behalf of payee is liable under any provisions of Applicable Law (such tax, “Withholding Tax”);</w:t>
      </w:r>
    </w:p>
    <w:p>
      <w:pPr>
        <w:spacing w:after="0" w:line="149" w:lineRule="exact"/>
        <w:rPr>
          <w:sz w:val="20"/>
          <w:szCs w:val="20"/>
          <w:color w:val="auto"/>
        </w:rPr>
      </w:pPr>
    </w:p>
    <w:p>
      <w:pPr>
        <w:jc w:val="both"/>
        <w:ind w:left="640"/>
        <w:spacing w:after="0" w:line="234" w:lineRule="auto"/>
        <w:rPr>
          <w:sz w:val="20"/>
          <w:szCs w:val="20"/>
          <w:color w:val="auto"/>
        </w:rPr>
      </w:pPr>
      <w:r>
        <w:rPr>
          <w:rFonts w:ascii="Times New Roman" w:cs="Times New Roman" w:eastAsia="Times New Roman" w:hAnsi="Times New Roman"/>
          <w:sz w:val="19"/>
          <w:szCs w:val="19"/>
          <w:color w:val="auto"/>
        </w:rPr>
        <w:t>If the Withholding Tax rate is reduced according to the regulations in the Double Tax Treaty no deduction shall be made or a reduced amount shall be deducted only if paying Party is timely furnished with necessary documents (Freistellungsbescheid)</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by payee issued from the German Tax Authority (Bundeszentralamt für Steuern), certifying that the payment is exempt from Withholding Tax or subject to a reduced Withholding Tax rate. For purposes of this Agreement, “Double Tax Treaty” means</w:t>
      </w:r>
    </w:p>
    <w:p>
      <w:pPr>
        <w:ind w:left="640"/>
        <w:spacing w:after="0" w:line="211" w:lineRule="auto"/>
        <w:rPr>
          <w:sz w:val="20"/>
          <w:szCs w:val="20"/>
          <w:color w:val="auto"/>
        </w:rPr>
      </w:pPr>
      <w:r>
        <w:rPr>
          <w:rFonts w:ascii="Times New Roman" w:cs="Times New Roman" w:eastAsia="Times New Roman" w:hAnsi="Times New Roman"/>
          <w:sz w:val="20"/>
          <w:szCs w:val="20"/>
          <w:color w:val="auto"/>
        </w:rPr>
        <w:t>the Convention between the United States of America and the Federal Republic of Germany for the Avoidance of Double</w:t>
      </w:r>
    </w:p>
    <w:p>
      <w:pPr>
        <w:ind w:left="640"/>
        <w:spacing w:after="0" w:line="221" w:lineRule="auto"/>
        <w:rPr>
          <w:sz w:val="20"/>
          <w:szCs w:val="20"/>
          <w:color w:val="auto"/>
        </w:rPr>
      </w:pPr>
      <w:r>
        <w:rPr>
          <w:rFonts w:ascii="Times New Roman" w:cs="Times New Roman" w:eastAsia="Times New Roman" w:hAnsi="Times New Roman"/>
          <w:sz w:val="20"/>
          <w:szCs w:val="20"/>
          <w:color w:val="auto"/>
        </w:rPr>
        <w:t>Taxation and the Prevention of Fiscal Evasion with respect to Taxes on Income and Capital and to Certain Other Taxes, effective January 1 1990, and as may be amended from time to time.</w:t>
      </w:r>
    </w:p>
    <w:p>
      <w:pPr>
        <w:spacing w:after="0" w:line="16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20"/>
          <w:szCs w:val="20"/>
          <w:color w:val="auto"/>
        </w:rPr>
        <w:t>Any withheld Withholding Tax shall be treated as having been paid by paying Party to payee for all purposes of this Agreement. Paying Party shall timely forward to the payee the tax receipts certifying the payments of Withholding Tax on</w:t>
      </w:r>
    </w:p>
    <w:p>
      <w:pPr>
        <w:ind w:left="640"/>
        <w:spacing w:after="0" w:line="212" w:lineRule="auto"/>
        <w:rPr>
          <w:sz w:val="20"/>
          <w:szCs w:val="20"/>
          <w:color w:val="auto"/>
        </w:rPr>
      </w:pPr>
      <w:r>
        <w:rPr>
          <w:rFonts w:ascii="Times New Roman" w:cs="Times New Roman" w:eastAsia="Times New Roman" w:hAnsi="Times New Roman"/>
          <w:sz w:val="20"/>
          <w:szCs w:val="20"/>
          <w:color w:val="auto"/>
        </w:rPr>
        <w:t>behalf of payee. In case paying Party must pay, but cannot deduct the Withholding Tax due to fulfilment and completion of</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its payment obligation by settlement or set-off, payee will pay the Withholding Tax to paying party separately. If paying Party reasonably failed to deduct Withholding Tax, but is still required by Applicable Law to pay Withholding Tax on</w:t>
      </w:r>
    </w:p>
    <w:p>
      <w:pPr>
        <w:ind w:left="640"/>
        <w:spacing w:after="0" w:line="211" w:lineRule="auto"/>
        <w:rPr>
          <w:sz w:val="20"/>
          <w:szCs w:val="20"/>
          <w:color w:val="auto"/>
        </w:rPr>
      </w:pPr>
      <w:r>
        <w:rPr>
          <w:rFonts w:ascii="Times New Roman" w:cs="Times New Roman" w:eastAsia="Times New Roman" w:hAnsi="Times New Roman"/>
          <w:sz w:val="20"/>
          <w:szCs w:val="20"/>
          <w:color w:val="auto"/>
        </w:rPr>
        <w:t>account of payee to the tax authorities, payee shall reasonably assist paying party with regard to all procedures required in</w:t>
      </w:r>
    </w:p>
    <w:p>
      <w:pPr>
        <w:spacing w:after="0" w:line="1"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order to obtain reimbursement by tax authorities or, in case tax authorities will not reimburse withholding tax to paying Party, payee will immediately refund the tax amount.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20"/>
          <w:szCs w:val="20"/>
          <w:color w:val="auto"/>
        </w:rPr>
        <w:t>Notwithstanding anything in this Agreement to the contrary, if any assignment by a Party of its rights or obligations under</w:t>
      </w:r>
    </w:p>
    <w:p>
      <w:pPr>
        <w:ind w:left="640"/>
        <w:spacing w:after="0" w:line="215" w:lineRule="auto"/>
        <w:rPr>
          <w:sz w:val="20"/>
          <w:szCs w:val="20"/>
          <w:color w:val="auto"/>
        </w:rPr>
      </w:pPr>
      <w:r>
        <w:rPr>
          <w:rFonts w:ascii="Times New Roman" w:cs="Times New Roman" w:eastAsia="Times New Roman" w:hAnsi="Times New Roman"/>
          <w:sz w:val="19"/>
          <w:szCs w:val="19"/>
          <w:color w:val="auto"/>
        </w:rPr>
        <w:t>this Agreement without the consent of the other Party results in the imposition of Withholding Tax on a payment to be made by such Party that would not have been imposed in the absence of such assignment (or in an increase in Withholding Tax</w:t>
      </w:r>
    </w:p>
    <w:p>
      <w:pPr>
        <w:ind w:left="640"/>
        <w:spacing w:after="0" w:line="211" w:lineRule="auto"/>
        <w:rPr>
          <w:sz w:val="20"/>
          <w:szCs w:val="20"/>
          <w:color w:val="auto"/>
        </w:rPr>
      </w:pPr>
      <w:r>
        <w:rPr>
          <w:rFonts w:ascii="Times New Roman" w:cs="Times New Roman" w:eastAsia="Times New Roman" w:hAnsi="Times New Roman"/>
          <w:sz w:val="20"/>
          <w:szCs w:val="20"/>
          <w:color w:val="auto"/>
        </w:rPr>
        <w:t>from the amount that would have been imposed in the absence of such assignment) and the Parties cannot reasonably</w:t>
      </w:r>
    </w:p>
    <w:p>
      <w:pPr>
        <w:ind w:left="640"/>
        <w:spacing w:after="0" w:line="204" w:lineRule="auto"/>
        <w:rPr>
          <w:sz w:val="20"/>
          <w:szCs w:val="20"/>
          <w:color w:val="auto"/>
        </w:rPr>
      </w:pPr>
      <w:r>
        <w:rPr>
          <w:rFonts w:ascii="Times New Roman" w:cs="Times New Roman" w:eastAsia="Times New Roman" w:hAnsi="Times New Roman"/>
          <w:sz w:val="20"/>
          <w:szCs w:val="20"/>
          <w:color w:val="auto"/>
        </w:rPr>
        <w:t>cooperate as described above to eliminate such additional Withholding Tax, then the amount payable by the assigning Party shall be increased to the extent necessary to ensure that the other Party receives a net amount equal to the amount that it</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would have received had no such assignment occurred (taking into account any Withholding Tax on such additional amounts), unless the payee has approved or requested this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0580"/>
          </w:cols>
          <w:pgMar w:left="980" w:top="1440" w:right="339" w:bottom="1440" w:gutter="0" w:footer="0" w:header="0"/>
        </w:sectPr>
      </w:pPr>
    </w:p>
    <w:bookmarkStart w:id="279" w:name="page280"/>
    <w:bookmarkEnd w:id="279"/>
    <w:p>
      <w:pPr>
        <w:spacing w:after="0" w:line="200" w:lineRule="exact"/>
        <w:rPr>
          <w:sz w:val="20"/>
          <w:szCs w:val="20"/>
          <w:color w:val="auto"/>
        </w:rPr>
      </w:pPr>
    </w:p>
    <w:p>
      <w:pPr>
        <w:spacing w:after="0" w:line="34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To the extent relevant for U.S. federal income tax purposes, the Parties intend to treat the payments contemplated by this</w:t>
      </w:r>
    </w:p>
    <w:p>
      <w:pPr>
        <w:ind w:left="1292"/>
        <w:spacing w:after="0" w:line="204" w:lineRule="auto"/>
        <w:rPr>
          <w:sz w:val="20"/>
          <w:szCs w:val="20"/>
          <w:color w:val="auto"/>
        </w:rPr>
      </w:pPr>
      <w:r>
        <w:rPr>
          <w:rFonts w:ascii="Times New Roman" w:cs="Times New Roman" w:eastAsia="Times New Roman" w:hAnsi="Times New Roman"/>
          <w:sz w:val="20"/>
          <w:szCs w:val="20"/>
          <w:color w:val="auto"/>
        </w:rPr>
        <w:t>Agreement as “foreign-derived deduction eligible income” within the meaning of Section 250 of the U.S. Internal Revenue Code of 1986, as amended, and the U.S. Treasury regulations thereunder, and the Parties shall reasonably cooperate to</w:t>
      </w:r>
    </w:p>
    <w:p>
      <w:pPr>
        <w:spacing w:after="0" w:line="1" w:lineRule="exact"/>
        <w:rPr>
          <w:sz w:val="20"/>
          <w:szCs w:val="20"/>
          <w:color w:val="auto"/>
        </w:rPr>
      </w:pPr>
    </w:p>
    <w:p>
      <w:pPr>
        <w:ind w:left="1292"/>
        <w:spacing w:after="0" w:line="228" w:lineRule="auto"/>
        <w:rPr>
          <w:sz w:val="20"/>
          <w:szCs w:val="20"/>
          <w:color w:val="auto"/>
        </w:rPr>
      </w:pPr>
      <w:r>
        <w:rPr>
          <w:rFonts w:ascii="Times New Roman" w:cs="Times New Roman" w:eastAsia="Times New Roman" w:hAnsi="Times New Roman"/>
          <w:sz w:val="20"/>
          <w:szCs w:val="20"/>
          <w:color w:val="auto"/>
        </w:rPr>
        <w:t>provide a certification or documentation to demonstrate eligibility for the deduction for “foreign-derived intangible income” pursuant to Section 250.</w:t>
      </w:r>
    </w:p>
    <w:p>
      <w:pPr>
        <w:spacing w:after="0" w:line="185" w:lineRule="exact"/>
        <w:rPr>
          <w:sz w:val="20"/>
          <w:szCs w:val="20"/>
          <w:color w:val="auto"/>
        </w:rPr>
      </w:pPr>
    </w:p>
    <w:p>
      <w:pPr>
        <w:ind w:left="652" w:hanging="652"/>
        <w:spacing w:after="0"/>
        <w:tabs>
          <w:tab w:leader="none" w:pos="652"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ACCOUNTING RECORDS AND AUDITS</w:t>
      </w:r>
    </w:p>
    <w:p>
      <w:pPr>
        <w:spacing w:after="0" w:line="169" w:lineRule="exact"/>
        <w:rPr>
          <w:rFonts w:ascii="Times New Roman" w:cs="Times New Roman" w:eastAsia="Times New Roman" w:hAnsi="Times New Roman"/>
          <w:sz w:val="22"/>
          <w:szCs w:val="22"/>
          <w:b w:val="1"/>
          <w:bCs w:val="1"/>
          <w:color w:val="auto"/>
        </w:rPr>
      </w:pPr>
    </w:p>
    <w:p>
      <w:pPr>
        <w:ind w:left="1292" w:hanging="648"/>
        <w:spacing w:after="0" w:line="22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8.1</w:t>
      </w:r>
      <w:r>
        <w:rPr>
          <w:rFonts w:ascii="Times New Roman" w:cs="Times New Roman" w:eastAsia="Times New Roman" w:hAnsi="Times New Roman"/>
          <w:sz w:val="20"/>
          <w:szCs w:val="20"/>
          <w:u w:val="single" w:color="auto"/>
          <w:color w:val="auto"/>
        </w:rPr>
        <w:t>Accounting</w:t>
      </w:r>
      <w:r>
        <w:rPr>
          <w:rFonts w:ascii="Times New Roman" w:cs="Times New Roman" w:eastAsia="Times New Roman" w:hAnsi="Times New Roman"/>
          <w:sz w:val="20"/>
          <w:szCs w:val="20"/>
          <w:color w:val="auto"/>
        </w:rPr>
        <w:t>. Bayer shall retain, and shall procure that all of its Affiliates and Sublicensees (the “Bayer Parties”) retain, true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and accurate records and books of account containing all data necessary for the calculation of the amounts payable by it to Recursion pursuant to the Agreement. Those records and books of account shall be kept for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years following the end of the period to which they relate.</w:t>
      </w:r>
    </w:p>
    <w:p>
      <w:pPr>
        <w:spacing w:after="0" w:line="161" w:lineRule="exact"/>
        <w:rPr>
          <w:rFonts w:ascii="Times New Roman" w:cs="Times New Roman" w:eastAsia="Times New Roman" w:hAnsi="Times New Roman"/>
          <w:sz w:val="22"/>
          <w:szCs w:val="22"/>
          <w:b w:val="1"/>
          <w:bCs w:val="1"/>
          <w:color w:val="auto"/>
        </w:rPr>
      </w:pPr>
    </w:p>
    <w:p>
      <w:pPr>
        <w:ind w:left="1292" w:hanging="648"/>
        <w:spacing w:after="0" w:line="22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8.2</w:t>
      </w:r>
      <w:r>
        <w:rPr>
          <w:rFonts w:ascii="Times New Roman" w:cs="Times New Roman" w:eastAsia="Times New Roman" w:hAnsi="Times New Roman"/>
          <w:sz w:val="20"/>
          <w:szCs w:val="20"/>
          <w:u w:val="single" w:color="auto"/>
          <w:color w:val="auto"/>
        </w:rPr>
        <w:t>Audit</w:t>
      </w:r>
      <w:r>
        <w:rPr>
          <w:rFonts w:ascii="Times New Roman" w:cs="Times New Roman" w:eastAsia="Times New Roman" w:hAnsi="Times New Roman"/>
          <w:sz w:val="20"/>
          <w:szCs w:val="20"/>
          <w:color w:val="auto"/>
        </w:rPr>
        <w:t>. To validate Bayer’s compliance with its obligations under or in connection with this Agreement, Recursion may,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during the course of this Agreement and for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after expiration or termination of this Agreement, appoint auditors, at Recursion’s expense (except as otherwise contemplated below), to carry out an audit of Bayer’s records from time to time on behalf of Recursion. The auditors selected by Recursion shall be subject to acceptance by Bayer, such acceptance not to be unreasonably withheld. Audits may be undertaken subject to the following conditions:</w:t>
      </w:r>
    </w:p>
    <w:p>
      <w:pPr>
        <w:spacing w:after="0" w:line="147" w:lineRule="exact"/>
        <w:rPr>
          <w:rFonts w:ascii="Times New Roman" w:cs="Times New Roman" w:eastAsia="Times New Roman" w:hAnsi="Times New Roman"/>
          <w:sz w:val="22"/>
          <w:szCs w:val="22"/>
          <w:b w:val="1"/>
          <w:bCs w:val="1"/>
          <w:color w:val="auto"/>
        </w:rPr>
      </w:pPr>
    </w:p>
    <w:p>
      <w:pPr>
        <w:ind w:left="1912" w:hanging="381"/>
        <w:spacing w:after="0"/>
        <w:tabs>
          <w:tab w:leader="none" w:pos="1912"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audits shall be undertaken by an independent certified public accountant;</w:t>
      </w:r>
    </w:p>
    <w:p>
      <w:pPr>
        <w:spacing w:after="0" w:line="189" w:lineRule="exact"/>
        <w:rPr>
          <w:sz w:val="20"/>
          <w:szCs w:val="20"/>
          <w:color w:val="auto"/>
        </w:rPr>
      </w:pPr>
    </w:p>
    <w:p>
      <w:pPr>
        <w:ind w:left="1912" w:hanging="381"/>
        <w:spacing w:after="0"/>
        <w:tabs>
          <w:tab w:leader="none" w:pos="19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audits shall be conducted during regular business hours at Bayer’s premises upon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days’ prior written notice by Recursion and shall not interfere unreasonably with Bayer’s business activities;</w:t>
      </w:r>
    </w:p>
    <w:p>
      <w:pPr>
        <w:spacing w:after="0" w:line="148" w:lineRule="exact"/>
        <w:rPr>
          <w:sz w:val="20"/>
          <w:szCs w:val="20"/>
          <w:color w:val="auto"/>
        </w:rPr>
      </w:pPr>
    </w:p>
    <w:p>
      <w:pPr>
        <w:ind w:left="1532"/>
        <w:spacing w:after="0"/>
        <w:rPr>
          <w:sz w:val="20"/>
          <w:szCs w:val="20"/>
          <w:color w:val="auto"/>
        </w:rPr>
      </w:pPr>
      <w:r>
        <w:rPr>
          <w:rFonts w:ascii="Times New Roman" w:cs="Times New Roman" w:eastAsia="Times New Roman" w:hAnsi="Times New Roman"/>
          <w:sz w:val="20"/>
          <w:szCs w:val="20"/>
          <w:color w:val="auto"/>
        </w:rPr>
        <w:t>III.  The auditor may inspect records for up to two years after the end of the period to which they pertain;</w:t>
      </w:r>
    </w:p>
    <w:p>
      <w:pPr>
        <w:spacing w:after="0" w:line="189" w:lineRule="exact"/>
        <w:rPr>
          <w:sz w:val="20"/>
          <w:szCs w:val="20"/>
          <w:color w:val="auto"/>
        </w:rPr>
      </w:pPr>
    </w:p>
    <w:p>
      <w:pPr>
        <w:ind w:left="1532"/>
        <w:spacing w:after="0"/>
        <w:rPr>
          <w:sz w:val="20"/>
          <w:szCs w:val="20"/>
          <w:color w:val="auto"/>
        </w:rPr>
      </w:pPr>
      <w:r>
        <w:rPr>
          <w:rFonts w:ascii="Times New Roman" w:cs="Times New Roman" w:eastAsia="Times New Roman" w:hAnsi="Times New Roman"/>
          <w:sz w:val="20"/>
          <w:szCs w:val="20"/>
          <w:color w:val="auto"/>
        </w:rPr>
        <w:t>IV. Audits may not take place more than once per Calendar Year and no period may be audited more than once;</w:t>
      </w:r>
    </w:p>
    <w:p>
      <w:pPr>
        <w:spacing w:after="0" w:line="189" w:lineRule="exact"/>
        <w:rPr>
          <w:sz w:val="20"/>
          <w:szCs w:val="20"/>
          <w:color w:val="auto"/>
        </w:rPr>
      </w:pPr>
    </w:p>
    <w:p>
      <w:pPr>
        <w:ind w:left="1912" w:hanging="381"/>
        <w:spacing w:after="0" w:line="233" w:lineRule="auto"/>
        <w:tabs>
          <w:tab w:leader="none" w:pos="188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audit taking place, auditor shall undertake to Bayer that they shall keep all information confidential and shall not disclose any information (except as set forth in VI) to any Third Party including Recursion;</w:t>
      </w:r>
    </w:p>
    <w:p>
      <w:pPr>
        <w:spacing w:after="0" w:line="161" w:lineRule="exact"/>
        <w:rPr>
          <w:sz w:val="20"/>
          <w:szCs w:val="20"/>
          <w:color w:val="auto"/>
        </w:rPr>
      </w:pPr>
    </w:p>
    <w:p>
      <w:pPr>
        <w:jc w:val="right"/>
        <w:ind w:left="1532"/>
        <w:spacing w:after="0" w:line="215" w:lineRule="auto"/>
        <w:rPr>
          <w:sz w:val="20"/>
          <w:szCs w:val="20"/>
          <w:color w:val="auto"/>
        </w:rPr>
      </w:pPr>
      <w:r>
        <w:rPr>
          <w:rFonts w:ascii="Times New Roman" w:cs="Times New Roman" w:eastAsia="Times New Roman" w:hAnsi="Times New Roman"/>
          <w:sz w:val="20"/>
          <w:szCs w:val="20"/>
          <w:color w:val="auto"/>
        </w:rPr>
        <w:t>VI. Details of the auditor’s findings (including, for the avoidance of doubt, monetary values and supporting calculations) shall not be shared with Recursion except in the form of a summary report and, in the event the auditor finds any</w:t>
      </w:r>
    </w:p>
    <w:p>
      <w:pPr>
        <w:ind w:left="1912"/>
        <w:spacing w:after="0" w:line="224" w:lineRule="auto"/>
        <w:rPr>
          <w:sz w:val="20"/>
          <w:szCs w:val="20"/>
          <w:color w:val="auto"/>
        </w:rPr>
      </w:pPr>
      <w:r>
        <w:rPr>
          <w:rFonts w:ascii="Times New Roman" w:cs="Times New Roman" w:eastAsia="Times New Roman" w:hAnsi="Times New Roman"/>
          <w:sz w:val="19"/>
          <w:szCs w:val="19"/>
          <w:color w:val="auto"/>
        </w:rPr>
        <w:t>incorrect payments, details required to explain such discrepancies. In any event, the results shall be communicated to</w:t>
      </w:r>
    </w:p>
    <w:p>
      <w:pPr>
        <w:ind w:left="1912"/>
        <w:spacing w:after="0" w:line="204" w:lineRule="auto"/>
        <w:rPr>
          <w:sz w:val="20"/>
          <w:szCs w:val="20"/>
          <w:color w:val="auto"/>
        </w:rPr>
      </w:pPr>
      <w:r>
        <w:rPr>
          <w:rFonts w:ascii="Times New Roman" w:cs="Times New Roman" w:eastAsia="Times New Roman" w:hAnsi="Times New Roman"/>
          <w:sz w:val="20"/>
          <w:szCs w:val="20"/>
          <w:color w:val="auto"/>
        </w:rPr>
        <w:t xml:space="preserve">Bayer before being shared with Recursion. Bayer shall be given a period of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Business Days to review and respond to the auditor’s findings before the summary report may be provided to Recursion, such reports to include</w:t>
      </w:r>
    </w:p>
    <w:p>
      <w:pPr>
        <w:spacing w:after="0" w:line="1" w:lineRule="exact"/>
        <w:rPr>
          <w:sz w:val="20"/>
          <w:szCs w:val="20"/>
          <w:color w:val="auto"/>
        </w:rPr>
      </w:pPr>
    </w:p>
    <w:p>
      <w:pPr>
        <w:ind w:left="1912"/>
        <w:spacing w:after="0"/>
        <w:rPr>
          <w:sz w:val="20"/>
          <w:szCs w:val="20"/>
          <w:color w:val="auto"/>
        </w:rPr>
      </w:pPr>
      <w:r>
        <w:rPr>
          <w:rFonts w:ascii="Times New Roman" w:cs="Times New Roman" w:eastAsia="Times New Roman" w:hAnsi="Times New Roman"/>
          <w:sz w:val="20"/>
          <w:szCs w:val="20"/>
          <w:color w:val="auto"/>
        </w:rPr>
        <w:t>Bayer’s response to the findings;</w:t>
      </w:r>
    </w:p>
    <w:p>
      <w:pPr>
        <w:spacing w:after="0" w:line="167" w:lineRule="exact"/>
        <w:rPr>
          <w:sz w:val="20"/>
          <w:szCs w:val="20"/>
          <w:color w:val="auto"/>
        </w:rPr>
      </w:pPr>
    </w:p>
    <w:p>
      <w:pPr>
        <w:jc w:val="right"/>
        <w:ind w:left="1532"/>
        <w:spacing w:after="0" w:line="215" w:lineRule="auto"/>
        <w:rPr>
          <w:sz w:val="20"/>
          <w:szCs w:val="20"/>
          <w:color w:val="auto"/>
        </w:rPr>
      </w:pPr>
      <w:r>
        <w:rPr>
          <w:rFonts w:ascii="Times New Roman" w:cs="Times New Roman" w:eastAsia="Times New Roman" w:hAnsi="Times New Roman"/>
          <w:sz w:val="20"/>
          <w:szCs w:val="20"/>
          <w:color w:val="auto"/>
        </w:rPr>
        <w:t>VII. The auditor shall not be permitted to include any extrapolation calculations in the calculation of amounts underpaid to Recursion; if the auditor wants to base the audit assessment on a selection of samples, the auditor shall use a</w:t>
      </w:r>
    </w:p>
    <w:p>
      <w:pPr>
        <w:ind w:left="1912"/>
        <w:spacing w:after="0" w:line="212" w:lineRule="auto"/>
        <w:rPr>
          <w:sz w:val="20"/>
          <w:szCs w:val="20"/>
          <w:color w:val="auto"/>
        </w:rPr>
      </w:pPr>
      <w:r>
        <w:rPr>
          <w:rFonts w:ascii="Times New Roman" w:cs="Times New Roman" w:eastAsia="Times New Roman" w:hAnsi="Times New Roman"/>
          <w:sz w:val="20"/>
          <w:szCs w:val="20"/>
          <w:color w:val="auto"/>
        </w:rPr>
        <w:t>reasonable and appropriate approach to ensure that the outcome of a calculation based on such samples results in a</w:t>
      </w:r>
    </w:p>
    <w:p>
      <w:pPr>
        <w:spacing w:after="0" w:line="1" w:lineRule="exact"/>
        <w:rPr>
          <w:sz w:val="20"/>
          <w:szCs w:val="20"/>
          <w:color w:val="auto"/>
        </w:rPr>
      </w:pPr>
    </w:p>
    <w:p>
      <w:pPr>
        <w:ind w:left="1912"/>
        <w:spacing w:after="0" w:line="221" w:lineRule="auto"/>
        <w:rPr>
          <w:sz w:val="20"/>
          <w:szCs w:val="20"/>
          <w:color w:val="auto"/>
        </w:rPr>
      </w:pPr>
      <w:r>
        <w:rPr>
          <w:rFonts w:ascii="Times New Roman" w:cs="Times New Roman" w:eastAsia="Times New Roman" w:hAnsi="Times New Roman"/>
          <w:sz w:val="20"/>
          <w:szCs w:val="20"/>
          <w:color w:val="auto"/>
        </w:rPr>
        <w:t>comprehensible and reliable outcome. Such approach shall be discussed and agreed upon between the auditor and Bayer, beforehand.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32"/>
          </w:cols>
          <w:pgMar w:left="328" w:top="1440" w:right="339" w:bottom="1440" w:gutter="0" w:footer="0" w:header="0"/>
        </w:sectPr>
      </w:pPr>
    </w:p>
    <w:bookmarkStart w:id="280" w:name="page281"/>
    <w:bookmarkEnd w:id="280"/>
    <w:p>
      <w:pPr>
        <w:spacing w:after="0" w:line="200" w:lineRule="exact"/>
        <w:rPr>
          <w:sz w:val="20"/>
          <w:szCs w:val="20"/>
          <w:color w:val="auto"/>
        </w:rPr>
      </w:pPr>
    </w:p>
    <w:p>
      <w:pPr>
        <w:spacing w:after="0" w:line="354" w:lineRule="exact"/>
        <w:rPr>
          <w:sz w:val="20"/>
          <w:szCs w:val="20"/>
          <w:color w:val="auto"/>
        </w:rPr>
      </w:pPr>
    </w:p>
    <w:p>
      <w:pPr>
        <w:jc w:val="both"/>
        <w:ind w:left="1912" w:hanging="381"/>
        <w:spacing w:after="0"/>
        <w:rPr>
          <w:sz w:val="20"/>
          <w:szCs w:val="20"/>
          <w:color w:val="auto"/>
        </w:rPr>
      </w:pPr>
      <w:r>
        <w:rPr>
          <w:rFonts w:ascii="Times New Roman" w:cs="Times New Roman" w:eastAsia="Times New Roman" w:hAnsi="Times New Roman"/>
          <w:sz w:val="20"/>
          <w:szCs w:val="20"/>
          <w:color w:val="auto"/>
        </w:rPr>
        <w:t>VIII.If an audit reveals that Bayer has underpaid royalties due, Recursion may invoice Bayer for the underpaid amount; if the audit reveals that Bayer has overpaid royalties due, Recursion shall credit Bayer for the overpaid amount;</w:t>
      </w:r>
    </w:p>
    <w:p>
      <w:pPr>
        <w:spacing w:after="0" w:line="148" w:lineRule="exact"/>
        <w:rPr>
          <w:sz w:val="20"/>
          <w:szCs w:val="20"/>
          <w:color w:val="auto"/>
        </w:rPr>
      </w:pPr>
    </w:p>
    <w:p>
      <w:pPr>
        <w:jc w:val="both"/>
        <w:ind w:left="1912" w:hanging="381"/>
        <w:spacing w:after="0" w:line="230" w:lineRule="auto"/>
        <w:rPr>
          <w:sz w:val="20"/>
          <w:szCs w:val="20"/>
          <w:color w:val="auto"/>
        </w:rPr>
      </w:pPr>
      <w:r>
        <w:rPr>
          <w:rFonts w:ascii="Times New Roman" w:cs="Times New Roman" w:eastAsia="Times New Roman" w:hAnsi="Times New Roman"/>
          <w:sz w:val="20"/>
          <w:szCs w:val="20"/>
          <w:color w:val="auto"/>
        </w:rPr>
        <w:t xml:space="preserve">IX. If an audit reveals an underpayment in excess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percent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of the fees for the period subject to review by Recursion, then Bayer shall pay the reasonable costs of Recursion in conducting the audit (including the reasonable costs of the auditors)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days of Recursion notifying Bayer that the audit has been completed.</w:t>
      </w:r>
    </w:p>
    <w:p>
      <w:pPr>
        <w:spacing w:after="0" w:line="149" w:lineRule="exact"/>
        <w:rPr>
          <w:sz w:val="20"/>
          <w:szCs w:val="20"/>
          <w:color w:val="auto"/>
        </w:rPr>
      </w:pPr>
    </w:p>
    <w:p>
      <w:pPr>
        <w:jc w:val="right"/>
        <w:ind w:left="652"/>
        <w:spacing w:after="0" w:line="214"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Audit Disagreement</w:t>
      </w:r>
      <w:r>
        <w:rPr>
          <w:rFonts w:ascii="Times New Roman" w:cs="Times New Roman" w:eastAsia="Times New Roman" w:hAnsi="Times New Roman"/>
          <w:sz w:val="20"/>
          <w:szCs w:val="20"/>
          <w:color w:val="auto"/>
        </w:rPr>
        <w:t>: If there is a dispute between the Parties following any audit performed pursuant to Section 8.2, either Party may refer the issue (an “Audit Disagreement”) to an internationally recognized independent certified public accountant or chartered accountant for resolution. In the event an Audit Disagreement is submitted for resolution by either Party, the</w:t>
      </w:r>
    </w:p>
    <w:p>
      <w:pPr>
        <w:spacing w:after="0" w:line="1"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Parties shall comply with the following procedures:</w:t>
      </w:r>
    </w:p>
    <w:p>
      <w:pPr>
        <w:spacing w:after="0" w:line="180" w:lineRule="exact"/>
        <w:rPr>
          <w:sz w:val="20"/>
          <w:szCs w:val="20"/>
          <w:color w:val="auto"/>
        </w:rPr>
      </w:pPr>
    </w:p>
    <w:p>
      <w:pPr>
        <w:ind w:left="1672" w:right="20" w:hanging="376"/>
        <w:spacing w:after="0" w:line="229" w:lineRule="auto"/>
        <w:tabs>
          <w:tab w:leader="none" w:pos="16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Party submitting the Audit Disagreement for resolution shall provide written notice to the other Party that it is invoking the procedures of this Section;</w:t>
      </w:r>
    </w:p>
    <w:p>
      <w:pPr>
        <w:spacing w:after="0" w:line="173" w:lineRule="exact"/>
        <w:rPr>
          <w:rFonts w:ascii="Times New Roman" w:cs="Times New Roman" w:eastAsia="Times New Roman" w:hAnsi="Times New Roman"/>
          <w:sz w:val="22"/>
          <w:szCs w:val="22"/>
          <w:color w:val="auto"/>
        </w:rPr>
      </w:pPr>
    </w:p>
    <w:p>
      <w:pPr>
        <w:ind w:left="1672" w:hanging="376"/>
        <w:spacing w:after="0" w:line="229" w:lineRule="auto"/>
        <w:tabs>
          <w:tab w:leader="none" w:pos="1672"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Business Days of the giving of such notice, the Parties shall jointly select a recognized international accounting firm to act as an independent expert to resolve such Audit Disagreement.</w:t>
      </w:r>
    </w:p>
    <w:p>
      <w:pPr>
        <w:spacing w:after="0" w:line="160" w:lineRule="exact"/>
        <w:rPr>
          <w:rFonts w:ascii="Times New Roman" w:cs="Times New Roman" w:eastAsia="Times New Roman" w:hAnsi="Times New Roman"/>
          <w:sz w:val="22"/>
          <w:szCs w:val="22"/>
          <w:color w:val="auto"/>
        </w:rPr>
      </w:pPr>
    </w:p>
    <w:p>
      <w:pPr>
        <w:ind w:left="1672" w:hanging="376"/>
        <w:spacing w:after="0" w:line="229" w:lineRule="auto"/>
        <w:tabs>
          <w:tab w:leader="none" w:pos="16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Audit Disagreement submitted for resolution shall be described by the Parties to the independent expert, which description may be in written or oral form,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Business Days of the selection of such independent expert.</w:t>
      </w:r>
    </w:p>
    <w:p>
      <w:pPr>
        <w:spacing w:after="0" w:line="173" w:lineRule="exact"/>
        <w:rPr>
          <w:rFonts w:ascii="Times New Roman" w:cs="Times New Roman" w:eastAsia="Times New Roman" w:hAnsi="Times New Roman"/>
          <w:sz w:val="22"/>
          <w:szCs w:val="22"/>
          <w:color w:val="auto"/>
        </w:rPr>
      </w:pPr>
    </w:p>
    <w:p>
      <w:pPr>
        <w:ind w:left="1672" w:hanging="376"/>
        <w:spacing w:after="0"/>
        <w:tabs>
          <w:tab w:leader="none" w:pos="1672"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independent expert shall render a decision on the matter as soon as practicable.</w:t>
      </w:r>
    </w:p>
    <w:p>
      <w:pPr>
        <w:spacing w:after="0" w:line="179" w:lineRule="exact"/>
        <w:rPr>
          <w:rFonts w:ascii="Times New Roman" w:cs="Times New Roman" w:eastAsia="Times New Roman" w:hAnsi="Times New Roman"/>
          <w:sz w:val="22"/>
          <w:szCs w:val="22"/>
          <w:color w:val="auto"/>
        </w:rPr>
      </w:pPr>
    </w:p>
    <w:p>
      <w:pPr>
        <w:ind w:left="1672" w:hanging="376"/>
        <w:spacing w:after="0" w:line="229" w:lineRule="auto"/>
        <w:tabs>
          <w:tab w:leader="none" w:pos="16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decision of the independent expert shall be final and binding unless such Audit Disagreement involves alleged fraud, breach of this Agreement or construction or interpretation of any of the terms and conditions thereof.</w:t>
      </w:r>
    </w:p>
    <w:p>
      <w:pPr>
        <w:spacing w:after="0" w:line="173" w:lineRule="exact"/>
        <w:rPr>
          <w:rFonts w:ascii="Times New Roman" w:cs="Times New Roman" w:eastAsia="Times New Roman" w:hAnsi="Times New Roman"/>
          <w:sz w:val="22"/>
          <w:szCs w:val="22"/>
          <w:color w:val="auto"/>
        </w:rPr>
      </w:pPr>
    </w:p>
    <w:p>
      <w:pPr>
        <w:jc w:val="both"/>
        <w:ind w:left="1672" w:hanging="376"/>
        <w:spacing w:after="0" w:line="218" w:lineRule="auto"/>
        <w:tabs>
          <w:tab w:leader="none" w:pos="166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All fees and expenses of the independent expert, including any Third Party support staff or other costs incurred with respect to carrying out the procedures specified at the direction of the independent expert in connection with such Audit Disagreement, shall be borne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w:t>
      </w:r>
    </w:p>
    <w:p>
      <w:pPr>
        <w:spacing w:after="0" w:line="198"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REPRESENTATIONS, WARRANTIES, DISCLAIMERS</w:t>
      </w:r>
    </w:p>
    <w:p>
      <w:pPr>
        <w:spacing w:after="0" w:line="170" w:lineRule="exact"/>
        <w:rPr>
          <w:sz w:val="20"/>
          <w:szCs w:val="20"/>
          <w:color w:val="auto"/>
        </w:rPr>
      </w:pPr>
    </w:p>
    <w:p>
      <w:pPr>
        <w:ind w:left="1292" w:hanging="647"/>
        <w:spacing w:after="0"/>
        <w:tabs>
          <w:tab w:leader="none" w:pos="1272"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u w:val="single" w:color="auto"/>
          <w:color w:val="auto"/>
        </w:rPr>
        <w:t>Mutual Representations and Warranties</w:t>
      </w:r>
      <w:r>
        <w:rPr>
          <w:rFonts w:ascii="Times New Roman" w:cs="Times New Roman" w:eastAsia="Times New Roman" w:hAnsi="Times New Roman"/>
          <w:sz w:val="20"/>
          <w:szCs w:val="20"/>
          <w:color w:val="auto"/>
        </w:rPr>
        <w:t>. Each Party represents and warrants to the other Party with respect to this Agreement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as of the Effective Date of this Agreement that:</w:t>
      </w:r>
    </w:p>
    <w:p>
      <w:pPr>
        <w:spacing w:after="0" w:line="148" w:lineRule="exact"/>
        <w:rPr>
          <w:sz w:val="20"/>
          <w:szCs w:val="20"/>
          <w:color w:val="auto"/>
        </w:rPr>
      </w:pPr>
    </w:p>
    <w:p>
      <w:pPr>
        <w:jc w:val="both"/>
        <w:ind w:left="1932" w:hanging="647"/>
        <w:spacing w:after="0" w:line="230" w:lineRule="auto"/>
        <w:tabs>
          <w:tab w:leader="none" w:pos="1912" w:val="left"/>
        </w:tabs>
        <w:rPr>
          <w:sz w:val="20"/>
          <w:szCs w:val="20"/>
          <w:color w:val="auto"/>
        </w:rPr>
      </w:pPr>
      <w:r>
        <w:rPr>
          <w:rFonts w:ascii="Times New Roman" w:cs="Times New Roman" w:eastAsia="Times New Roman" w:hAnsi="Times New Roman"/>
          <w:sz w:val="20"/>
          <w:szCs w:val="20"/>
          <w:color w:val="auto"/>
        </w:rPr>
        <w:t>9.1.1</w:t>
        <w:tab/>
        <w:t>such Party is duly organized, validly existing and in good standing under the Applicable Law of the jurisdiction of its incorporation and has full corporate power and authority to enter into this Agreement and to carry out the provisions hereof;</w:t>
      </w:r>
    </w:p>
    <w:p>
      <w:pPr>
        <w:spacing w:after="0" w:line="149" w:lineRule="exact"/>
        <w:rPr>
          <w:sz w:val="20"/>
          <w:szCs w:val="20"/>
          <w:color w:val="auto"/>
        </w:rPr>
      </w:pPr>
    </w:p>
    <w:p>
      <w:pPr>
        <w:jc w:val="both"/>
        <w:ind w:left="1932" w:hanging="647"/>
        <w:spacing w:after="0"/>
        <w:tabs>
          <w:tab w:leader="none" w:pos="1912" w:val="left"/>
        </w:tabs>
        <w:rPr>
          <w:sz w:val="20"/>
          <w:szCs w:val="20"/>
          <w:color w:val="auto"/>
        </w:rPr>
      </w:pPr>
      <w:r>
        <w:rPr>
          <w:rFonts w:ascii="Times New Roman" w:cs="Times New Roman" w:eastAsia="Times New Roman" w:hAnsi="Times New Roman"/>
          <w:sz w:val="20"/>
          <w:szCs w:val="20"/>
          <w:color w:val="auto"/>
        </w:rPr>
        <w:t>9.1.2</w:t>
        <w:tab/>
        <w:t>this Agreement has been duly executed and delivered on behalf of such Party, and constitutes a legal, valid, binding obligation, enforceable against it in accordance with the terms hereof;</w:t>
      </w:r>
    </w:p>
    <w:p>
      <w:pPr>
        <w:spacing w:after="0" w:line="148" w:lineRule="exact"/>
        <w:rPr>
          <w:sz w:val="20"/>
          <w:szCs w:val="20"/>
          <w:color w:val="auto"/>
        </w:rPr>
      </w:pPr>
    </w:p>
    <w:p>
      <w:pPr>
        <w:jc w:val="both"/>
        <w:ind w:left="1932" w:hanging="647"/>
        <w:spacing w:after="0"/>
        <w:tabs>
          <w:tab w:leader="none" w:pos="1912" w:val="left"/>
        </w:tabs>
        <w:rPr>
          <w:sz w:val="20"/>
          <w:szCs w:val="20"/>
          <w:color w:val="auto"/>
        </w:rPr>
      </w:pPr>
      <w:r>
        <w:rPr>
          <w:rFonts w:ascii="Times New Roman" w:cs="Times New Roman" w:eastAsia="Times New Roman" w:hAnsi="Times New Roman"/>
          <w:sz w:val="20"/>
          <w:szCs w:val="20"/>
          <w:color w:val="auto"/>
        </w:rPr>
        <w:t>9.1.3</w:t>
        <w:tab/>
        <w:t>the performance of this Agreement by it does not create a breach or default under any other agreement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32"/>
          </w:cols>
          <w:pgMar w:left="328" w:top="1440" w:right="339" w:bottom="1440" w:gutter="0" w:footer="0" w:header="0"/>
        </w:sectPr>
      </w:pPr>
    </w:p>
    <w:bookmarkStart w:id="281" w:name="page282"/>
    <w:bookmarkEnd w:id="281"/>
    <w:p>
      <w:pPr>
        <w:spacing w:after="0" w:line="200" w:lineRule="exact"/>
        <w:rPr>
          <w:sz w:val="20"/>
          <w:szCs w:val="20"/>
          <w:color w:val="auto"/>
        </w:rPr>
      </w:pPr>
    </w:p>
    <w:p>
      <w:pPr>
        <w:spacing w:after="0" w:line="34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9.1.4</w:t>
        <w:tab/>
        <w:t>the execution, delivery and performance of this Agreement by such Party does not conflict with any agreement,</w:t>
      </w:r>
    </w:p>
    <w:p>
      <w:pPr>
        <w:ind w:left="1300"/>
        <w:spacing w:after="0" w:line="215" w:lineRule="auto"/>
        <w:rPr>
          <w:sz w:val="20"/>
          <w:szCs w:val="20"/>
          <w:color w:val="auto"/>
        </w:rPr>
      </w:pPr>
      <w:r>
        <w:rPr>
          <w:rFonts w:ascii="Times New Roman" w:cs="Times New Roman" w:eastAsia="Times New Roman" w:hAnsi="Times New Roman"/>
          <w:sz w:val="19"/>
          <w:szCs w:val="19"/>
          <w:color w:val="auto"/>
        </w:rPr>
        <w:t>instrument or understanding, oral or written, to which it is a party or by which it is bound, nor violate any Applicable Law or regulation of any court, governmental body or administrative or other agency having jurisdiction over such</w:t>
      </w:r>
    </w:p>
    <w:p>
      <w:pPr>
        <w:ind w:left="1300"/>
        <w:spacing w:after="0"/>
        <w:rPr>
          <w:sz w:val="20"/>
          <w:szCs w:val="20"/>
          <w:color w:val="auto"/>
        </w:rPr>
      </w:pPr>
      <w:r>
        <w:rPr>
          <w:rFonts w:ascii="Times New Roman" w:cs="Times New Roman" w:eastAsia="Times New Roman" w:hAnsi="Times New Roman"/>
          <w:sz w:val="20"/>
          <w:szCs w:val="20"/>
          <w:color w:val="auto"/>
        </w:rPr>
        <w:t>Party;</w:t>
      </w:r>
    </w:p>
    <w:p>
      <w:pPr>
        <w:spacing w:after="0" w:line="167"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9.1.5   such Party is authorized to grant the rights and licenses contemplated under this Agreement and Recursion in particular and without limiting the foregoing represents and warrants that it is authorized to grant Bayer the rights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and licenses contemplated under this Agreement; and</w:t>
      </w:r>
    </w:p>
    <w:p>
      <w:pPr>
        <w:spacing w:after="0" w:line="167"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9.1.6   to such Party’s knowledge, no government authorization, consent, approval, license, exemption of or filing or registration with any court or governmental department, commission, board, bureau, agency or instrumentality,</w:t>
      </w:r>
    </w:p>
    <w:p>
      <w:pPr>
        <w:ind w:left="1300"/>
        <w:spacing w:after="0" w:line="224" w:lineRule="auto"/>
        <w:rPr>
          <w:sz w:val="20"/>
          <w:szCs w:val="20"/>
          <w:color w:val="auto"/>
        </w:rPr>
      </w:pPr>
      <w:r>
        <w:rPr>
          <w:rFonts w:ascii="Times New Roman" w:cs="Times New Roman" w:eastAsia="Times New Roman" w:hAnsi="Times New Roman"/>
          <w:sz w:val="19"/>
          <w:szCs w:val="19"/>
          <w:color w:val="auto"/>
        </w:rPr>
        <w:t>domestic or foreign, under any Applicable Law currently in effect, is or will be necessary for, or in connection with,</w:t>
      </w:r>
    </w:p>
    <w:p>
      <w:pPr>
        <w:ind w:left="1300"/>
        <w:spacing w:after="0" w:line="204" w:lineRule="auto"/>
        <w:rPr>
          <w:sz w:val="20"/>
          <w:szCs w:val="20"/>
          <w:color w:val="auto"/>
        </w:rPr>
      </w:pPr>
      <w:r>
        <w:rPr>
          <w:rFonts w:ascii="Times New Roman" w:cs="Times New Roman" w:eastAsia="Times New Roman" w:hAnsi="Times New Roman"/>
          <w:sz w:val="20"/>
          <w:szCs w:val="20"/>
          <w:color w:val="auto"/>
        </w:rPr>
        <w:t>the transaction contemplated by this Agreement or any other agreement or instrument executed in connection herewith, or for the performance by it of its obligations under this Agreement and such other agreements except as</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may be required to obtain Hart-Scott-Rodino clearance or other clearances as required by other government authorities.</w:t>
      </w:r>
    </w:p>
    <w:p>
      <w:pPr>
        <w:spacing w:after="0" w:line="149" w:lineRule="exact"/>
        <w:rPr>
          <w:sz w:val="20"/>
          <w:szCs w:val="20"/>
          <w:color w:val="auto"/>
        </w:rPr>
      </w:pPr>
    </w:p>
    <w:p>
      <w:pPr>
        <w:ind w:left="640" w:right="2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u w:val="single" w:color="auto"/>
          <w:color w:val="auto"/>
        </w:rPr>
        <w:t>Recursion Representations and Warranties</w:t>
      </w:r>
      <w:r>
        <w:rPr>
          <w:rFonts w:ascii="Times New Roman" w:cs="Times New Roman" w:eastAsia="Times New Roman" w:hAnsi="Times New Roman"/>
          <w:sz w:val="20"/>
          <w:szCs w:val="20"/>
          <w:color w:val="auto"/>
        </w:rPr>
        <w:t>. Recursion hereby represents and warrants to Bayer that as of the Effective Date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of this Agreement:</w:t>
      </w:r>
    </w:p>
    <w:p>
      <w:pPr>
        <w:spacing w:after="0" w:line="161" w:lineRule="exact"/>
        <w:rPr>
          <w:sz w:val="20"/>
          <w:szCs w:val="20"/>
          <w:color w:val="auto"/>
        </w:rPr>
      </w:pPr>
    </w:p>
    <w:p>
      <w:pPr>
        <w:jc w:val="both"/>
        <w:ind w:left="1140" w:hanging="515"/>
        <w:spacing w:after="0" w:line="222" w:lineRule="auto"/>
        <w:tabs>
          <w:tab w:leader="none" w:pos="108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Recursion’s right, title and interest in the Licensed Rights, and Background Know-How licensed to Bayer under this Agreement are not subject to any encumbrance, lien, restriction or claim of ownership by any other party that would impair Recursion’s ability to grant the licenses granted hereunder, which have not been waived as of the Effective Date of this Agreement (such waiver to be evidenced by Recursion by providing respective documentation to Bayer);</w:t>
      </w:r>
    </w:p>
    <w:p>
      <w:pPr>
        <w:spacing w:after="0" w:line="148" w:lineRule="exact"/>
        <w:rPr>
          <w:rFonts w:ascii="Times New Roman" w:cs="Times New Roman" w:eastAsia="Times New Roman" w:hAnsi="Times New Roman"/>
          <w:sz w:val="20"/>
          <w:szCs w:val="20"/>
          <w:color w:val="auto"/>
        </w:rPr>
      </w:pPr>
    </w:p>
    <w:p>
      <w:pPr>
        <w:ind w:left="1140" w:hanging="515"/>
        <w:spacing w:after="0"/>
        <w:tabs>
          <w:tab w:leader="none" w:pos="10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Recursion has not granted any right to any other party which would conflict with the rights granted to Bayer hereunder; and</w:t>
      </w:r>
    </w:p>
    <w:p>
      <w:pPr>
        <w:spacing w:after="0" w:line="147" w:lineRule="exact"/>
        <w:rPr>
          <w:rFonts w:ascii="Times New Roman" w:cs="Times New Roman" w:eastAsia="Times New Roman" w:hAnsi="Times New Roman"/>
          <w:sz w:val="20"/>
          <w:szCs w:val="20"/>
          <w:color w:val="auto"/>
        </w:rPr>
      </w:pPr>
    </w:p>
    <w:p>
      <w:pPr>
        <w:jc w:val="both"/>
        <w:ind w:left="1140" w:hanging="515"/>
        <w:spacing w:after="0" w:line="220" w:lineRule="auto"/>
        <w:tabs>
          <w:tab w:leader="none" w:pos="121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Recursion has disclosed to Bayer any intellectual property rights of any third party that the Recursion officers and senior employees that participated in the Project are aware of which may be infringed or misappropriated by the Licensed Rights, and that Recursion has disclosed any written notice, claim or other communication alleging such infringement or misappropriation or challenging Recursion’s right, title and interest with respect to the Licensed Rights.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Exclusions</w:t>
      </w:r>
      <w:r>
        <w:rPr>
          <w:rFonts w:ascii="Times New Roman" w:cs="Times New Roman" w:eastAsia="Times New Roman" w:hAnsi="Times New Roman"/>
          <w:sz w:val="19"/>
          <w:szCs w:val="19"/>
          <w:color w:val="auto"/>
        </w:rPr>
        <w:t>. Bayer acknowledges that Recursion does not represent or warrant:</w:t>
      </w:r>
    </w:p>
    <w:p>
      <w:pPr>
        <w:spacing w:after="0" w:line="175" w:lineRule="exact"/>
        <w:rPr>
          <w:sz w:val="20"/>
          <w:szCs w:val="20"/>
          <w:color w:val="auto"/>
        </w:rPr>
      </w:pPr>
    </w:p>
    <w:p>
      <w:pPr>
        <w:ind w:left="1120" w:hanging="495"/>
        <w:spacing w:after="0"/>
        <w:tabs>
          <w:tab w:leader="none" w:pos="112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or scope of any of the Intellectual Property Rights that are the subject matter of this Agreement; or</w:t>
      </w:r>
    </w:p>
    <w:p>
      <w:pPr>
        <w:spacing w:after="0" w:line="188" w:lineRule="exact"/>
        <w:rPr>
          <w:rFonts w:ascii="Times New Roman" w:cs="Times New Roman" w:eastAsia="Times New Roman" w:hAnsi="Times New Roman"/>
          <w:sz w:val="20"/>
          <w:szCs w:val="20"/>
          <w:color w:val="auto"/>
        </w:rPr>
      </w:pPr>
    </w:p>
    <w:p>
      <w:pPr>
        <w:ind w:left="1140" w:hanging="515"/>
        <w:spacing w:after="0"/>
        <w:tabs>
          <w:tab w:leader="none" w:pos="1129"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exploitation of any of the Intellectual Property Rights that are the subject matter of this Agreement will be successful.</w:t>
      </w:r>
    </w:p>
    <w:p>
      <w:pPr>
        <w:spacing w:after="0" w:line="148"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No Other Promises or Warranties</w:t>
      </w:r>
      <w:r>
        <w:rPr>
          <w:rFonts w:ascii="Times New Roman" w:cs="Times New Roman" w:eastAsia="Times New Roman" w:hAnsi="Times New Roman"/>
          <w:sz w:val="20"/>
          <w:szCs w:val="20"/>
          <w:color w:val="auto"/>
        </w:rPr>
        <w:t>. EXCEPT AS OTHERWISE EXPRESSLY SET FORTH HEREIN, NEITHER PARTY MAKES ANY REPRESENTATION OR EXTENDS ANY WARRANTIES OF ANY KIND, EITHER EXPRESS OR</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IMPLIED, TO THE OTHER PARTY: RECURSION IN PARTICULAR HEREBY DISCLAIMS ANY EXPRESS OR IMPLIED WARRANTY OF MERCHANTIBILITY OR FITNESS FOR A PARTICULAR PURPOSE OR, EXCEPT AS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EXPRESSLY SET FORTH IN THIS AGREEMENT,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0580"/>
          </w:cols>
          <w:pgMar w:left="980" w:top="1440" w:right="339" w:bottom="1440" w:gutter="0" w:footer="0" w:header="0"/>
        </w:sectPr>
      </w:pPr>
    </w:p>
    <w:bookmarkStart w:id="282" w:name="page283"/>
    <w:bookmarkEnd w:id="282"/>
    <w:p>
      <w:pPr>
        <w:spacing w:after="0" w:line="200" w:lineRule="exact"/>
        <w:rPr>
          <w:sz w:val="20"/>
          <w:szCs w:val="20"/>
          <w:color w:val="auto"/>
        </w:rPr>
      </w:pPr>
    </w:p>
    <w:p>
      <w:pPr>
        <w:spacing w:after="0" w:line="35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9"/>
          <w:szCs w:val="19"/>
          <w:color w:val="auto"/>
        </w:rPr>
        <w:t>INFRINGEMENT OF INTELLECTUAL PROPERTY RIGHTS. BAYER HEREBY DISCLAIMS IN PARTICULAR ANY</w:t>
      </w:r>
    </w:p>
    <w:p>
      <w:pPr>
        <w:spacing w:after="0" w:line="6" w:lineRule="exact"/>
        <w:rPr>
          <w:sz w:val="20"/>
          <w:szCs w:val="20"/>
          <w:color w:val="auto"/>
        </w:rPr>
      </w:pPr>
    </w:p>
    <w:p>
      <w:pPr>
        <w:ind w:left="1292"/>
        <w:spacing w:after="0" w:line="215" w:lineRule="auto"/>
        <w:rPr>
          <w:sz w:val="20"/>
          <w:szCs w:val="20"/>
          <w:color w:val="auto"/>
        </w:rPr>
      </w:pPr>
      <w:r>
        <w:rPr>
          <w:rFonts w:ascii="Times New Roman" w:cs="Times New Roman" w:eastAsia="Times New Roman" w:hAnsi="Times New Roman"/>
          <w:sz w:val="19"/>
          <w:szCs w:val="19"/>
          <w:color w:val="auto"/>
        </w:rPr>
        <w:t>REPRESENTATION OR WARRANTY THAT THE DEVELOPMENT, COMMERCIALIZATION AND MANUFACTURE OF THE PRODUCT, OR THE OBTAINMENT OF MARKETING AUTHORIZATION OR PRICING APPROVAL IN</w:t>
      </w:r>
    </w:p>
    <w:p>
      <w:pPr>
        <w:ind w:left="1292"/>
        <w:spacing w:after="0"/>
        <w:rPr>
          <w:sz w:val="20"/>
          <w:szCs w:val="20"/>
          <w:color w:val="auto"/>
        </w:rPr>
      </w:pPr>
      <w:r>
        <w:rPr>
          <w:rFonts w:ascii="Times New Roman" w:cs="Times New Roman" w:eastAsia="Times New Roman" w:hAnsi="Times New Roman"/>
          <w:sz w:val="20"/>
          <w:szCs w:val="20"/>
          <w:color w:val="auto"/>
        </w:rPr>
        <w:t>ANY PARTICULAR COUNTRY, PURSUANT TO THIS AGREEMENT WILL BE SUCCESSFUL.</w:t>
      </w:r>
    </w:p>
    <w:p>
      <w:pPr>
        <w:spacing w:after="0" w:line="167" w:lineRule="exact"/>
        <w:rPr>
          <w:sz w:val="20"/>
          <w:szCs w:val="20"/>
          <w:color w:val="auto"/>
        </w:rPr>
      </w:pPr>
    </w:p>
    <w:p>
      <w:pPr>
        <w:jc w:val="right"/>
        <w:ind w:left="652"/>
        <w:spacing w:after="0" w:line="215"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No Liability for Indirect Damages</w:t>
      </w:r>
      <w:r>
        <w:rPr>
          <w:rFonts w:ascii="Times New Roman" w:cs="Times New Roman" w:eastAsia="Times New Roman" w:hAnsi="Times New Roman"/>
          <w:sz w:val="20"/>
          <w:szCs w:val="20"/>
          <w:color w:val="auto"/>
        </w:rPr>
        <w:t>. NOTWITHSTANDING ANYTHING IN THIS AGREEMENT OR OTHERWISE, NEITHER PARTY, THEIR DIRECTORS, OFFICERS, EMPLOYEES, AGENTS, AND AFFILIATED INVESTIGATORS</w:t>
      </w:r>
    </w:p>
    <w:p>
      <w:pPr>
        <w:ind w:left="1292"/>
        <w:spacing w:after="0" w:line="212" w:lineRule="auto"/>
        <w:rPr>
          <w:sz w:val="20"/>
          <w:szCs w:val="20"/>
          <w:color w:val="auto"/>
        </w:rPr>
      </w:pPr>
      <w:r>
        <w:rPr>
          <w:rFonts w:ascii="Times New Roman" w:cs="Times New Roman" w:eastAsia="Times New Roman" w:hAnsi="Times New Roman"/>
          <w:sz w:val="20"/>
          <w:szCs w:val="20"/>
          <w:color w:val="auto"/>
        </w:rPr>
        <w:t>SHALL BE LIABLE TO THE OTHER WITH RESPECT TO ANY SUBJECT MATTER OF THIS AGREEMENT FOR</w:t>
      </w:r>
    </w:p>
    <w:p>
      <w:pPr>
        <w:spacing w:after="0" w:line="1" w:lineRule="exact"/>
        <w:rPr>
          <w:sz w:val="20"/>
          <w:szCs w:val="20"/>
          <w:color w:val="auto"/>
        </w:rPr>
      </w:pPr>
    </w:p>
    <w:p>
      <w:pPr>
        <w:ind w:left="1292" w:right="20"/>
        <w:spacing w:after="0" w:line="215" w:lineRule="auto"/>
        <w:rPr>
          <w:sz w:val="20"/>
          <w:szCs w:val="20"/>
          <w:color w:val="auto"/>
        </w:rPr>
      </w:pPr>
      <w:r>
        <w:rPr>
          <w:rFonts w:ascii="Times New Roman" w:cs="Times New Roman" w:eastAsia="Times New Roman" w:hAnsi="Times New Roman"/>
          <w:sz w:val="19"/>
          <w:szCs w:val="19"/>
          <w:color w:val="auto"/>
        </w:rPr>
        <w:t>ANY INDIRECT, PUNITIVE, SPECIAL OR CONSEQUENTIAL DAMAGES, INCLUDING ANY SUCH INCIDENTAL, ECONOMIC DAMAGES OR INJURY TO PROPERTY AND LOST PROFITS, EVEN IF SUCH PARTY HAS BEEN</w:t>
      </w:r>
    </w:p>
    <w:p>
      <w:pPr>
        <w:ind w:left="1292"/>
        <w:spacing w:after="0" w:line="211" w:lineRule="auto"/>
        <w:rPr>
          <w:sz w:val="20"/>
          <w:szCs w:val="20"/>
          <w:color w:val="auto"/>
        </w:rPr>
      </w:pPr>
      <w:r>
        <w:rPr>
          <w:rFonts w:ascii="Times New Roman" w:cs="Times New Roman" w:eastAsia="Times New Roman" w:hAnsi="Times New Roman"/>
          <w:sz w:val="20"/>
          <w:szCs w:val="20"/>
          <w:color w:val="auto"/>
        </w:rPr>
        <w:t>INFORMED, SHOULD HAVE KNOWN OR IN FACT KNEW OF THE POSSIBILITY OF SUCH DAMAGES;</w:t>
      </w:r>
    </w:p>
    <w:p>
      <w:pPr>
        <w:ind w:left="1292"/>
        <w:spacing w:after="0" w:line="215" w:lineRule="auto"/>
        <w:rPr>
          <w:sz w:val="20"/>
          <w:szCs w:val="20"/>
          <w:color w:val="auto"/>
        </w:rPr>
      </w:pPr>
      <w:r>
        <w:rPr>
          <w:rFonts w:ascii="Times New Roman" w:cs="Times New Roman" w:eastAsia="Times New Roman" w:hAnsi="Times New Roman"/>
          <w:sz w:val="19"/>
          <w:szCs w:val="19"/>
          <w:color w:val="auto"/>
        </w:rPr>
        <w:t>PROVIDED THAT THIS SECTION 9.5 SHALL NOT APPLY TO THE PARTIES’ CONFIDENTIALITY OBLIGATIONS SET FORTH IN SECTION 11 AND INDEMNIFICATION RIGHTS AND OBLIGATIONS UNDER SECTIONS 10.1 AND</w:t>
      </w:r>
    </w:p>
    <w:p>
      <w:pPr>
        <w:ind w:left="1292"/>
        <w:spacing w:after="0"/>
        <w:rPr>
          <w:sz w:val="20"/>
          <w:szCs w:val="20"/>
          <w:color w:val="auto"/>
        </w:rPr>
      </w:pPr>
      <w:r>
        <w:rPr>
          <w:rFonts w:ascii="Times New Roman" w:cs="Times New Roman" w:eastAsia="Times New Roman" w:hAnsi="Times New Roman"/>
          <w:sz w:val="20"/>
          <w:szCs w:val="20"/>
          <w:color w:val="auto"/>
        </w:rPr>
        <w:t>10.2 OF THIS AGREEMENT.</w:t>
      </w:r>
    </w:p>
    <w:p>
      <w:pPr>
        <w:spacing w:after="0" w:line="203" w:lineRule="exact"/>
        <w:rPr>
          <w:sz w:val="20"/>
          <w:szCs w:val="20"/>
          <w:color w:val="auto"/>
        </w:rPr>
      </w:pPr>
    </w:p>
    <w:p>
      <w:pPr>
        <w:ind w:left="652" w:hanging="652"/>
        <w:spacing w:after="0"/>
        <w:tabs>
          <w:tab w:leader="none" w:pos="652"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INDEMNITY AND INSURANCE</w:t>
      </w:r>
    </w:p>
    <w:p>
      <w:pPr>
        <w:spacing w:after="0" w:line="169" w:lineRule="exact"/>
        <w:rPr>
          <w:rFonts w:ascii="Times New Roman" w:cs="Times New Roman" w:eastAsia="Times New Roman" w:hAnsi="Times New Roman"/>
          <w:sz w:val="22"/>
          <w:szCs w:val="22"/>
          <w:b w:val="1"/>
          <w:bCs w:val="1"/>
          <w:color w:val="auto"/>
        </w:rPr>
      </w:pPr>
    </w:p>
    <w:p>
      <w:pPr>
        <w:ind w:left="1292" w:hanging="648"/>
        <w:spacing w:after="0" w:line="2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Bayer Indemnification</w:t>
      </w:r>
      <w:r>
        <w:rPr>
          <w:rFonts w:ascii="Times New Roman" w:cs="Times New Roman" w:eastAsia="Times New Roman" w:hAnsi="Times New Roman"/>
          <w:sz w:val="20"/>
          <w:szCs w:val="20"/>
          <w:color w:val="auto"/>
        </w:rPr>
        <w:t>. Bayer shall indemnify, defend, and hold harmless Recursion and its Affiliates, and their respective directors, officers, employees, trustees and their respective successors, heirs and assigns (collectively the “</w:t>
      </w:r>
      <w:r>
        <w:rPr>
          <w:rFonts w:ascii="Times New Roman" w:cs="Times New Roman" w:eastAsia="Times New Roman" w:hAnsi="Times New Roman"/>
          <w:sz w:val="20"/>
          <w:szCs w:val="20"/>
          <w:u w:val="single" w:color="auto"/>
          <w:color w:val="auto"/>
        </w:rPr>
        <w:t>Recursion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against any Losses incurred by or imposed upon any of the Recursion Indemnitees in connection with any claims, suits, investigations, actions, demands from or by a Third Party or resulting judgments arising out of or related to (i) the research, development, use or commercialization of the Products by Bayer or its Affiliates or Sublicensee, (ii) any breach of this Agreement, including but not limited to any representation, warranty or covenant set forth herein, by Bayer or its Affiliates or (iii) Bayer’s negligent performance or willful misconduct under this Agreement, except, in each case, to the extent that the respective Losses are caused by breach, the negligence or willful misconduct of a Recursion Indemnitee.</w:t>
      </w:r>
    </w:p>
    <w:p>
      <w:pPr>
        <w:spacing w:after="0" w:line="162" w:lineRule="exact"/>
        <w:rPr>
          <w:rFonts w:ascii="Times New Roman" w:cs="Times New Roman" w:eastAsia="Times New Roman" w:hAnsi="Times New Roman"/>
          <w:sz w:val="22"/>
          <w:szCs w:val="22"/>
          <w:b w:val="1"/>
          <w:bCs w:val="1"/>
          <w:color w:val="auto"/>
        </w:rPr>
      </w:pPr>
    </w:p>
    <w:p>
      <w:pPr>
        <w:ind w:left="1292" w:hanging="648"/>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Recursion Indemnification</w:t>
      </w:r>
      <w:r>
        <w:rPr>
          <w:rFonts w:ascii="Times New Roman" w:cs="Times New Roman" w:eastAsia="Times New Roman" w:hAnsi="Times New Roman"/>
          <w:sz w:val="20"/>
          <w:szCs w:val="20"/>
          <w:color w:val="auto"/>
        </w:rPr>
        <w:t>. Recursion shall indemnify, defend, and hold harmless Bayer and its Affiliates, and their respective directors, officers, employees, trustees and their respective successors, heirs and assigns (collectively and including Bayer the “</w:t>
      </w:r>
      <w:r>
        <w:rPr>
          <w:rFonts w:ascii="Times New Roman" w:cs="Times New Roman" w:eastAsia="Times New Roman" w:hAnsi="Times New Roman"/>
          <w:sz w:val="20"/>
          <w:szCs w:val="20"/>
          <w:u w:val="single" w:color="auto"/>
          <w:color w:val="auto"/>
        </w:rPr>
        <w:t>Bayer Indemnitees</w:t>
      </w:r>
      <w:r>
        <w:rPr>
          <w:rFonts w:ascii="Times New Roman" w:cs="Times New Roman" w:eastAsia="Times New Roman" w:hAnsi="Times New Roman"/>
          <w:sz w:val="20"/>
          <w:szCs w:val="20"/>
          <w:color w:val="auto"/>
        </w:rPr>
        <w:t>”), against any Losses incurred by or imposed upon any of the Bayer Indemnitees in connection with any claims, suits, investigations, actions, demands from or by a Third Party or resulting judgments arising out of or related to (i) Recursion’s or its Affiliates’ use of any rights retained by Recursion under this Agreement, (ii) any breach of this Agreement, including but not limited to any representation, warranty or covenant set forth herein, by Recursion or its Affiliates or (iii) Recursion’s negligent performance or willful misconduct under this Agreement, except, in each case, to the extent that the respective Losses are caused by the breach, negligence or willful misconduct of Bayer Indemnitee.</w:t>
      </w:r>
    </w:p>
    <w:p>
      <w:pPr>
        <w:spacing w:after="0" w:line="165" w:lineRule="exact"/>
        <w:rPr>
          <w:rFonts w:ascii="Times New Roman" w:cs="Times New Roman" w:eastAsia="Times New Roman" w:hAnsi="Times New Roman"/>
          <w:sz w:val="22"/>
          <w:szCs w:val="22"/>
          <w:b w:val="1"/>
          <w:bCs w:val="1"/>
          <w:color w:val="auto"/>
        </w:rPr>
      </w:pPr>
    </w:p>
    <w:p>
      <w:pPr>
        <w:ind w:left="1292" w:hanging="648"/>
        <w:spacing w:after="0" w:line="21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Procedures</w:t>
      </w:r>
      <w:r>
        <w:rPr>
          <w:rFonts w:ascii="Times New Roman" w:cs="Times New Roman" w:eastAsia="Times New Roman" w:hAnsi="Times New Roman"/>
          <w:sz w:val="20"/>
          <w:szCs w:val="20"/>
          <w:color w:val="auto"/>
        </w:rPr>
        <w:t>. The Recursion or Bayer Indemnitee (referred to as applicable as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agrees to provide the Party from which indemnification is sought (the “</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with prompt written notice of any claim, suit, action, demand, or judgment for which indemnification is sought under this Agreement; provided that, an Indemnitee’s failure to do so shall not affect the rights of such Indemnitee unless, and then only to the extent that, such delay or failure is prejudicial to or otherwise adversely affects the Indemnifying Party. The Indemnifying Party agrees, at its own expense, to provide attorneys reasonably acceptable to the Indemnitee to defend against any such claim. The Indemnifying Party shall defend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32"/>
          </w:cols>
          <w:pgMar w:left="328" w:top="1440" w:right="339" w:bottom="1440" w:gutter="0" w:footer="0" w:header="0"/>
        </w:sectPr>
      </w:pPr>
    </w:p>
    <w:bookmarkStart w:id="283" w:name="page284"/>
    <w:bookmarkEnd w:id="283"/>
    <w:p>
      <w:pPr>
        <w:spacing w:after="0" w:line="200" w:lineRule="exact"/>
        <w:rPr>
          <w:sz w:val="20"/>
          <w:szCs w:val="20"/>
          <w:color w:val="auto"/>
        </w:rPr>
      </w:pPr>
    </w:p>
    <w:p>
      <w:pPr>
        <w:spacing w:after="0" w:line="34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handle the claim in consultation with the Indemnified Party, and shall keep the Indemnified Party timely apprised of the</w:t>
      </w:r>
    </w:p>
    <w:p>
      <w:pPr>
        <w:ind w:left="1292"/>
        <w:spacing w:after="0" w:line="204" w:lineRule="auto"/>
        <w:rPr>
          <w:sz w:val="20"/>
          <w:szCs w:val="20"/>
          <w:color w:val="auto"/>
        </w:rPr>
      </w:pPr>
      <w:r>
        <w:rPr>
          <w:rFonts w:ascii="Times New Roman" w:cs="Times New Roman" w:eastAsia="Times New Roman" w:hAnsi="Times New Roman"/>
          <w:sz w:val="20"/>
          <w:szCs w:val="20"/>
          <w:color w:val="auto"/>
        </w:rPr>
        <w:t>status of such Third Party Claim. The Indemnitee shall cooperate with the Indemnifying Party in such defense and shall permit the Indemnifying Party to conduct and control such defense and the disposition of such claim, suit, or action</w:t>
      </w:r>
    </w:p>
    <w:p>
      <w:pPr>
        <w:ind w:left="1292"/>
        <w:spacing w:after="0" w:line="211" w:lineRule="auto"/>
        <w:rPr>
          <w:sz w:val="20"/>
          <w:szCs w:val="20"/>
          <w:color w:val="auto"/>
        </w:rPr>
      </w:pPr>
      <w:r>
        <w:rPr>
          <w:rFonts w:ascii="Times New Roman" w:cs="Times New Roman" w:eastAsia="Times New Roman" w:hAnsi="Times New Roman"/>
          <w:sz w:val="20"/>
          <w:szCs w:val="20"/>
          <w:color w:val="auto"/>
        </w:rPr>
        <w:t>(including all decisions relative to litigation, appeal, and settlement). The Indemnitee shall have the right to retain its own</w:t>
      </w:r>
    </w:p>
    <w:p>
      <w:pPr>
        <w:spacing w:after="0" w:line="1" w:lineRule="exact"/>
        <w:rPr>
          <w:sz w:val="20"/>
          <w:szCs w:val="20"/>
          <w:color w:val="auto"/>
        </w:rPr>
      </w:pPr>
    </w:p>
    <w:p>
      <w:pPr>
        <w:ind w:left="1292"/>
        <w:spacing w:after="0" w:line="221" w:lineRule="auto"/>
        <w:rPr>
          <w:sz w:val="20"/>
          <w:szCs w:val="20"/>
          <w:color w:val="auto"/>
        </w:rPr>
      </w:pPr>
      <w:r>
        <w:rPr>
          <w:rFonts w:ascii="Times New Roman" w:cs="Times New Roman" w:eastAsia="Times New Roman" w:hAnsi="Times New Roman"/>
          <w:sz w:val="20"/>
          <w:szCs w:val="20"/>
          <w:color w:val="auto"/>
        </w:rPr>
        <w:t>counsel, at its own expense. The Indemnifying Party agrees to keep the Indemnitee informed of the progress in the defense and disposition of such claim and to consult with the Indemnitee with regard to any proposed settlement.</w:t>
      </w:r>
    </w:p>
    <w:p>
      <w:pPr>
        <w:spacing w:after="0" w:line="156"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Notwithstanding anything to the contrary in this Agreement, the Indemnifying Party shall not enter into any</w:t>
      </w:r>
    </w:p>
    <w:p>
      <w:pPr>
        <w:ind w:left="1292"/>
        <w:spacing w:after="0" w:line="204" w:lineRule="auto"/>
        <w:rPr>
          <w:sz w:val="20"/>
          <w:szCs w:val="20"/>
          <w:color w:val="auto"/>
        </w:rPr>
      </w:pPr>
      <w:r>
        <w:rPr>
          <w:rFonts w:ascii="Times New Roman" w:cs="Times New Roman" w:eastAsia="Times New Roman" w:hAnsi="Times New Roman"/>
          <w:sz w:val="20"/>
          <w:szCs w:val="20"/>
          <w:color w:val="auto"/>
        </w:rPr>
        <w:t>settlement, consent judgment, or other voluntary final disposition of any claim that has an adverse effect on the rights of any Indemnitee(s) hereunder, or admits any wrongdoing or fault by any Indemnitee(s), imposes on any Indemnitee(s) any</w:t>
      </w:r>
    </w:p>
    <w:p>
      <w:pPr>
        <w:spacing w:after="0" w:line="1" w:lineRule="exact"/>
        <w:rPr>
          <w:sz w:val="20"/>
          <w:szCs w:val="20"/>
          <w:color w:val="auto"/>
        </w:rPr>
      </w:pPr>
    </w:p>
    <w:p>
      <w:pPr>
        <w:ind w:left="1292"/>
        <w:spacing w:after="0" w:line="228" w:lineRule="auto"/>
        <w:rPr>
          <w:sz w:val="20"/>
          <w:szCs w:val="20"/>
          <w:color w:val="auto"/>
        </w:rPr>
      </w:pPr>
      <w:r>
        <w:rPr>
          <w:rFonts w:ascii="Times New Roman" w:cs="Times New Roman" w:eastAsia="Times New Roman" w:hAnsi="Times New Roman"/>
          <w:sz w:val="20"/>
          <w:szCs w:val="20"/>
          <w:color w:val="auto"/>
        </w:rPr>
        <w:t>payment or other liability, or does not include a release of all claims against the Indemnitee without the prior written consent of the Indemnitee, provided however, that such consent shall not be unreasonably withheld.</w:t>
      </w:r>
    </w:p>
    <w:p>
      <w:pPr>
        <w:spacing w:after="0" w:line="149" w:lineRule="exact"/>
        <w:rPr>
          <w:sz w:val="20"/>
          <w:szCs w:val="20"/>
          <w:color w:val="auto"/>
        </w:rPr>
      </w:pPr>
    </w:p>
    <w:p>
      <w:pPr>
        <w:jc w:val="both"/>
        <w:ind w:left="1292" w:hanging="647"/>
        <w:spacing w:after="0" w:line="230" w:lineRule="auto"/>
        <w:tabs>
          <w:tab w:leader="none" w:pos="1272"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Parties hereby agree to maintain a program of insurance and/or self-insurance which is prudent and adequate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to address any claim or liability which may arise out of the performance of their obligations pursuant to this Agreement. Bayer also shall ensure that any Sublicensee also maintains insurance sufficient to meaningfully protect Recursion.</w:t>
      </w:r>
    </w:p>
    <w:p>
      <w:pPr>
        <w:spacing w:after="0" w:line="185" w:lineRule="exact"/>
        <w:rPr>
          <w:sz w:val="20"/>
          <w:szCs w:val="20"/>
          <w:color w:val="auto"/>
        </w:rPr>
      </w:pPr>
    </w:p>
    <w:p>
      <w:pPr>
        <w:ind w:left="632" w:hanging="632"/>
        <w:spacing w:after="0"/>
        <w:tabs>
          <w:tab w:leader="none" w:pos="632"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CONFIDENTIALITY</w:t>
      </w:r>
    </w:p>
    <w:p>
      <w:pPr>
        <w:spacing w:after="0" w:line="169" w:lineRule="exact"/>
        <w:rPr>
          <w:rFonts w:ascii="Times New Roman" w:cs="Times New Roman" w:eastAsia="Times New Roman" w:hAnsi="Times New Roman"/>
          <w:sz w:val="22"/>
          <w:szCs w:val="22"/>
          <w:b w:val="1"/>
          <w:bCs w:val="1"/>
          <w:color w:val="auto"/>
        </w:rPr>
      </w:pPr>
    </w:p>
    <w:p>
      <w:pPr>
        <w:ind w:left="1292" w:hanging="648"/>
        <w:spacing w:after="0" w:line="21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Definition</w:t>
      </w:r>
      <w:r>
        <w:rPr>
          <w:rFonts w:ascii="Times New Roman" w:cs="Times New Roman" w:eastAsia="Times New Roman" w:hAnsi="Times New Roman"/>
          <w:sz w:val="20"/>
          <w:szCs w:val="20"/>
          <w:color w:val="auto"/>
        </w:rPr>
        <w:t>. Each Party (“</w:t>
      </w:r>
      <w:r>
        <w:rPr>
          <w:rFonts w:ascii="Times New Roman" w:cs="Times New Roman" w:eastAsia="Times New Roman" w:hAnsi="Times New Roman"/>
          <w:sz w:val="20"/>
          <w:szCs w:val="20"/>
          <w:u w:val="single" w:color="auto"/>
          <w:color w:val="auto"/>
        </w:rPr>
        <w:t>Disclosing Party</w:t>
      </w:r>
      <w:r>
        <w:rPr>
          <w:rFonts w:ascii="Times New Roman" w:cs="Times New Roman" w:eastAsia="Times New Roman" w:hAnsi="Times New Roman"/>
          <w:sz w:val="20"/>
          <w:szCs w:val="20"/>
          <w:color w:val="auto"/>
        </w:rPr>
        <w:t>”) may disclose to the other Party (“</w:t>
      </w:r>
      <w:r>
        <w:rPr>
          <w:rFonts w:ascii="Times New Roman" w:cs="Times New Roman" w:eastAsia="Times New Roman" w:hAnsi="Times New Roman"/>
          <w:sz w:val="20"/>
          <w:szCs w:val="20"/>
          <w:u w:val="single" w:color="auto"/>
          <w:color w:val="auto"/>
        </w:rPr>
        <w:t>Receiving Party</w:t>
      </w:r>
      <w:r>
        <w:rPr>
          <w:rFonts w:ascii="Times New Roman" w:cs="Times New Roman" w:eastAsia="Times New Roman" w:hAnsi="Times New Roman"/>
          <w:sz w:val="20"/>
          <w:szCs w:val="20"/>
          <w:color w:val="auto"/>
        </w:rPr>
        <w:t>”), and Receiving Party may acquire during the course and conduct of activities under the Agreement, Confidential Information of Disclosing Party in connection with this Agreement. The term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all confidential information or material in tangible and non-tangible form disclosed hereunder; including all technical and non-technical information conveyed from one Party to the other in any form, electronic data, and other trade secret, proprietary information, samples, Compounds, methods, formulas, processes, protocols, technologies and equipment employed, information relating to quality assurance, procedures for and record keeping, techniques, inventions, know-how, apparatus, and formulae.</w:t>
      </w:r>
    </w:p>
    <w:p>
      <w:pPr>
        <w:spacing w:after="0" w:line="164" w:lineRule="exact"/>
        <w:rPr>
          <w:sz w:val="20"/>
          <w:szCs w:val="20"/>
          <w:color w:val="auto"/>
        </w:rPr>
      </w:pPr>
    </w:p>
    <w:p>
      <w:pPr>
        <w:ind w:left="1292" w:hanging="647"/>
        <w:spacing w:after="0" w:line="233" w:lineRule="auto"/>
        <w:tabs>
          <w:tab w:leader="none" w:pos="1272"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u w:val="single" w:color="auto"/>
          <w:color w:val="auto"/>
        </w:rPr>
        <w:t>Allocation of Confidential Information</w:t>
      </w:r>
      <w:r>
        <w:rPr>
          <w:rFonts w:ascii="Times New Roman" w:cs="Times New Roman" w:eastAsia="Times New Roman" w:hAnsi="Times New Roman"/>
          <w:sz w:val="20"/>
          <w:szCs w:val="20"/>
          <w:color w:val="auto"/>
        </w:rPr>
        <w:t>. The terms and conditions of this Agreement shall be considered to be Confidential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Information of Recursion and Bayer and be treated confidential by each Party.</w:t>
      </w:r>
    </w:p>
    <w:p>
      <w:pPr>
        <w:spacing w:after="0" w:line="161"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The Licensed Rights shall be considered to be Confidential Information of Bayer and be treated confidential by Recursion.</w:t>
      </w:r>
    </w:p>
    <w:p>
      <w:pPr>
        <w:spacing w:after="0" w:line="189"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Exclusions</w:t>
      </w:r>
      <w:r>
        <w:rPr>
          <w:rFonts w:ascii="Times New Roman" w:cs="Times New Roman" w:eastAsia="Times New Roman" w:hAnsi="Times New Roman"/>
          <w:sz w:val="19"/>
          <w:szCs w:val="19"/>
          <w:color w:val="auto"/>
        </w:rPr>
        <w:t>. Confidential Information does not include information which:</w:t>
      </w:r>
    </w:p>
    <w:p>
      <w:pPr>
        <w:spacing w:after="0" w:line="175" w:lineRule="exact"/>
        <w:rPr>
          <w:sz w:val="20"/>
          <w:szCs w:val="20"/>
          <w:color w:val="auto"/>
        </w:rPr>
      </w:pPr>
    </w:p>
    <w:p>
      <w:pPr>
        <w:ind w:left="1712" w:hanging="416"/>
        <w:spacing w:after="0"/>
        <w:tabs>
          <w:tab w:leader="none" w:pos="171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at the time of disclosure in the public domain;</w:t>
      </w:r>
    </w:p>
    <w:p>
      <w:pPr>
        <w:spacing w:after="0" w:line="188" w:lineRule="exact"/>
        <w:rPr>
          <w:rFonts w:ascii="Times New Roman" w:cs="Times New Roman" w:eastAsia="Times New Roman" w:hAnsi="Times New Roman"/>
          <w:sz w:val="20"/>
          <w:szCs w:val="20"/>
          <w:color w:val="auto"/>
        </w:rPr>
      </w:pPr>
    </w:p>
    <w:p>
      <w:pPr>
        <w:ind w:left="1732" w:hanging="436"/>
        <w:spacing w:after="0"/>
        <w:tabs>
          <w:tab w:leader="none" w:pos="173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after disclosure part of the public domain other than by an act or omission on the part of the Receiving Party;</w:t>
      </w:r>
    </w:p>
    <w:p>
      <w:pPr>
        <w:spacing w:after="0" w:line="188" w:lineRule="exact"/>
        <w:rPr>
          <w:rFonts w:ascii="Times New Roman" w:cs="Times New Roman" w:eastAsia="Times New Roman" w:hAnsi="Times New Roman"/>
          <w:sz w:val="20"/>
          <w:szCs w:val="20"/>
          <w:color w:val="auto"/>
        </w:rPr>
      </w:pPr>
    </w:p>
    <w:p>
      <w:pPr>
        <w:ind w:left="1712" w:hanging="416"/>
        <w:spacing w:after="0"/>
        <w:tabs>
          <w:tab w:leader="none" w:pos="1712"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Receiving Party can prove was known to it or its Affiliates before the date of its disclosure by the Disclosing Party;</w:t>
      </w:r>
    </w:p>
    <w:p>
      <w:pPr>
        <w:spacing w:after="0" w:line="186" w:lineRule="exact"/>
        <w:rPr>
          <w:rFonts w:ascii="Times New Roman" w:cs="Times New Roman" w:eastAsia="Times New Roman" w:hAnsi="Times New Roman"/>
          <w:sz w:val="19"/>
          <w:szCs w:val="19"/>
          <w:color w:val="auto"/>
        </w:rPr>
      </w:pPr>
    </w:p>
    <w:p>
      <w:pPr>
        <w:ind w:left="1672" w:hanging="376"/>
        <w:spacing w:after="0"/>
        <w:tabs>
          <w:tab w:leader="none" w:pos="17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Receiving Party or its Affiliates obtains from a Third Party; provided that such information was not obtained by said Third Party, directly or indirectly, from the Disclosing Party under an obligation of confidentiality; and /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32"/>
          </w:cols>
          <w:pgMar w:left="328" w:top="1440" w:right="339" w:bottom="1440" w:gutter="0" w:footer="0" w:header="0"/>
        </w:sectPr>
      </w:pPr>
    </w:p>
    <w:bookmarkStart w:id="284" w:name="page285"/>
    <w:bookmarkEnd w:id="284"/>
    <w:p>
      <w:pPr>
        <w:spacing w:after="0" w:line="200" w:lineRule="exact"/>
        <w:rPr>
          <w:sz w:val="20"/>
          <w:szCs w:val="20"/>
          <w:color w:val="auto"/>
        </w:rPr>
      </w:pPr>
    </w:p>
    <w:p>
      <w:pPr>
        <w:spacing w:after="0" w:line="354" w:lineRule="exact"/>
        <w:rPr>
          <w:sz w:val="20"/>
          <w:szCs w:val="20"/>
          <w:color w:val="auto"/>
        </w:rPr>
      </w:pPr>
    </w:p>
    <w:p>
      <w:pPr>
        <w:ind w:left="1020" w:hanging="376"/>
        <w:spacing w:after="0"/>
        <w:tabs>
          <w:tab w:leader="none" w:pos="1057"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Receiving Party can prove was developed by it or its Affiliates independently of (i.e., without use of or reference to) the Confidential Information provided by the Disclosing Party.</w:t>
      </w:r>
    </w:p>
    <w:p>
      <w:pPr>
        <w:spacing w:after="0" w:line="148" w:lineRule="exact"/>
        <w:rPr>
          <w:sz w:val="20"/>
          <w:szCs w:val="20"/>
          <w:color w:val="auto"/>
        </w:rPr>
      </w:pPr>
    </w:p>
    <w:p>
      <w:pPr>
        <w:jc w:val="both"/>
        <w:ind w:left="640"/>
        <w:spacing w:after="0" w:line="230" w:lineRule="auto"/>
        <w:rPr>
          <w:sz w:val="20"/>
          <w:szCs w:val="20"/>
          <w:color w:val="auto"/>
        </w:rPr>
      </w:pPr>
      <w:r>
        <w:rPr>
          <w:rFonts w:ascii="Times New Roman" w:cs="Times New Roman" w:eastAsia="Times New Roman" w:hAnsi="Times New Roman"/>
          <w:sz w:val="20"/>
          <w:szCs w:val="20"/>
          <w:color w:val="auto"/>
        </w:rPr>
        <w:t>Confidential Information shall not be deemed to be in, or have come into, the public domain merely because any part of such Confidential Information is embodied in general disclosures or because individual features, components or combinations thereof are or become publicly known.</w:t>
      </w:r>
    </w:p>
    <w:p>
      <w:pPr>
        <w:spacing w:after="0" w:line="14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u w:val="single" w:color="auto"/>
          <w:color w:val="auto"/>
        </w:rPr>
        <w:t>Obligation of Confidentiality and Non-Use</w:t>
      </w:r>
      <w:r>
        <w:rPr>
          <w:rFonts w:ascii="Times New Roman" w:cs="Times New Roman" w:eastAsia="Times New Roman" w:hAnsi="Times New Roman"/>
          <w:sz w:val="20"/>
          <w:szCs w:val="20"/>
          <w:color w:val="auto"/>
        </w:rPr>
        <w:t>. The Receiving Party agrees with respect to the Confidential Information of the</w:t>
      </w:r>
    </w:p>
    <w:p>
      <w:pPr>
        <w:ind w:left="640"/>
        <w:spacing w:after="0"/>
        <w:rPr>
          <w:sz w:val="20"/>
          <w:szCs w:val="20"/>
          <w:color w:val="auto"/>
        </w:rPr>
      </w:pPr>
      <w:r>
        <w:rPr>
          <w:rFonts w:ascii="Times New Roman" w:cs="Times New Roman" w:eastAsia="Times New Roman" w:hAnsi="Times New Roman"/>
          <w:sz w:val="20"/>
          <w:szCs w:val="20"/>
          <w:color w:val="auto"/>
        </w:rPr>
        <w:t>Disclosing Party that:</w:t>
      </w:r>
    </w:p>
    <w:p>
      <w:pPr>
        <w:spacing w:after="0" w:line="167" w:lineRule="exact"/>
        <w:rPr>
          <w:sz w:val="20"/>
          <w:szCs w:val="20"/>
          <w:color w:val="auto"/>
        </w:rPr>
      </w:pPr>
    </w:p>
    <w:p>
      <w:pPr>
        <w:jc w:val="both"/>
        <w:ind w:left="1020" w:hanging="376"/>
        <w:spacing w:after="0" w:line="226" w:lineRule="auto"/>
        <w:tabs>
          <w:tab w:leader="none" w:pos="116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hold in confidence and take such steps as it normally takes to protect its own confidential and proprietary information, but in any event no less than reasonable steps, to preserve the confidentiality of the Confidential Information disclosed to it by the Disclosing Party under this Agreement;</w:t>
      </w:r>
    </w:p>
    <w:p>
      <w:pPr>
        <w:spacing w:after="0" w:line="160" w:lineRule="exact"/>
        <w:rPr>
          <w:rFonts w:ascii="Times New Roman" w:cs="Times New Roman" w:eastAsia="Times New Roman" w:hAnsi="Times New Roman"/>
          <w:sz w:val="20"/>
          <w:szCs w:val="20"/>
          <w:color w:val="auto"/>
        </w:rPr>
      </w:pPr>
    </w:p>
    <w:p>
      <w:pPr>
        <w:ind w:left="1020" w:hanging="376"/>
        <w:spacing w:after="0" w:line="233" w:lineRule="auto"/>
        <w:tabs>
          <w:tab w:leader="none" w:pos="1199"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use the Confidential Information of the Disclosing Party, for any purposes other than to perform the Receiving Party’s obligations or exercise the Receiving Party’s rights under this Agreement; and</w:t>
      </w:r>
    </w:p>
    <w:p>
      <w:pPr>
        <w:spacing w:after="0" w:line="160" w:lineRule="exact"/>
        <w:rPr>
          <w:rFonts w:ascii="Times New Roman" w:cs="Times New Roman" w:eastAsia="Times New Roman" w:hAnsi="Times New Roman"/>
          <w:sz w:val="20"/>
          <w:szCs w:val="20"/>
          <w:color w:val="auto"/>
        </w:rPr>
      </w:pPr>
    </w:p>
    <w:p>
      <w:pPr>
        <w:jc w:val="both"/>
        <w:ind w:left="1020" w:right="20" w:hanging="376"/>
        <w:spacing w:after="0" w:line="226" w:lineRule="auto"/>
        <w:tabs>
          <w:tab w:leader="none" w:pos="107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to disclose Confidential Information to any Third Party other than employees, or agents of or consultants to the Receiving Party who in each case demonstrate a need to know the Confidential Information and who are bound, by contract or law, to an obligation of confidentiality at least as stringent as the ones hereunder.</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obligations of confidentiality, non-disclosure and non-use remain in force during the Term of this Agreement and for</w:t>
      </w:r>
    </w:p>
    <w:p>
      <w:pPr>
        <w:ind w:left="1060" w:hanging="436"/>
        <w:spacing w:after="0"/>
        <w:tabs>
          <w:tab w:leader="none" w:pos="10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years thereafter.</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20"/>
          <w:szCs w:val="20"/>
          <w:u w:val="single" w:color="auto"/>
          <w:color w:val="auto"/>
        </w:rPr>
        <w:t>Permitted Disclosures</w:t>
      </w:r>
      <w:r>
        <w:rPr>
          <w:rFonts w:ascii="Times New Roman" w:cs="Times New Roman" w:eastAsia="Times New Roman" w:hAnsi="Times New Roman"/>
          <w:sz w:val="20"/>
          <w:szCs w:val="20"/>
          <w:color w:val="auto"/>
        </w:rPr>
        <w:t>. Notwithstanding Section 11.4, the Receiving Party may disclose Confidential Information of the</w:t>
      </w:r>
    </w:p>
    <w:p>
      <w:pPr>
        <w:ind w:left="640"/>
        <w:spacing w:after="0"/>
        <w:rPr>
          <w:sz w:val="20"/>
          <w:szCs w:val="20"/>
          <w:color w:val="auto"/>
        </w:rPr>
      </w:pPr>
      <w:r>
        <w:rPr>
          <w:rFonts w:ascii="Times New Roman" w:cs="Times New Roman" w:eastAsia="Times New Roman" w:hAnsi="Times New Roman"/>
          <w:sz w:val="20"/>
          <w:szCs w:val="20"/>
          <w:color w:val="auto"/>
        </w:rPr>
        <w:t>Disclosing Party in the following instances:</w:t>
      </w:r>
    </w:p>
    <w:p>
      <w:pPr>
        <w:spacing w:after="0" w:line="167" w:lineRule="exact"/>
        <w:rPr>
          <w:sz w:val="20"/>
          <w:szCs w:val="20"/>
          <w:color w:val="auto"/>
        </w:rPr>
      </w:pPr>
    </w:p>
    <w:p>
      <w:pPr>
        <w:jc w:val="both"/>
        <w:ind w:left="1020" w:hanging="376"/>
        <w:spacing w:after="0" w:line="217" w:lineRule="auto"/>
        <w:tabs>
          <w:tab w:leader="none" w:pos="1207"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comply with Applicable Law (including any securities law or regulation or the rules of a securities exchange) or with a binding order or other requirement or procedure within a legal or administrative proceeding; provided that, where reasonably possible, Receiving Party shall notify Disclosing Party of Receiving Party’s intent to make any such disclosure sufficiently prior to making such disclosure so as to allow Disclosing Party adequate time to take whatever action it may deem appropriate to protect the confidentiality of the information to be disclosed;</w:t>
      </w:r>
    </w:p>
    <w:p>
      <w:pPr>
        <w:spacing w:after="0" w:line="161" w:lineRule="exact"/>
        <w:rPr>
          <w:rFonts w:ascii="Times New Roman" w:cs="Times New Roman" w:eastAsia="Times New Roman" w:hAnsi="Times New Roman"/>
          <w:sz w:val="20"/>
          <w:szCs w:val="20"/>
          <w:color w:val="auto"/>
        </w:rPr>
      </w:pPr>
    </w:p>
    <w:p>
      <w:pPr>
        <w:jc w:val="both"/>
        <w:ind w:left="1020" w:hanging="376"/>
        <w:spacing w:after="0" w:line="226" w:lineRule="auto"/>
        <w:tabs>
          <w:tab w:leader="none" w:pos="1181"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prosecuting or defending litigation, obtaining regulatory approval and making other regulatory filings and communications, and filing, prosecuting and enforcing Patents in connection with such Party's rights and obligations pursuant to this Agreement; or</w:t>
      </w:r>
    </w:p>
    <w:p>
      <w:pPr>
        <w:spacing w:after="0" w:line="160" w:lineRule="exact"/>
        <w:rPr>
          <w:rFonts w:ascii="Times New Roman" w:cs="Times New Roman" w:eastAsia="Times New Roman" w:hAnsi="Times New Roman"/>
          <w:sz w:val="20"/>
          <w:szCs w:val="20"/>
          <w:color w:val="auto"/>
        </w:rPr>
      </w:pPr>
    </w:p>
    <w:p>
      <w:pPr>
        <w:jc w:val="both"/>
        <w:ind w:left="1020" w:hanging="376"/>
        <w:spacing w:after="0" w:line="215" w:lineRule="auto"/>
        <w:tabs>
          <w:tab w:leader="none" w:pos="105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this Agreement and the Licensed Rights only, including the progress of development of the Products and achievement of milestones hereunder, to such Party’s or its Affiliate’s attorneys, independent accountants or financial advisors for the sole purpose of enabling such advisors to provide advice to the receiving Party or such Affiliates, on the condition that such advisors are bound by confidentiality and non-use obligations consistent with the confidentiality provisions of this Agreement as they apply to the Receiving Party, or to potential or actual investors or potential or actual acquirers or potential or actual sublicensees in connection with due diligence or similar investigations by such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0580"/>
          </w:cols>
          <w:pgMar w:left="980" w:top="1440" w:right="339" w:bottom="1440" w:gutter="0" w:footer="0" w:header="0"/>
        </w:sectPr>
      </w:pPr>
    </w:p>
    <w:bookmarkStart w:id="285" w:name="page286"/>
    <w:bookmarkEnd w:id="285"/>
    <w:p>
      <w:pPr>
        <w:spacing w:after="0" w:line="200" w:lineRule="exact"/>
        <w:rPr>
          <w:sz w:val="20"/>
          <w:szCs w:val="20"/>
          <w:color w:val="auto"/>
        </w:rPr>
      </w:pPr>
    </w:p>
    <w:p>
      <w:pPr>
        <w:spacing w:after="0" w:line="345" w:lineRule="exact"/>
        <w:rPr>
          <w:sz w:val="20"/>
          <w:szCs w:val="20"/>
          <w:color w:val="auto"/>
        </w:rPr>
      </w:pPr>
    </w:p>
    <w:p>
      <w:pPr>
        <w:ind w:left="652" w:hanging="652"/>
        <w:spacing w:after="0"/>
        <w:tabs>
          <w:tab w:leader="none" w:pos="652"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PUBLICATIONS</w:t>
      </w:r>
    </w:p>
    <w:p>
      <w:pPr>
        <w:spacing w:after="0" w:line="187" w:lineRule="exact"/>
        <w:rPr>
          <w:rFonts w:ascii="Times New Roman" w:cs="Times New Roman" w:eastAsia="Times New Roman" w:hAnsi="Times New Roman"/>
          <w:sz w:val="22"/>
          <w:szCs w:val="22"/>
          <w:b w:val="1"/>
          <w:bCs w:val="1"/>
          <w:color w:val="auto"/>
        </w:rPr>
      </w:pPr>
    </w:p>
    <w:p>
      <w:pPr>
        <w:jc w:val="both"/>
        <w:ind w:left="652"/>
        <w:spacing w:after="0" w:line="23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9"/>
          <w:szCs w:val="19"/>
          <w:color w:val="auto"/>
        </w:rPr>
        <w:t>The provisions concerning publications in Section 13 of the Collaboration Agreement shall apply analogously to this Agreement. With respect to the Licensed Rights, Bayer shall be entitled to publish such results without prior approval from Recursion. However, Bayer shall make a good faith effort to consult with Recursion authors with respect to the publication and acknowledge Recursion’s participation and/or co-authorship in the generation of the Licensed Rights in accordance with good scientific publication practices. The Parties shall mutually agree on whether and when to issue a press release announcing the existence of this Agreement.</w:t>
      </w:r>
    </w:p>
    <w:p>
      <w:pPr>
        <w:spacing w:after="0" w:line="132"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PATENT PROSECUTION, MAINTENANCE &amp; INFRINGEMENT</w:t>
      </w:r>
    </w:p>
    <w:p>
      <w:pPr>
        <w:spacing w:after="0" w:line="170"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Prosecution &amp; Maintenance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right"/>
        <w:ind w:left="1292"/>
        <w:spacing w:after="0" w:line="222" w:lineRule="auto"/>
        <w:rPr>
          <w:sz w:val="20"/>
          <w:szCs w:val="20"/>
          <w:color w:val="auto"/>
        </w:rPr>
      </w:pPr>
      <w:r>
        <w:rPr>
          <w:rFonts w:ascii="Times New Roman" w:cs="Times New Roman" w:eastAsia="Times New Roman" w:hAnsi="Times New Roman"/>
          <w:sz w:val="20"/>
          <w:szCs w:val="20"/>
          <w:u w:val="single" w:color="auto"/>
          <w:color w:val="auto"/>
        </w:rPr>
        <w:t>13.1.1   Licensed Project IP Rights</w:t>
      </w:r>
      <w:r>
        <w:rPr>
          <w:rFonts w:ascii="Times New Roman" w:cs="Times New Roman" w:eastAsia="Times New Roman" w:hAnsi="Times New Roman"/>
          <w:sz w:val="20"/>
          <w:szCs w:val="20"/>
          <w:color w:val="auto"/>
        </w:rPr>
        <w:t>. As of the Effective Date of this Agreement, Bayer, at its sole expense, shall lead the filing, prosecuting and maintaining of Licensed Project IP Rights. Licensed Project Patents shall be filed in Bayer’s</w:t>
      </w:r>
    </w:p>
    <w:p>
      <w:pPr>
        <w:spacing w:after="0" w:line="2" w:lineRule="exact"/>
        <w:rPr>
          <w:sz w:val="20"/>
          <w:szCs w:val="20"/>
          <w:color w:val="auto"/>
        </w:rPr>
      </w:pPr>
    </w:p>
    <w:p>
      <w:pPr>
        <w:ind w:left="1952"/>
        <w:spacing w:after="0" w:line="233" w:lineRule="auto"/>
        <w:rPr>
          <w:sz w:val="20"/>
          <w:szCs w:val="20"/>
          <w:color w:val="auto"/>
        </w:rPr>
      </w:pPr>
      <w:r>
        <w:rPr>
          <w:rFonts w:ascii="Times New Roman" w:cs="Times New Roman" w:eastAsia="Times New Roman" w:hAnsi="Times New Roman"/>
          <w:sz w:val="19"/>
          <w:szCs w:val="19"/>
          <w:color w:val="auto"/>
        </w:rPr>
        <w:t>and Recursion’s name and assigned to both Bayer and Recursion jointly and, with respect to Licensed Project Patents filed prior to the Effective Date of this Agreement, shall continue to reside in Bayer's and Recursion’s name.</w:t>
      </w:r>
    </w:p>
    <w:p>
      <w:pPr>
        <w:spacing w:after="0" w:line="161"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20"/>
          <w:szCs w:val="20"/>
          <w:color w:val="auto"/>
        </w:rPr>
        <w:t>Upon Recursion’s written request but at least once a year Bayer shall provide to Recursion a written report about the status of Licensed Project IP Rights.</w:t>
      </w:r>
    </w:p>
    <w:p>
      <w:pPr>
        <w:spacing w:after="0" w:line="148" w:lineRule="exact"/>
        <w:rPr>
          <w:sz w:val="20"/>
          <w:szCs w:val="20"/>
          <w:color w:val="auto"/>
        </w:rPr>
      </w:pPr>
    </w:p>
    <w:p>
      <w:pPr>
        <w:jc w:val="right"/>
        <w:ind w:left="2632"/>
        <w:spacing w:after="0" w:line="222" w:lineRule="auto"/>
        <w:rPr>
          <w:sz w:val="20"/>
          <w:szCs w:val="20"/>
          <w:color w:val="auto"/>
        </w:rPr>
      </w:pPr>
      <w:r>
        <w:rPr>
          <w:rFonts w:ascii="Times New Roman" w:cs="Times New Roman" w:eastAsia="Times New Roman" w:hAnsi="Times New Roman"/>
          <w:sz w:val="20"/>
          <w:szCs w:val="20"/>
          <w:color w:val="auto"/>
        </w:rPr>
        <w:t xml:space="preserve">13.1.1.1      Bayer shall be responsible for, either itself or through an outside patent counsel of its choice, filing, prosecuting and maintaining any Licensed Project Patents and shall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cover the running costs</w:t>
      </w:r>
    </w:p>
    <w:p>
      <w:pPr>
        <w:spacing w:after="0" w:line="2" w:lineRule="exact"/>
        <w:rPr>
          <w:sz w:val="20"/>
          <w:szCs w:val="20"/>
          <w:color w:val="auto"/>
        </w:rPr>
      </w:pPr>
    </w:p>
    <w:p>
      <w:pPr>
        <w:jc w:val="both"/>
        <w:ind w:left="3012"/>
        <w:spacing w:after="0" w:line="204" w:lineRule="auto"/>
        <w:rPr>
          <w:sz w:val="20"/>
          <w:szCs w:val="20"/>
          <w:color w:val="auto"/>
        </w:rPr>
      </w:pPr>
      <w:r>
        <w:rPr>
          <w:rFonts w:ascii="Times New Roman" w:cs="Times New Roman" w:eastAsia="Times New Roman" w:hAnsi="Times New Roman"/>
          <w:sz w:val="20"/>
          <w:szCs w:val="20"/>
          <w:color w:val="auto"/>
        </w:rPr>
        <w:t>therefor. Bayer or outside counsel shall take care of the filing, prosecution and maintenance of the Licensed Project Patents in close alignment with Recursion, including discussion of patent scope,</w:t>
      </w:r>
    </w:p>
    <w:p>
      <w:pPr>
        <w:ind w:left="3012"/>
        <w:spacing w:after="0" w:line="223" w:lineRule="auto"/>
        <w:rPr>
          <w:sz w:val="20"/>
          <w:szCs w:val="20"/>
          <w:color w:val="auto"/>
        </w:rPr>
      </w:pPr>
      <w:r>
        <w:rPr>
          <w:rFonts w:ascii="Times New Roman" w:cs="Times New Roman" w:eastAsia="Times New Roman" w:hAnsi="Times New Roman"/>
          <w:sz w:val="19"/>
          <w:szCs w:val="19"/>
          <w:color w:val="auto"/>
        </w:rPr>
        <w:t>subsequent applications and other matters of patent strategy. Bayer, either itself or through their outside</w:t>
      </w:r>
    </w:p>
    <w:p>
      <w:pPr>
        <w:ind w:left="3012"/>
        <w:spacing w:after="0" w:line="204" w:lineRule="auto"/>
        <w:rPr>
          <w:sz w:val="20"/>
          <w:szCs w:val="20"/>
          <w:color w:val="auto"/>
        </w:rPr>
      </w:pPr>
      <w:r>
        <w:rPr>
          <w:rFonts w:ascii="Times New Roman" w:cs="Times New Roman" w:eastAsia="Times New Roman" w:hAnsi="Times New Roman"/>
          <w:sz w:val="20"/>
          <w:szCs w:val="20"/>
          <w:color w:val="auto"/>
        </w:rPr>
        <w:t>patent counsel, will keep Recursion informed with respect to the status of the filing, prosecution (EP and US) and maintenance of the Licensed Project Patents. Bayer will also notify Recursion in writing</w:t>
      </w:r>
    </w:p>
    <w:p>
      <w:pPr>
        <w:ind w:left="3012"/>
        <w:spacing w:after="0" w:line="223" w:lineRule="auto"/>
        <w:rPr>
          <w:sz w:val="20"/>
          <w:szCs w:val="20"/>
          <w:color w:val="auto"/>
        </w:rPr>
      </w:pPr>
      <w:r>
        <w:rPr>
          <w:rFonts w:ascii="Times New Roman" w:cs="Times New Roman" w:eastAsia="Times New Roman" w:hAnsi="Times New Roman"/>
          <w:sz w:val="19"/>
          <w:szCs w:val="19"/>
          <w:color w:val="auto"/>
        </w:rPr>
        <w:t>about any relevant substantial correspondence including all newly filed patent applications of Licensed</w:t>
      </w:r>
    </w:p>
    <w:p>
      <w:pPr>
        <w:ind w:left="3012" w:right="20"/>
        <w:spacing w:after="0" w:line="204" w:lineRule="auto"/>
        <w:rPr>
          <w:sz w:val="20"/>
          <w:szCs w:val="20"/>
          <w:color w:val="auto"/>
        </w:rPr>
      </w:pPr>
      <w:r>
        <w:rPr>
          <w:rFonts w:ascii="Times New Roman" w:cs="Times New Roman" w:eastAsia="Times New Roman" w:hAnsi="Times New Roman"/>
          <w:sz w:val="20"/>
          <w:szCs w:val="20"/>
          <w:color w:val="auto"/>
        </w:rPr>
        <w:t>Project Patents, proposal of countries in which the patent application shall be filed, notifications on allowance, issue or grant and office actions. Bayer shall have the right to apply for a Licensed Project</w:t>
      </w:r>
    </w:p>
    <w:p>
      <w:pPr>
        <w:spacing w:after="0" w:line="1" w:lineRule="exact"/>
        <w:rPr>
          <w:sz w:val="20"/>
          <w:szCs w:val="20"/>
          <w:color w:val="auto"/>
        </w:rPr>
      </w:pPr>
    </w:p>
    <w:p>
      <w:pPr>
        <w:ind w:left="3012"/>
        <w:spacing w:after="0" w:line="204" w:lineRule="auto"/>
        <w:rPr>
          <w:sz w:val="20"/>
          <w:szCs w:val="20"/>
          <w:color w:val="auto"/>
        </w:rPr>
      </w:pPr>
      <w:r>
        <w:rPr>
          <w:rFonts w:ascii="Times New Roman" w:cs="Times New Roman" w:eastAsia="Times New Roman" w:hAnsi="Times New Roman"/>
          <w:sz w:val="20"/>
          <w:szCs w:val="20"/>
          <w:color w:val="auto"/>
        </w:rPr>
        <w:t>Patent in any country or region of the world. Bayer shall not give up substantial scope of the claims (unless a claim is determined to be invalid by the PTAB (Patent Trial and Appeal Board) at the US</w:t>
      </w:r>
    </w:p>
    <w:p>
      <w:pPr>
        <w:ind w:left="3012"/>
        <w:spacing w:after="0" w:line="223" w:lineRule="auto"/>
        <w:rPr>
          <w:sz w:val="20"/>
          <w:szCs w:val="20"/>
          <w:color w:val="auto"/>
        </w:rPr>
      </w:pPr>
      <w:r>
        <w:rPr>
          <w:rFonts w:ascii="Times New Roman" w:cs="Times New Roman" w:eastAsia="Times New Roman" w:hAnsi="Times New Roman"/>
          <w:sz w:val="19"/>
          <w:szCs w:val="19"/>
          <w:color w:val="auto"/>
        </w:rPr>
        <w:t>PTO, by a Board of Appeal at the EPO or by a national court) or abandon any Licensed Project Patents</w:t>
      </w:r>
    </w:p>
    <w:p>
      <w:pPr>
        <w:ind w:left="3012"/>
        <w:spacing w:after="0" w:line="204" w:lineRule="auto"/>
        <w:rPr>
          <w:sz w:val="20"/>
          <w:szCs w:val="20"/>
          <w:color w:val="auto"/>
        </w:rPr>
      </w:pPr>
      <w:r>
        <w:rPr>
          <w:rFonts w:ascii="Times New Roman" w:cs="Times New Roman" w:eastAsia="Times New Roman" w:hAnsi="Times New Roman"/>
          <w:sz w:val="20"/>
          <w:szCs w:val="20"/>
          <w:color w:val="auto"/>
        </w:rPr>
        <w:t>without Recursion’s prior written consent. For the avoidance of doubt this means, that a determination of invalidity of a claim by either PTAB or Boards of Appeal allows to cancel this claim in any country</w:t>
      </w:r>
    </w:p>
    <w:p>
      <w:pPr>
        <w:spacing w:after="0" w:line="1" w:lineRule="exact"/>
        <w:rPr>
          <w:sz w:val="20"/>
          <w:szCs w:val="20"/>
          <w:color w:val="auto"/>
        </w:rPr>
      </w:pPr>
    </w:p>
    <w:p>
      <w:pPr>
        <w:ind w:left="3012"/>
        <w:spacing w:after="0"/>
        <w:rPr>
          <w:sz w:val="20"/>
          <w:szCs w:val="20"/>
          <w:color w:val="auto"/>
        </w:rPr>
      </w:pPr>
      <w:r>
        <w:rPr>
          <w:rFonts w:ascii="Times New Roman" w:cs="Times New Roman" w:eastAsia="Times New Roman" w:hAnsi="Times New Roman"/>
          <w:sz w:val="20"/>
          <w:szCs w:val="20"/>
          <w:color w:val="auto"/>
        </w:rPr>
        <w:t>without Recursion’s prior written consent.</w:t>
      </w:r>
    </w:p>
    <w:p>
      <w:pPr>
        <w:spacing w:after="0" w:line="167" w:lineRule="exact"/>
        <w:rPr>
          <w:sz w:val="20"/>
          <w:szCs w:val="20"/>
          <w:color w:val="auto"/>
        </w:rPr>
      </w:pPr>
    </w:p>
    <w:p>
      <w:pPr>
        <w:jc w:val="right"/>
        <w:ind w:left="2632"/>
        <w:spacing w:after="0" w:line="215" w:lineRule="auto"/>
        <w:rPr>
          <w:sz w:val="20"/>
          <w:szCs w:val="20"/>
          <w:color w:val="auto"/>
        </w:rPr>
      </w:pPr>
      <w:r>
        <w:rPr>
          <w:rFonts w:ascii="Times New Roman" w:cs="Times New Roman" w:eastAsia="Times New Roman" w:hAnsi="Times New Roman"/>
          <w:sz w:val="20"/>
          <w:szCs w:val="20"/>
          <w:color w:val="auto"/>
        </w:rPr>
        <w:t>13.1.1.2      If Bayer decides to abandon, surrender, revoke, or invalidate or not to apply for or maintain any Licensed Project Patent in any country or abandon any previously restricted or amended claims,</w:t>
      </w:r>
    </w:p>
    <w:p>
      <w:pPr>
        <w:spacing w:after="0" w:line="1" w:lineRule="exact"/>
        <w:rPr>
          <w:sz w:val="20"/>
          <w:szCs w:val="20"/>
          <w:color w:val="auto"/>
        </w:rPr>
      </w:pPr>
    </w:p>
    <w:p>
      <w:pPr>
        <w:ind w:left="3012"/>
        <w:spacing w:after="0" w:line="228" w:lineRule="auto"/>
        <w:rPr>
          <w:sz w:val="20"/>
          <w:szCs w:val="20"/>
          <w:color w:val="auto"/>
        </w:rPr>
      </w:pPr>
      <w:r>
        <w:rPr>
          <w:rFonts w:ascii="Times New Roman" w:cs="Times New Roman" w:eastAsia="Times New Roman" w:hAnsi="Times New Roman"/>
          <w:sz w:val="20"/>
          <w:szCs w:val="20"/>
          <w:color w:val="auto"/>
        </w:rPr>
        <w:t xml:space="preserve">Bayer will provide written notice to Recursion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prior to the date such action is due of Bayer’s intent to abandon, surrender, revoke or invalidate or not respond to any official correspondence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32"/>
          </w:cols>
          <w:pgMar w:left="328" w:top="1440" w:right="339" w:bottom="1440" w:gutter="0" w:footer="0" w:header="0"/>
        </w:sectPr>
      </w:pPr>
    </w:p>
    <w:bookmarkStart w:id="286" w:name="page287"/>
    <w:bookmarkEnd w:id="286"/>
    <w:p>
      <w:pPr>
        <w:spacing w:after="0" w:line="200" w:lineRule="exact"/>
        <w:rPr>
          <w:sz w:val="20"/>
          <w:szCs w:val="20"/>
          <w:color w:val="auto"/>
        </w:rPr>
      </w:pPr>
    </w:p>
    <w:p>
      <w:pPr>
        <w:spacing w:after="0" w:line="34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 xml:space="preserve">will result in the loss of rights (or with respect to Patents not yet filed, within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after</w:t>
      </w:r>
    </w:p>
    <w:p>
      <w:pPr>
        <w:jc w:val="both"/>
        <w:ind w:left="2040"/>
        <w:spacing w:after="0" w:line="204" w:lineRule="auto"/>
        <w:rPr>
          <w:sz w:val="20"/>
          <w:szCs w:val="20"/>
          <w:color w:val="auto"/>
        </w:rPr>
      </w:pPr>
      <w:r>
        <w:rPr>
          <w:rFonts w:ascii="Times New Roman" w:cs="Times New Roman" w:eastAsia="Times New Roman" w:hAnsi="Times New Roman"/>
          <w:sz w:val="20"/>
          <w:szCs w:val="20"/>
          <w:color w:val="auto"/>
        </w:rPr>
        <w:t>Recursion’s request to apply for such Patent). Recursion may then, at Recursion’s sole discretion and sole cost and expense, elect to prosecute and maintain the respective Licensed Project Patent.</w:t>
      </w:r>
    </w:p>
    <w:p>
      <w:pPr>
        <w:ind w:left="2040"/>
        <w:spacing w:after="0" w:line="211" w:lineRule="auto"/>
        <w:rPr>
          <w:sz w:val="20"/>
          <w:szCs w:val="20"/>
          <w:color w:val="auto"/>
        </w:rPr>
      </w:pPr>
      <w:r>
        <w:rPr>
          <w:rFonts w:ascii="Times New Roman" w:cs="Times New Roman" w:eastAsia="Times New Roman" w:hAnsi="Times New Roman"/>
          <w:sz w:val="20"/>
          <w:szCs w:val="20"/>
          <w:color w:val="auto"/>
        </w:rPr>
        <w:t xml:space="preserve">Recursion may accept such offer in writing within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after having received the offer. Upon</w:t>
      </w:r>
    </w:p>
    <w:p>
      <w:pPr>
        <w:spacing w:after="0" w:line="1" w:lineRule="exact"/>
        <w:rPr>
          <w:sz w:val="20"/>
          <w:szCs w:val="20"/>
          <w:color w:val="auto"/>
        </w:rPr>
      </w:pPr>
    </w:p>
    <w:p>
      <w:pPr>
        <w:ind w:left="2040"/>
        <w:spacing w:after="0" w:line="204" w:lineRule="auto"/>
        <w:rPr>
          <w:sz w:val="20"/>
          <w:szCs w:val="20"/>
          <w:color w:val="auto"/>
        </w:rPr>
      </w:pPr>
      <w:r>
        <w:rPr>
          <w:rFonts w:ascii="Times New Roman" w:cs="Times New Roman" w:eastAsia="Times New Roman" w:hAnsi="Times New Roman"/>
          <w:sz w:val="20"/>
          <w:szCs w:val="20"/>
          <w:color w:val="auto"/>
        </w:rPr>
        <w:t>receipt of Recursion’s notice of acceptance, Recursion shall forthwith be responsible for the rights and obligations and costs resulting from such Licensed Project Patent and such (former) Licensed Project</w:t>
      </w:r>
    </w:p>
    <w:p>
      <w:pPr>
        <w:ind w:left="2040"/>
        <w:spacing w:after="0" w:line="211" w:lineRule="auto"/>
        <w:rPr>
          <w:sz w:val="20"/>
          <w:szCs w:val="20"/>
          <w:color w:val="auto"/>
        </w:rPr>
      </w:pPr>
      <w:r>
        <w:rPr>
          <w:rFonts w:ascii="Times New Roman" w:cs="Times New Roman" w:eastAsia="Times New Roman" w:hAnsi="Times New Roman"/>
          <w:sz w:val="20"/>
          <w:szCs w:val="20"/>
          <w:color w:val="auto"/>
        </w:rPr>
        <w:t>Patent will cease to be a Licensed Project Patent under this Agreement. The Parties shall take all</w:t>
      </w:r>
    </w:p>
    <w:p>
      <w:pPr>
        <w:spacing w:after="0" w:line="1" w:lineRule="exact"/>
        <w:rPr>
          <w:sz w:val="20"/>
          <w:szCs w:val="20"/>
          <w:color w:val="auto"/>
        </w:rPr>
      </w:pPr>
    </w:p>
    <w:p>
      <w:pPr>
        <w:ind w:left="2040"/>
        <w:spacing w:after="0" w:line="204" w:lineRule="auto"/>
        <w:rPr>
          <w:sz w:val="20"/>
          <w:szCs w:val="20"/>
          <w:color w:val="auto"/>
        </w:rPr>
      </w:pPr>
      <w:r>
        <w:rPr>
          <w:rFonts w:ascii="Times New Roman" w:cs="Times New Roman" w:eastAsia="Times New Roman" w:hAnsi="Times New Roman"/>
          <w:sz w:val="20"/>
          <w:szCs w:val="20"/>
          <w:color w:val="auto"/>
        </w:rPr>
        <w:t>measures necessary for the transfer of Bayer’s co-ownership share in any such (former) Licensed Project Patent to Recursion, and for the transfer of patent prosecution responsibility of any such</w:t>
      </w:r>
    </w:p>
    <w:p>
      <w:pPr>
        <w:ind w:left="2040"/>
        <w:spacing w:after="0" w:line="223" w:lineRule="auto"/>
        <w:rPr>
          <w:sz w:val="20"/>
          <w:szCs w:val="20"/>
          <w:color w:val="auto"/>
        </w:rPr>
      </w:pPr>
      <w:r>
        <w:rPr>
          <w:rFonts w:ascii="Times New Roman" w:cs="Times New Roman" w:eastAsia="Times New Roman" w:hAnsi="Times New Roman"/>
          <w:sz w:val="19"/>
          <w:szCs w:val="19"/>
          <w:color w:val="auto"/>
        </w:rPr>
        <w:t>Licensed Project Patent from Bayer to Recursion; transfer costs imposed by respective patent attorneys</w:t>
      </w:r>
    </w:p>
    <w:p>
      <w:pPr>
        <w:ind w:left="2040"/>
        <w:spacing w:after="0" w:line="204" w:lineRule="auto"/>
        <w:rPr>
          <w:sz w:val="20"/>
          <w:szCs w:val="20"/>
          <w:color w:val="auto"/>
        </w:rPr>
      </w:pPr>
      <w:r>
        <w:rPr>
          <w:rFonts w:ascii="Times New Roman" w:cs="Times New Roman" w:eastAsia="Times New Roman" w:hAnsi="Times New Roman"/>
          <w:sz w:val="20"/>
          <w:szCs w:val="20"/>
          <w:color w:val="auto"/>
        </w:rPr>
        <w:t>and registration costs imposed by the respective public registers shall be borne by Recursion and all rights granted to Bayer under this Agreement to such Licensed Project Patents shall cease. In case</w:t>
      </w:r>
    </w:p>
    <w:p>
      <w:pPr>
        <w:ind w:left="2040"/>
        <w:spacing w:after="0" w:line="211" w:lineRule="auto"/>
        <w:rPr>
          <w:sz w:val="20"/>
          <w:szCs w:val="20"/>
          <w:color w:val="auto"/>
        </w:rPr>
      </w:pPr>
      <w:r>
        <w:rPr>
          <w:rFonts w:ascii="Times New Roman" w:cs="Times New Roman" w:eastAsia="Times New Roman" w:hAnsi="Times New Roman"/>
          <w:sz w:val="20"/>
          <w:szCs w:val="20"/>
          <w:color w:val="auto"/>
        </w:rPr>
        <w:t xml:space="preserve">Recursion refuses the offer or does not provide its acceptance in writing within the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period,</w:t>
      </w:r>
    </w:p>
    <w:p>
      <w:pPr>
        <w:spacing w:after="0" w:line="1" w:lineRule="exact"/>
        <w:rPr>
          <w:sz w:val="20"/>
          <w:szCs w:val="20"/>
          <w:color w:val="auto"/>
        </w:rPr>
      </w:pPr>
    </w:p>
    <w:p>
      <w:pPr>
        <w:ind w:left="2040"/>
        <w:spacing w:after="0" w:line="204" w:lineRule="auto"/>
        <w:rPr>
          <w:sz w:val="20"/>
          <w:szCs w:val="20"/>
          <w:color w:val="auto"/>
        </w:rPr>
      </w:pPr>
      <w:r>
        <w:rPr>
          <w:rFonts w:ascii="Times New Roman" w:cs="Times New Roman" w:eastAsia="Times New Roman" w:hAnsi="Times New Roman"/>
          <w:sz w:val="20"/>
          <w:szCs w:val="20"/>
          <w:color w:val="auto"/>
        </w:rPr>
        <w:t>Bayer has the right to abandon or to not apply for the offered Licensed Project Patent. Bayer shall not be liable to Recursion for ultimate discontinuation of such Licensed Project Patents, except in the case</w:t>
      </w:r>
    </w:p>
    <w:p>
      <w:pPr>
        <w:ind w:left="2040"/>
        <w:spacing w:after="0" w:line="211" w:lineRule="auto"/>
        <w:rPr>
          <w:sz w:val="20"/>
          <w:szCs w:val="20"/>
          <w:color w:val="auto"/>
        </w:rPr>
      </w:pPr>
      <w:r>
        <w:rPr>
          <w:rFonts w:ascii="Times New Roman" w:cs="Times New Roman" w:eastAsia="Times New Roman" w:hAnsi="Times New Roman"/>
          <w:sz w:val="20"/>
          <w:szCs w:val="20"/>
          <w:color w:val="auto"/>
        </w:rPr>
        <w:t>that Bayer intentionally ignores said Recursion’s acceptance notice, provided, however, that Bayer has</w:t>
      </w:r>
    </w:p>
    <w:p>
      <w:pPr>
        <w:spacing w:after="0" w:line="1" w:lineRule="exact"/>
        <w:rPr>
          <w:sz w:val="20"/>
          <w:szCs w:val="20"/>
          <w:color w:val="auto"/>
        </w:rPr>
      </w:pPr>
    </w:p>
    <w:p>
      <w:pPr>
        <w:ind w:left="2040"/>
        <w:spacing w:after="0" w:line="221" w:lineRule="auto"/>
        <w:rPr>
          <w:sz w:val="20"/>
          <w:szCs w:val="20"/>
          <w:color w:val="auto"/>
        </w:rPr>
      </w:pPr>
      <w:r>
        <w:rPr>
          <w:rFonts w:ascii="Times New Roman" w:cs="Times New Roman" w:eastAsia="Times New Roman" w:hAnsi="Times New Roman"/>
          <w:sz w:val="20"/>
          <w:szCs w:val="20"/>
          <w:color w:val="auto"/>
        </w:rPr>
        <w:t>timely received such acceptance notice and discontinuation of the respective Licensed Project Patents is irreversible.</w:t>
      </w:r>
    </w:p>
    <w:p>
      <w:pPr>
        <w:spacing w:after="0" w:line="162" w:lineRule="exact"/>
        <w:rPr>
          <w:sz w:val="20"/>
          <w:szCs w:val="20"/>
          <w:color w:val="auto"/>
        </w:rPr>
      </w:pPr>
    </w:p>
    <w:p>
      <w:pPr>
        <w:ind w:left="640" w:hanging="647"/>
        <w:spacing w:after="0"/>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u w:val="single" w:color="auto"/>
          <w:color w:val="auto"/>
        </w:rPr>
        <w:t>Background IP Rights and Background Know-How</w:t>
      </w:r>
      <w:r>
        <w:rPr>
          <w:rFonts w:ascii="Times New Roman" w:cs="Times New Roman" w:eastAsia="Times New Roman" w:hAnsi="Times New Roman"/>
          <w:sz w:val="20"/>
          <w:szCs w:val="20"/>
          <w:color w:val="auto"/>
        </w:rPr>
        <w:t>. Recursion shall have the sole discretion in filing, prosecuting and maintaining of Recursion Background IP Rights and Background Know-How which title shall reside in Recursion.</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Upon Bayer’s written request but at least once a year Recursion shall provide to Bayer a written report about the status of Recursion’s Background IP Rights and Background Know-How licensed under Section 2.1.2.</w:t>
      </w:r>
    </w:p>
    <w:p>
      <w:pPr>
        <w:spacing w:after="0" w:line="148" w:lineRule="exact"/>
        <w:rPr>
          <w:sz w:val="20"/>
          <w:szCs w:val="20"/>
          <w:color w:val="auto"/>
        </w:rPr>
      </w:pPr>
    </w:p>
    <w:p>
      <w:pPr>
        <w:jc w:val="right"/>
        <w:ind w:left="1660"/>
        <w:spacing w:after="0" w:line="222" w:lineRule="auto"/>
        <w:rPr>
          <w:sz w:val="20"/>
          <w:szCs w:val="20"/>
          <w:color w:val="auto"/>
        </w:rPr>
      </w:pPr>
      <w:r>
        <w:rPr>
          <w:rFonts w:ascii="Times New Roman" w:cs="Times New Roman" w:eastAsia="Times New Roman" w:hAnsi="Times New Roman"/>
          <w:sz w:val="20"/>
          <w:szCs w:val="20"/>
          <w:color w:val="auto"/>
        </w:rPr>
        <w:t>13.1.2.1      If there is an increase in any governmental, filing or other fees at the United States Patents and Trademark Office or foreign equivalent due to any license to Bayer of the Background IP Rights</w:t>
      </w:r>
    </w:p>
    <w:p>
      <w:pPr>
        <w:spacing w:after="0" w:line="2" w:lineRule="exact"/>
        <w:rPr>
          <w:sz w:val="20"/>
          <w:szCs w:val="20"/>
          <w:color w:val="auto"/>
        </w:rPr>
      </w:pPr>
    </w:p>
    <w:p>
      <w:pPr>
        <w:ind w:left="2040"/>
        <w:spacing w:after="0" w:line="204" w:lineRule="auto"/>
        <w:rPr>
          <w:sz w:val="20"/>
          <w:szCs w:val="20"/>
          <w:color w:val="auto"/>
        </w:rPr>
      </w:pPr>
      <w:r>
        <w:rPr>
          <w:rFonts w:ascii="Times New Roman" w:cs="Times New Roman" w:eastAsia="Times New Roman" w:hAnsi="Times New Roman"/>
          <w:sz w:val="20"/>
          <w:szCs w:val="20"/>
          <w:color w:val="auto"/>
        </w:rPr>
        <w:t>under Section 2.1.2, Bayer agrees to reimburse Recursion for the difference in fees (for example, the difference between filing as a small entity versus a large entity at the United States Patents and</w:t>
      </w:r>
    </w:p>
    <w:p>
      <w:pPr>
        <w:spacing w:after="0" w:line="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Trademark Office).</w:t>
      </w:r>
    </w:p>
    <w:p>
      <w:pPr>
        <w:spacing w:after="0" w:line="167" w:lineRule="exact"/>
        <w:rPr>
          <w:sz w:val="20"/>
          <w:szCs w:val="20"/>
          <w:color w:val="auto"/>
        </w:rPr>
      </w:pPr>
    </w:p>
    <w:p>
      <w:pPr>
        <w:jc w:val="right"/>
        <w:ind w:left="1660"/>
        <w:spacing w:after="0" w:line="215" w:lineRule="auto"/>
        <w:rPr>
          <w:sz w:val="20"/>
          <w:szCs w:val="20"/>
          <w:color w:val="auto"/>
        </w:rPr>
      </w:pPr>
      <w:r>
        <w:rPr>
          <w:rFonts w:ascii="Times New Roman" w:cs="Times New Roman" w:eastAsia="Times New Roman" w:hAnsi="Times New Roman"/>
          <w:sz w:val="20"/>
          <w:szCs w:val="20"/>
          <w:color w:val="auto"/>
        </w:rPr>
        <w:t>13.1.2.2      Further, in the case of any filing of Background IP Rights licensed under Section 2.1.2 outside the US, Bayer may request that Recursion expand the patent filings to additional jurisdictions</w:t>
      </w:r>
    </w:p>
    <w:p>
      <w:pPr>
        <w:spacing w:after="0" w:line="1" w:lineRule="exact"/>
        <w:rPr>
          <w:sz w:val="20"/>
          <w:szCs w:val="20"/>
          <w:color w:val="auto"/>
        </w:rPr>
      </w:pPr>
    </w:p>
    <w:p>
      <w:pPr>
        <w:ind w:left="2040"/>
        <w:spacing w:after="0" w:line="228" w:lineRule="auto"/>
        <w:rPr>
          <w:sz w:val="20"/>
          <w:szCs w:val="20"/>
          <w:color w:val="auto"/>
        </w:rPr>
      </w:pPr>
      <w:r>
        <w:rPr>
          <w:rFonts w:ascii="Times New Roman" w:cs="Times New Roman" w:eastAsia="Times New Roman" w:hAnsi="Times New Roman"/>
          <w:sz w:val="20"/>
          <w:szCs w:val="20"/>
          <w:color w:val="auto"/>
        </w:rPr>
        <w:t>beyond the US, which Recursion may do in its sole discretion, and Bayer agrees to reimburse Recursion for those non-US patent filings requested in writing by Bayer.</w:t>
      </w:r>
    </w:p>
    <w:p>
      <w:pPr>
        <w:spacing w:after="0" w:line="149" w:lineRule="exact"/>
        <w:rPr>
          <w:sz w:val="20"/>
          <w:szCs w:val="20"/>
          <w:color w:val="auto"/>
        </w:rPr>
      </w:pPr>
    </w:p>
    <w:p>
      <w:pPr>
        <w:jc w:val="right"/>
        <w:ind w:left="1660"/>
        <w:spacing w:after="0" w:line="222" w:lineRule="auto"/>
        <w:rPr>
          <w:sz w:val="20"/>
          <w:szCs w:val="20"/>
          <w:color w:val="auto"/>
        </w:rPr>
      </w:pPr>
      <w:r>
        <w:rPr>
          <w:rFonts w:ascii="Times New Roman" w:cs="Times New Roman" w:eastAsia="Times New Roman" w:hAnsi="Times New Roman"/>
          <w:sz w:val="20"/>
          <w:szCs w:val="20"/>
          <w:color w:val="auto"/>
        </w:rPr>
        <w:t>13.1.2.3      If Recursion decides to abandon or not to file or maintain any Background IP Rights licensed under Section 2.1.2 in any country or abandon any previously restricted or amended claims,</w:t>
      </w:r>
    </w:p>
    <w:p>
      <w:pPr>
        <w:spacing w:after="0" w:line="2" w:lineRule="exact"/>
        <w:rPr>
          <w:sz w:val="20"/>
          <w:szCs w:val="20"/>
          <w:color w:val="auto"/>
        </w:rPr>
      </w:pPr>
    </w:p>
    <w:p>
      <w:pPr>
        <w:ind w:left="2040"/>
        <w:spacing w:after="0" w:line="221" w:lineRule="auto"/>
        <w:rPr>
          <w:sz w:val="20"/>
          <w:szCs w:val="20"/>
          <w:color w:val="auto"/>
        </w:rPr>
      </w:pPr>
      <w:r>
        <w:rPr>
          <w:rFonts w:ascii="Times New Roman" w:cs="Times New Roman" w:eastAsia="Times New Roman" w:hAnsi="Times New Roman"/>
          <w:sz w:val="20"/>
          <w:szCs w:val="20"/>
          <w:color w:val="auto"/>
        </w:rPr>
        <w:t xml:space="preserve">Recursion will provide written notice to Bayer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prior to the date such action is due of Recursion’s intent to abandon or not respond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0260"/>
          </w:cols>
          <w:pgMar w:left="1300" w:top="1440" w:right="339" w:bottom="1440" w:gutter="0" w:footer="0" w:header="0"/>
        </w:sectPr>
      </w:pPr>
    </w:p>
    <w:bookmarkStart w:id="287" w:name="page288"/>
    <w:bookmarkEnd w:id="287"/>
    <w:p>
      <w:pPr>
        <w:spacing w:after="0" w:line="200" w:lineRule="exact"/>
        <w:rPr>
          <w:sz w:val="20"/>
          <w:szCs w:val="20"/>
          <w:color w:val="auto"/>
        </w:rPr>
      </w:pPr>
    </w:p>
    <w:p>
      <w:pPr>
        <w:spacing w:after="0" w:line="34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official correspondence that will result in the loss of rights. The Parties shall discuss whether Bayer</w:t>
      </w:r>
    </w:p>
    <w:p>
      <w:pPr>
        <w:ind w:left="2360"/>
        <w:spacing w:after="0" w:line="197" w:lineRule="auto"/>
        <w:rPr>
          <w:sz w:val="20"/>
          <w:szCs w:val="20"/>
          <w:color w:val="auto"/>
        </w:rPr>
      </w:pPr>
      <w:r>
        <w:rPr>
          <w:rFonts w:ascii="Times New Roman" w:cs="Times New Roman" w:eastAsia="Times New Roman" w:hAnsi="Times New Roman"/>
          <w:sz w:val="20"/>
          <w:szCs w:val="20"/>
          <w:color w:val="auto"/>
        </w:rPr>
        <w:t>could participate in the ongoing maintenance or prosecution costs of such Background IP Rights.</w:t>
      </w:r>
    </w:p>
    <w:p>
      <w:pPr>
        <w:ind w:left="2360"/>
        <w:spacing w:after="0"/>
        <w:rPr>
          <w:sz w:val="20"/>
          <w:szCs w:val="20"/>
          <w:color w:val="auto"/>
        </w:rPr>
      </w:pPr>
      <w:r>
        <w:rPr>
          <w:rFonts w:ascii="Times New Roman" w:cs="Times New Roman" w:eastAsia="Times New Roman" w:hAnsi="Times New Roman"/>
          <w:sz w:val="20"/>
          <w:szCs w:val="20"/>
          <w:color w:val="auto"/>
        </w:rPr>
        <w:t>Recursion shall not be liable to Bayer for ultimate discontinuation of any Background IP Rights.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20"/>
          <w:szCs w:val="20"/>
          <w:u w:val="single" w:color="auto"/>
          <w:color w:val="auto"/>
        </w:rPr>
        <w:t>Notification of Infringement by Third Party</w:t>
      </w:r>
      <w:r>
        <w:rPr>
          <w:rFonts w:ascii="Times New Roman" w:cs="Times New Roman" w:eastAsia="Times New Roman" w:hAnsi="Times New Roman"/>
          <w:sz w:val="20"/>
          <w:szCs w:val="20"/>
          <w:color w:val="auto"/>
        </w:rPr>
        <w:t>. If any Licensed Project Patent or Background IP Right is infringed or might be</w:t>
      </w:r>
    </w:p>
    <w:p>
      <w:pPr>
        <w:ind w:left="640"/>
        <w:spacing w:after="0" w:line="204" w:lineRule="auto"/>
        <w:rPr>
          <w:sz w:val="20"/>
          <w:szCs w:val="20"/>
          <w:color w:val="auto"/>
        </w:rPr>
      </w:pPr>
      <w:r>
        <w:rPr>
          <w:rFonts w:ascii="Times New Roman" w:cs="Times New Roman" w:eastAsia="Times New Roman" w:hAnsi="Times New Roman"/>
          <w:sz w:val="20"/>
          <w:szCs w:val="20"/>
          <w:color w:val="auto"/>
        </w:rPr>
        <w:t>infringed by a Third Party, the Party first having knowledge thereof shall promptly notify the other Party in writing. As used in this Section 13.2, “knowledge” shall mean the actual knowledge of the officers and senior employees of a Party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performing activities under this Agreement or for the Project.</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u w:val="single" w:color="auto"/>
          <w:color w:val="auto"/>
        </w:rPr>
        <w:t>Enforcement of Licensed Project Patents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right"/>
        <w:ind w:left="640"/>
        <w:spacing w:after="0" w:line="222" w:lineRule="auto"/>
        <w:rPr>
          <w:sz w:val="20"/>
          <w:szCs w:val="20"/>
          <w:color w:val="auto"/>
        </w:rPr>
      </w:pPr>
      <w:r>
        <w:rPr>
          <w:rFonts w:ascii="Times New Roman" w:cs="Times New Roman" w:eastAsia="Times New Roman" w:hAnsi="Times New Roman"/>
          <w:sz w:val="20"/>
          <w:szCs w:val="20"/>
          <w:color w:val="auto"/>
        </w:rPr>
        <w:t>13.3.1  Bayer shall have the first right (but not the obligation), by counsel of its own choice and at its sole expense, to institute, prosecute and control the enforcement or defense of any of the Licensed Project Patents to abate any</w:t>
      </w:r>
    </w:p>
    <w:p>
      <w:pPr>
        <w:spacing w:after="0" w:line="2"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infringement thereof. Prior to undertaking any action to enforce such Licensed Project Patents, Bayer shall notify Recursion in writing. To the extent possible Recursion shall be given reasonable time to provide its comments to</w:t>
      </w:r>
    </w:p>
    <w:p>
      <w:pPr>
        <w:ind w:left="1300"/>
        <w:spacing w:after="0" w:line="223" w:lineRule="auto"/>
        <w:rPr>
          <w:sz w:val="20"/>
          <w:szCs w:val="20"/>
          <w:color w:val="auto"/>
        </w:rPr>
      </w:pPr>
      <w:r>
        <w:rPr>
          <w:rFonts w:ascii="Times New Roman" w:cs="Times New Roman" w:eastAsia="Times New Roman" w:hAnsi="Times New Roman"/>
          <w:sz w:val="19"/>
          <w:szCs w:val="19"/>
          <w:color w:val="auto"/>
        </w:rPr>
        <w:t>Bayer. Recursion shall further have the right at its own expense, to be represented in any action by counsel of its own</w:t>
      </w:r>
    </w:p>
    <w:p>
      <w:pPr>
        <w:ind w:left="1300"/>
        <w:spacing w:after="0" w:line="204" w:lineRule="auto"/>
        <w:rPr>
          <w:sz w:val="20"/>
          <w:szCs w:val="20"/>
          <w:color w:val="auto"/>
        </w:rPr>
      </w:pPr>
      <w:r>
        <w:rPr>
          <w:rFonts w:ascii="Times New Roman" w:cs="Times New Roman" w:eastAsia="Times New Roman" w:hAnsi="Times New Roman"/>
          <w:sz w:val="20"/>
          <w:szCs w:val="20"/>
          <w:color w:val="auto"/>
        </w:rPr>
        <w:t>choice. However, should Recursion partake in any such action, Bayer shall have control of the proceeding and shall have final say on all decisions related thereto. In no event shall Bayer admit the invalidity of, or after exercising its</w:t>
      </w:r>
    </w:p>
    <w:p>
      <w:pPr>
        <w:spacing w:after="0" w:line="1" w:lineRule="exact"/>
        <w:rPr>
          <w:sz w:val="20"/>
          <w:szCs w:val="20"/>
          <w:color w:val="auto"/>
        </w:rPr>
      </w:pPr>
    </w:p>
    <w:p>
      <w:pPr>
        <w:ind w:left="1300"/>
        <w:spacing w:after="0" w:line="242" w:lineRule="auto"/>
        <w:rPr>
          <w:sz w:val="20"/>
          <w:szCs w:val="20"/>
          <w:color w:val="auto"/>
        </w:rPr>
      </w:pPr>
      <w:r>
        <w:rPr>
          <w:rFonts w:ascii="Times New Roman" w:cs="Times New Roman" w:eastAsia="Times New Roman" w:hAnsi="Times New Roman"/>
          <w:sz w:val="19"/>
          <w:szCs w:val="19"/>
          <w:color w:val="auto"/>
        </w:rPr>
        <w:t>right to bring and control an action under this Section 13.3.1, fail to defend the validity of, any Licensed Project Patent without Recursion’s prior written consent, which shall not be unreasonably withheld, conditioned or delayed.</w:t>
      </w:r>
    </w:p>
    <w:p>
      <w:pPr>
        <w:spacing w:after="0" w:line="145" w:lineRule="exact"/>
        <w:rPr>
          <w:sz w:val="20"/>
          <w:szCs w:val="20"/>
          <w:color w:val="auto"/>
        </w:rPr>
      </w:pPr>
    </w:p>
    <w:p>
      <w:pPr>
        <w:jc w:val="right"/>
        <w:ind w:left="640"/>
        <w:spacing w:after="0" w:line="222" w:lineRule="auto"/>
        <w:rPr>
          <w:sz w:val="20"/>
          <w:szCs w:val="20"/>
          <w:color w:val="auto"/>
        </w:rPr>
      </w:pPr>
      <w:r>
        <w:rPr>
          <w:rFonts w:ascii="Times New Roman" w:cs="Times New Roman" w:eastAsia="Times New Roman" w:hAnsi="Times New Roman"/>
          <w:sz w:val="20"/>
          <w:szCs w:val="20"/>
          <w:color w:val="auto"/>
        </w:rPr>
        <w:t xml:space="preserve">13.3.2  In the event that Bayer fails to institute an action or proceeding or otherwise take appropriate action to abate such infringement within a period of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after taking notice of such infringement, Recursion shall have the right (but</w:t>
      </w:r>
    </w:p>
    <w:p>
      <w:pPr>
        <w:spacing w:after="0" w:line="2" w:lineRule="exact"/>
        <w:rPr>
          <w:sz w:val="20"/>
          <w:szCs w:val="20"/>
          <w:color w:val="auto"/>
        </w:rPr>
      </w:pPr>
    </w:p>
    <w:p>
      <w:pPr>
        <w:ind w:left="1300" w:right="20"/>
        <w:spacing w:after="0" w:line="204" w:lineRule="auto"/>
        <w:rPr>
          <w:sz w:val="20"/>
          <w:szCs w:val="20"/>
          <w:color w:val="auto"/>
        </w:rPr>
      </w:pPr>
      <w:r>
        <w:rPr>
          <w:rFonts w:ascii="Times New Roman" w:cs="Times New Roman" w:eastAsia="Times New Roman" w:hAnsi="Times New Roman"/>
          <w:sz w:val="20"/>
          <w:szCs w:val="20"/>
          <w:color w:val="auto"/>
        </w:rPr>
        <w:t>not the obligation) to institute and/or prosecute and control such an action or proceeding in its name with respect to such infringement at its sole expense and by counsel of its choice (such permission not to be unreasonably withheld</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or delayed), and Bayer shall have the right to be represented in any such action by counsel of its own choice and at its own expense. However, should Bayer partake in any such action, Recursion shall retain control of the proceeding</w:t>
      </w:r>
    </w:p>
    <w:p>
      <w:pPr>
        <w:ind w:left="1300"/>
        <w:spacing w:after="0"/>
        <w:rPr>
          <w:sz w:val="20"/>
          <w:szCs w:val="20"/>
          <w:color w:val="auto"/>
        </w:rPr>
      </w:pPr>
      <w:r>
        <w:rPr>
          <w:rFonts w:ascii="Times New Roman" w:cs="Times New Roman" w:eastAsia="Times New Roman" w:hAnsi="Times New Roman"/>
          <w:sz w:val="20"/>
          <w:szCs w:val="20"/>
          <w:color w:val="auto"/>
        </w:rPr>
        <w:t>and shall have final say on all decisions related thereto.</w:t>
      </w:r>
    </w:p>
    <w:p>
      <w:pPr>
        <w:spacing w:after="0" w:line="167"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13.3.3  The Parties shall reasonably cooperate with each other in the planning and execution of any such action to enforce the respective Licensed Project Patents (including the obligation to be named or joined as a party in a lawsuit, as</w:t>
      </w:r>
    </w:p>
    <w:p>
      <w:pPr>
        <w:spacing w:after="0" w:line="1" w:lineRule="exact"/>
        <w:rPr>
          <w:sz w:val="20"/>
          <w:szCs w:val="20"/>
          <w:color w:val="auto"/>
        </w:rPr>
      </w:pPr>
    </w:p>
    <w:p>
      <w:pPr>
        <w:ind w:left="1300" w:right="20"/>
        <w:spacing w:after="0" w:line="228" w:lineRule="auto"/>
        <w:rPr>
          <w:sz w:val="20"/>
          <w:szCs w:val="20"/>
          <w:color w:val="auto"/>
        </w:rPr>
      </w:pPr>
      <w:r>
        <w:rPr>
          <w:rFonts w:ascii="Times New Roman" w:cs="Times New Roman" w:eastAsia="Times New Roman" w:hAnsi="Times New Roman"/>
          <w:sz w:val="20"/>
          <w:szCs w:val="20"/>
          <w:color w:val="auto"/>
        </w:rPr>
        <w:t>applicable). Each Party initiating an action or proceeding agrees to provide reasonable information to the other Party, at this Party’s request, about such action or proceeding.</w:t>
      </w:r>
    </w:p>
    <w:p>
      <w:pPr>
        <w:spacing w:after="0" w:line="149" w:lineRule="exact"/>
        <w:rPr>
          <w:sz w:val="20"/>
          <w:szCs w:val="20"/>
          <w:color w:val="auto"/>
        </w:rPr>
      </w:pPr>
    </w:p>
    <w:p>
      <w:pPr>
        <w:jc w:val="right"/>
        <w:ind w:left="640"/>
        <w:spacing w:after="0" w:line="222" w:lineRule="auto"/>
        <w:rPr>
          <w:sz w:val="20"/>
          <w:szCs w:val="20"/>
          <w:color w:val="auto"/>
        </w:rPr>
      </w:pPr>
      <w:r>
        <w:rPr>
          <w:rFonts w:ascii="Times New Roman" w:cs="Times New Roman" w:eastAsia="Times New Roman" w:hAnsi="Times New Roman"/>
          <w:sz w:val="20"/>
          <w:szCs w:val="20"/>
          <w:color w:val="auto"/>
        </w:rPr>
        <w:t>13.3.4  All monies recovered upon the final judgment or settlement of any such suit or action to enforce the respective Licensed Project Patents in the Territory shall be applied in the following order of priority: (i) first, to reimburse the</w:t>
      </w:r>
    </w:p>
    <w:p>
      <w:pPr>
        <w:spacing w:after="0" w:line="2"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costs and Losses of the Party bringing suit, then to the costs and Losses, if any, of the other Party; (ii) any amounts remaining shall be treated allocated </w:t>
      </w:r>
      <w:r>
        <w:rPr>
          <w:rFonts w:ascii="Arial" w:cs="Arial" w:eastAsia="Arial" w:hAnsi="Arial"/>
          <w:sz w:val="17"/>
          <w:szCs w:val="17"/>
          <w:color w:val="auto"/>
        </w:rPr>
        <w:t>[***]</w:t>
      </w:r>
      <w:r>
        <w:rPr>
          <w:rFonts w:ascii="Times New Roman" w:cs="Times New Roman" w:eastAsia="Times New Roman" w:hAnsi="Times New Roman"/>
          <w:sz w:val="20"/>
          <w:szCs w:val="20"/>
          <w:color w:val="auto"/>
        </w:rPr>
        <w:t>. The Party that controls the prosecution of a given suit or action shall also</w:t>
      </w:r>
    </w:p>
    <w:p>
      <w:pPr>
        <w:ind w:left="1300"/>
        <w:spacing w:after="0" w:line="211" w:lineRule="auto"/>
        <w:rPr>
          <w:sz w:val="20"/>
          <w:szCs w:val="20"/>
          <w:color w:val="auto"/>
        </w:rPr>
      </w:pPr>
      <w:r>
        <w:rPr>
          <w:rFonts w:ascii="Times New Roman" w:cs="Times New Roman" w:eastAsia="Times New Roman" w:hAnsi="Times New Roman"/>
          <w:sz w:val="20"/>
          <w:szCs w:val="20"/>
          <w:color w:val="auto"/>
        </w:rPr>
        <w:t>have the right to control settlement of such suit or action. If one Party controls and intends to settle the prosecution</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of a given suit or action, it shall provide the other Party reasonably in advance written information about such intention and about the terms pertaining to the settlement. Only if the settlement would materially and adversely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impact the interest of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0580"/>
          </w:cols>
          <w:pgMar w:left="980" w:top="1440" w:right="339" w:bottom="1440" w:gutter="0" w:footer="0" w:header="0"/>
        </w:sectPr>
      </w:pPr>
    </w:p>
    <w:bookmarkStart w:id="288" w:name="page289"/>
    <w:bookmarkEnd w:id="288"/>
    <w:p>
      <w:pPr>
        <w:spacing w:after="0" w:line="200" w:lineRule="exact"/>
        <w:rPr>
          <w:sz w:val="20"/>
          <w:szCs w:val="20"/>
          <w:color w:val="auto"/>
        </w:rPr>
      </w:pPr>
    </w:p>
    <w:p>
      <w:pPr>
        <w:spacing w:after="0" w:line="348"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20"/>
          <w:szCs w:val="20"/>
          <w:color w:val="auto"/>
        </w:rPr>
        <w:t>controlling Party, in non-controlling Party's opinion, the Party in control of the suit or action shall obtain the non-</w:t>
      </w:r>
    </w:p>
    <w:p>
      <w:pPr>
        <w:ind w:left="1952"/>
        <w:spacing w:after="0" w:line="221" w:lineRule="auto"/>
        <w:rPr>
          <w:sz w:val="20"/>
          <w:szCs w:val="20"/>
          <w:color w:val="auto"/>
        </w:rPr>
      </w:pPr>
      <w:r>
        <w:rPr>
          <w:rFonts w:ascii="Times New Roman" w:cs="Times New Roman" w:eastAsia="Times New Roman" w:hAnsi="Times New Roman"/>
          <w:sz w:val="20"/>
          <w:szCs w:val="20"/>
          <w:color w:val="auto"/>
        </w:rPr>
        <w:t>controlling Party’s consent prior to entering into the settlement. Any amounts received in settlement of any action shall be apportioned between the Parties in the same manner as set forth in this Section 13.3.4.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9"/>
          <w:szCs w:val="19"/>
          <w:u w:val="single" w:color="auto"/>
          <w:color w:val="auto"/>
        </w:rPr>
        <w:t>Enforcement of non-exclusively licensed Background IP Rights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1292"/>
        <w:spacing w:after="0" w:line="215" w:lineRule="auto"/>
        <w:rPr>
          <w:sz w:val="20"/>
          <w:szCs w:val="20"/>
          <w:color w:val="auto"/>
        </w:rPr>
      </w:pPr>
      <w:r>
        <w:rPr>
          <w:rFonts w:ascii="Times New Roman" w:cs="Times New Roman" w:eastAsia="Times New Roman" w:hAnsi="Times New Roman"/>
          <w:sz w:val="20"/>
          <w:szCs w:val="20"/>
          <w:color w:val="auto"/>
        </w:rPr>
        <w:t>13.4.1  With regard to Background IP Rights which have been non-exclusively licensed under this Agreement, Recursion shall have the sole right to institute, prosecute and control the enforcement or defense of any of the Background IP</w:t>
      </w:r>
    </w:p>
    <w:p>
      <w:pPr>
        <w:spacing w:after="0" w:line="1"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20"/>
          <w:szCs w:val="20"/>
          <w:color w:val="auto"/>
        </w:rPr>
        <w:t>Rights to abate any infringement thereof.</w:t>
      </w:r>
    </w:p>
    <w:p>
      <w:pPr>
        <w:spacing w:after="0" w:line="16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13.4.2  Bayer shall reasonably cooperate in any such litigation at Recursion’s expense.</w:t>
      </w:r>
    </w:p>
    <w:p>
      <w:pPr>
        <w:spacing w:after="0" w:line="17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u w:val="single" w:color="auto"/>
          <w:color w:val="auto"/>
        </w:rPr>
        <w:t>Trademarks</w:t>
      </w:r>
    </w:p>
    <w:p>
      <w:pPr>
        <w:spacing w:after="0" w:line="183"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13.5.1  Bayer shall be responsible for the selection, registration, maintenance and defense of any Trademark which it</w:t>
      </w:r>
    </w:p>
    <w:p>
      <w:pPr>
        <w:ind w:left="1952"/>
        <w:spacing w:after="0" w:line="221" w:lineRule="auto"/>
        <w:rPr>
          <w:sz w:val="20"/>
          <w:szCs w:val="20"/>
          <w:color w:val="auto"/>
        </w:rPr>
      </w:pPr>
      <w:r>
        <w:rPr>
          <w:rFonts w:ascii="Times New Roman" w:cs="Times New Roman" w:eastAsia="Times New Roman" w:hAnsi="Times New Roman"/>
          <w:sz w:val="20"/>
          <w:szCs w:val="20"/>
          <w:color w:val="auto"/>
        </w:rPr>
        <w:t>employs in connection with the marketing, sale or distribution in the Territory of the Products. Bayer shall own and control such Trademarks and pay all relevant costs thereto.</w:t>
      </w:r>
    </w:p>
    <w:p>
      <w:pPr>
        <w:spacing w:after="0" w:line="156"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13.5.2  Recursion recognizes the exclusive ownership by Bayer of any proprietary Bayer name, logotype, Trademark or</w:t>
      </w:r>
    </w:p>
    <w:p>
      <w:pPr>
        <w:ind w:left="1952"/>
        <w:spacing w:after="0" w:line="215" w:lineRule="auto"/>
        <w:rPr>
          <w:sz w:val="20"/>
          <w:szCs w:val="20"/>
          <w:color w:val="auto"/>
        </w:rPr>
      </w:pPr>
      <w:r>
        <w:rPr>
          <w:rFonts w:ascii="Times New Roman" w:cs="Times New Roman" w:eastAsia="Times New Roman" w:hAnsi="Times New Roman"/>
          <w:sz w:val="19"/>
          <w:szCs w:val="19"/>
          <w:color w:val="auto"/>
        </w:rPr>
        <w:t>trade dress furnished by Bayer (e.g. the name “Bayer” and the “Bayer Cross”) for use in connection with the marketing, sale or distribution of the Products in the Territory. Recursion shall not, either while this Agreement is in</w:t>
      </w:r>
    </w:p>
    <w:p>
      <w:pPr>
        <w:ind w:left="1952"/>
        <w:spacing w:after="0" w:line="211" w:lineRule="auto"/>
        <w:rPr>
          <w:sz w:val="20"/>
          <w:szCs w:val="20"/>
          <w:color w:val="auto"/>
        </w:rPr>
      </w:pPr>
      <w:r>
        <w:rPr>
          <w:rFonts w:ascii="Times New Roman" w:cs="Times New Roman" w:eastAsia="Times New Roman" w:hAnsi="Times New Roman"/>
          <w:sz w:val="20"/>
          <w:szCs w:val="20"/>
          <w:color w:val="auto"/>
        </w:rPr>
        <w:t>effect, or at any time thereafter, register, use or challenge or assist others to challenge the Trademark, the Bayer</w:t>
      </w:r>
    </w:p>
    <w:p>
      <w:pPr>
        <w:ind w:left="1952"/>
        <w:spacing w:after="0" w:line="204" w:lineRule="auto"/>
        <w:rPr>
          <w:sz w:val="20"/>
          <w:szCs w:val="20"/>
          <w:color w:val="auto"/>
        </w:rPr>
      </w:pPr>
      <w:r>
        <w:rPr>
          <w:rFonts w:ascii="Times New Roman" w:cs="Times New Roman" w:eastAsia="Times New Roman" w:hAnsi="Times New Roman"/>
          <w:sz w:val="20"/>
          <w:szCs w:val="20"/>
          <w:color w:val="auto"/>
        </w:rPr>
        <w:t>name, logotype and trade dress furnished by Bayer or attempt to obtain any right in or to any such name, logotype, trademarks or trade dress confusingly similar for the marketing of the Product as defined in this Agreement or any</w:t>
      </w:r>
    </w:p>
    <w:p>
      <w:pPr>
        <w:spacing w:after="0" w:line="1" w:lineRule="exact"/>
        <w:rPr>
          <w:sz w:val="20"/>
          <w:szCs w:val="20"/>
          <w:color w:val="auto"/>
        </w:rPr>
      </w:pPr>
    </w:p>
    <w:p>
      <w:pPr>
        <w:ind w:left="1952"/>
        <w:spacing w:after="0" w:line="228" w:lineRule="auto"/>
        <w:rPr>
          <w:sz w:val="20"/>
          <w:szCs w:val="20"/>
          <w:color w:val="auto"/>
        </w:rPr>
      </w:pPr>
      <w:r>
        <w:rPr>
          <w:rFonts w:ascii="Times New Roman" w:cs="Times New Roman" w:eastAsia="Times New Roman" w:hAnsi="Times New Roman"/>
          <w:sz w:val="20"/>
          <w:szCs w:val="20"/>
          <w:color w:val="auto"/>
        </w:rPr>
        <w:t>other goods and products, notwithstanding that such goods or products have a different use or are dissimilar to the Products as defined in this Agreement.</w:t>
      </w:r>
    </w:p>
    <w:p>
      <w:pPr>
        <w:spacing w:after="0" w:line="149" w:lineRule="exact"/>
        <w:rPr>
          <w:sz w:val="20"/>
          <w:szCs w:val="20"/>
          <w:color w:val="auto"/>
        </w:rPr>
      </w:pPr>
    </w:p>
    <w:p>
      <w:pPr>
        <w:ind w:left="1952" w:hanging="647"/>
        <w:spacing w:after="0"/>
        <w:rPr>
          <w:sz w:val="20"/>
          <w:szCs w:val="20"/>
          <w:color w:val="auto"/>
        </w:rPr>
      </w:pPr>
      <w:r>
        <w:rPr>
          <w:rFonts w:ascii="Times New Roman" w:cs="Times New Roman" w:eastAsia="Times New Roman" w:hAnsi="Times New Roman"/>
          <w:sz w:val="20"/>
          <w:szCs w:val="20"/>
          <w:color w:val="auto"/>
        </w:rPr>
        <w:t>13.5.3 Only Bayer will be authorized to initiate at its own discretion legal proceedings against any infringement or threatened infringement of the Trademark in the Territory.</w:t>
      </w:r>
    </w:p>
    <w:p>
      <w:pPr>
        <w:spacing w:after="0" w:line="148" w:lineRule="exact"/>
        <w:rPr>
          <w:sz w:val="20"/>
          <w:szCs w:val="20"/>
          <w:color w:val="auto"/>
        </w:rPr>
      </w:pPr>
    </w:p>
    <w:p>
      <w:pPr>
        <w:jc w:val="right"/>
        <w:ind w:left="1292"/>
        <w:spacing w:after="0" w:line="222" w:lineRule="auto"/>
        <w:rPr>
          <w:sz w:val="20"/>
          <w:szCs w:val="20"/>
          <w:color w:val="auto"/>
        </w:rPr>
      </w:pPr>
      <w:r>
        <w:rPr>
          <w:rFonts w:ascii="Times New Roman" w:cs="Times New Roman" w:eastAsia="Times New Roman" w:hAnsi="Times New Roman"/>
          <w:sz w:val="20"/>
          <w:szCs w:val="20"/>
          <w:color w:val="auto"/>
        </w:rPr>
        <w:t>13.5.4  Bayer shall be responsible for the registration, hosting, maintenance and defense of the Domain Names under all generic Top Level Domains (gTLDs) and - within the Territory - under all relevant country code Top Level Domains</w:t>
      </w:r>
    </w:p>
    <w:p>
      <w:pPr>
        <w:spacing w:after="0" w:line="2" w:lineRule="exact"/>
        <w:rPr>
          <w:sz w:val="20"/>
          <w:szCs w:val="20"/>
          <w:color w:val="auto"/>
        </w:rPr>
      </w:pPr>
    </w:p>
    <w:p>
      <w:pPr>
        <w:ind w:left="1952"/>
        <w:spacing w:after="0" w:line="221" w:lineRule="auto"/>
        <w:rPr>
          <w:sz w:val="20"/>
          <w:szCs w:val="20"/>
          <w:color w:val="auto"/>
        </w:rPr>
      </w:pPr>
      <w:r>
        <w:rPr>
          <w:rFonts w:ascii="Times New Roman" w:cs="Times New Roman" w:eastAsia="Times New Roman" w:hAnsi="Times New Roman"/>
          <w:sz w:val="20"/>
          <w:szCs w:val="20"/>
          <w:color w:val="auto"/>
        </w:rPr>
        <w:t>(ccTLD). For the avoidance of doubt Bayer is allowed to register such Domain Names in its own name, to host on its own servers, maintain and defend the Domain Names and use them for websites.</w:t>
      </w:r>
    </w:p>
    <w:p>
      <w:pPr>
        <w:spacing w:after="0" w:line="198" w:lineRule="exact"/>
        <w:rPr>
          <w:sz w:val="20"/>
          <w:szCs w:val="20"/>
          <w:color w:val="auto"/>
        </w:rPr>
      </w:pPr>
    </w:p>
    <w:p>
      <w:pPr>
        <w:ind w:left="652" w:hanging="652"/>
        <w:spacing w:after="0"/>
        <w:tabs>
          <w:tab w:leader="none" w:pos="652"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DISPUTE RESOLUTION</w:t>
      </w:r>
    </w:p>
    <w:p>
      <w:pPr>
        <w:spacing w:after="0" w:line="169" w:lineRule="exact"/>
        <w:rPr>
          <w:rFonts w:ascii="Times New Roman" w:cs="Times New Roman" w:eastAsia="Times New Roman" w:hAnsi="Times New Roman"/>
          <w:sz w:val="22"/>
          <w:szCs w:val="22"/>
          <w:b w:val="1"/>
          <w:bCs w:val="1"/>
          <w:color w:val="auto"/>
        </w:rPr>
      </w:pPr>
    </w:p>
    <w:p>
      <w:pPr>
        <w:ind w:left="1292" w:hanging="648"/>
        <w:spacing w:after="0" w:line="22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u w:val="single" w:color="auto"/>
          <w:color w:val="auto"/>
        </w:rPr>
        <w:t>Mandatory Procedures</w:t>
      </w:r>
      <w:r>
        <w:rPr>
          <w:rFonts w:ascii="Times New Roman" w:cs="Times New Roman" w:eastAsia="Times New Roman" w:hAnsi="Times New Roman"/>
          <w:sz w:val="20"/>
          <w:szCs w:val="20"/>
          <w:color w:val="auto"/>
        </w:rPr>
        <w:t>. The Parties agree that any dispute arising out of or relating to this Agreement, including its termination, (a “Dispute”) shall be resolved solely by means of the procedures set forth in this Section 14, and that such procedures constitute legally binding obligations that are an essential provision of this Agreement.</w:t>
      </w:r>
    </w:p>
    <w:p>
      <w:pPr>
        <w:spacing w:after="0" w:line="160" w:lineRule="exact"/>
        <w:rPr>
          <w:rFonts w:ascii="Times New Roman" w:cs="Times New Roman" w:eastAsia="Times New Roman" w:hAnsi="Times New Roman"/>
          <w:sz w:val="22"/>
          <w:szCs w:val="22"/>
          <w:b w:val="1"/>
          <w:bCs w:val="1"/>
          <w:color w:val="auto"/>
        </w:rPr>
      </w:pPr>
    </w:p>
    <w:p>
      <w:pPr>
        <w:ind w:left="1292" w:right="20" w:hanging="648"/>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u w:val="single" w:color="auto"/>
          <w:color w:val="auto"/>
        </w:rPr>
        <w:t>Preliminary Injunctions</w:t>
      </w:r>
      <w:r>
        <w:rPr>
          <w:rFonts w:ascii="Times New Roman" w:cs="Times New Roman" w:eastAsia="Times New Roman" w:hAnsi="Times New Roman"/>
          <w:sz w:val="20"/>
          <w:szCs w:val="20"/>
          <w:color w:val="auto"/>
        </w:rPr>
        <w:t>. Notwithstanding anything in this Agreement, including without limitation Section 14.3, to the contrary, a Party may, at any time, seek a 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32"/>
          </w:cols>
          <w:pgMar w:left="328" w:top="1440" w:right="339" w:bottom="1440" w:gutter="0" w:footer="0" w:header="0"/>
        </w:sectPr>
      </w:pPr>
    </w:p>
    <w:bookmarkStart w:id="289" w:name="page290"/>
    <w:bookmarkEnd w:id="289"/>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restraining order or a preliminary injunction from any court of competent jurisdiction in order to prevent immediate and</w:t>
      </w: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irreparable injury, loss, or damage on a provisional basis, pending the decision of the arbitrator(s) or experts on the ultimate merits of any Dispute.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u w:val="single" w:color="auto"/>
          <w:color w:val="auto"/>
        </w:rPr>
        <w:t>Dispute Resolution Procedure.</w:t>
      </w:r>
    </w:p>
    <w:p>
      <w:pPr>
        <w:spacing w:after="0" w:line="189"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xml:space="preserve">. Each Party may notify the other Party of a Dispute and the issue shall be referred to a senior executive of each Party who shall meet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Business Days (in person, by means of telephone conference, videoconference or</w:t>
      </w:r>
    </w:p>
    <w:p>
      <w:pPr>
        <w:ind w:left="640"/>
        <w:spacing w:after="0" w:line="212" w:lineRule="auto"/>
        <w:rPr>
          <w:sz w:val="20"/>
          <w:szCs w:val="20"/>
          <w:color w:val="auto"/>
        </w:rPr>
      </w:pPr>
      <w:r>
        <w:rPr>
          <w:rFonts w:ascii="Times New Roman" w:cs="Times New Roman" w:eastAsia="Times New Roman" w:hAnsi="Times New Roman"/>
          <w:sz w:val="20"/>
          <w:szCs w:val="20"/>
          <w:color w:val="auto"/>
        </w:rPr>
        <w:t>other means of communications) and attempt in good faith to resolve such issue (subject only to internal approvals (e.g. by</w:t>
      </w:r>
    </w:p>
    <w:p>
      <w:pPr>
        <w:spacing w:after="0" w:line="1"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the board of directors), if required by Recursion’s or Bayer’s organization). All such discussions shall be confidential and shall be treated as compromise and settlement negotiations for purposes of applicable rules of evidence. Notwithstanding the</w:t>
      </w:r>
    </w:p>
    <w:p>
      <w:pPr>
        <w:jc w:val="both"/>
        <w:ind w:left="640"/>
        <w:spacing w:after="0" w:line="228" w:lineRule="auto"/>
        <w:rPr>
          <w:sz w:val="20"/>
          <w:szCs w:val="20"/>
          <w:color w:val="auto"/>
        </w:rPr>
      </w:pPr>
      <w:r>
        <w:rPr>
          <w:rFonts w:ascii="Times New Roman" w:cs="Times New Roman" w:eastAsia="Times New Roman" w:hAnsi="Times New Roman"/>
          <w:sz w:val="20"/>
          <w:szCs w:val="20"/>
          <w:color w:val="auto"/>
        </w:rPr>
        <w:t xml:space="preserve">foregoing, if such executives cannot resolve such matter within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Business Days after their meeting, then, either Party may initiate proceedings in accordance with the Sections 14.4 to 14.7 below.</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14.4</w:t>
      </w:r>
      <w:r>
        <w:rPr>
          <w:sz w:val="20"/>
          <w:szCs w:val="20"/>
          <w:color w:val="auto"/>
        </w:rPr>
        <w:tab/>
      </w:r>
      <w:r>
        <w:rPr>
          <w:rFonts w:ascii="Times New Roman" w:cs="Times New Roman" w:eastAsia="Times New Roman" w:hAnsi="Times New Roman"/>
          <w:sz w:val="19"/>
          <w:szCs w:val="19"/>
          <w:u w:val="single" w:color="auto"/>
          <w:color w:val="auto"/>
        </w:rPr>
        <w:t>Arbitration.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14.4.1  Subject to Sections 14.5 and 14.6 any Disputes shall be finally settled under the Rules of Arbitration of the</w:t>
      </w:r>
    </w:p>
    <w:p>
      <w:pPr>
        <w:ind w:left="1300"/>
        <w:spacing w:after="0" w:line="204" w:lineRule="auto"/>
        <w:rPr>
          <w:sz w:val="20"/>
          <w:szCs w:val="20"/>
          <w:color w:val="auto"/>
        </w:rPr>
      </w:pPr>
      <w:r>
        <w:rPr>
          <w:rFonts w:ascii="Times New Roman" w:cs="Times New Roman" w:eastAsia="Times New Roman" w:hAnsi="Times New Roman"/>
          <w:sz w:val="20"/>
          <w:szCs w:val="20"/>
          <w:color w:val="auto"/>
        </w:rPr>
        <w:t>International Chamber of Commerce (the “</w:t>
      </w:r>
      <w:r>
        <w:rPr>
          <w:rFonts w:ascii="Times New Roman" w:cs="Times New Roman" w:eastAsia="Times New Roman" w:hAnsi="Times New Roman"/>
          <w:sz w:val="20"/>
          <w:szCs w:val="20"/>
          <w:u w:val="single" w:color="auto"/>
          <w:color w:val="auto"/>
        </w:rPr>
        <w:t>Rules</w:t>
      </w:r>
      <w:r>
        <w:rPr>
          <w:rFonts w:ascii="Times New Roman" w:cs="Times New Roman" w:eastAsia="Times New Roman" w:hAnsi="Times New Roman"/>
          <w:sz w:val="20"/>
          <w:szCs w:val="20"/>
          <w:color w:val="auto"/>
        </w:rPr>
        <w:t>”) by a panel of three arbitrators appointed in accordance with the said Rules, save that the third arbitrator, who will act as president of the arbitral tribunal, shall not be appointed by</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the International Court of Arbitration, but by the two arbitrators which have been appointed by either of the Parties in accordance with Article 12 para 4 of said Rules, as may be updated.</w:t>
      </w:r>
    </w:p>
    <w:p>
      <w:pPr>
        <w:spacing w:after="0" w:line="149" w:lineRule="exact"/>
        <w:rPr>
          <w:sz w:val="20"/>
          <w:szCs w:val="20"/>
          <w:color w:val="auto"/>
        </w:rPr>
      </w:pPr>
    </w:p>
    <w:p>
      <w:pPr>
        <w:jc w:val="both"/>
        <w:ind w:left="1300" w:hanging="647"/>
        <w:spacing w:after="0" w:line="230" w:lineRule="auto"/>
        <w:rPr>
          <w:sz w:val="20"/>
          <w:szCs w:val="20"/>
          <w:color w:val="auto"/>
        </w:rPr>
      </w:pPr>
      <w:r>
        <w:rPr>
          <w:rFonts w:ascii="Times New Roman" w:cs="Times New Roman" w:eastAsia="Times New Roman" w:hAnsi="Times New Roman"/>
          <w:sz w:val="20"/>
          <w:szCs w:val="20"/>
          <w:color w:val="auto"/>
        </w:rPr>
        <w:t>14.4.2 The place of arbitration shall be New York, New York, U.S., and the language to be used in any such proceeding (and for all testimony, evidence and written documentation) shall be English. The IBA Rules on the Taking of Evidence in International Arbitration shall apply on any evidence to be taken up in the arbitration.</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14.4.3  Without limiting any other remedies that may be available under law, the arbitrator(s) shall have no authority to</w:t>
      </w:r>
    </w:p>
    <w:p>
      <w:pPr>
        <w:ind w:left="1300"/>
        <w:spacing w:after="0" w:line="204" w:lineRule="auto"/>
        <w:rPr>
          <w:sz w:val="20"/>
          <w:szCs w:val="20"/>
          <w:color w:val="auto"/>
        </w:rPr>
      </w:pPr>
      <w:r>
        <w:rPr>
          <w:rFonts w:ascii="Times New Roman" w:cs="Times New Roman" w:eastAsia="Times New Roman" w:hAnsi="Times New Roman"/>
          <w:sz w:val="20"/>
          <w:szCs w:val="20"/>
          <w:color w:val="auto"/>
        </w:rPr>
        <w:t>award punitive damages. Any final award by the arbitrator may be entered by either Party in any court having appropriate jurisdiction for applicable orders of enforcement. Except to the extent necessary to confirm an award or</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as may be required by law, neither a Party nor the arbitrator may disclose the existence, content, or results of an arbitration without the prior written consent of both Parties.</w:t>
      </w:r>
    </w:p>
    <w:p>
      <w:pPr>
        <w:spacing w:after="0" w:line="149" w:lineRule="exact"/>
        <w:rPr>
          <w:sz w:val="20"/>
          <w:szCs w:val="20"/>
          <w:color w:val="auto"/>
        </w:rPr>
      </w:pPr>
    </w:p>
    <w:p>
      <w:pPr>
        <w:jc w:val="right"/>
        <w:ind w:right="20"/>
        <w:spacing w:after="0" w:line="222" w:lineRule="auto"/>
        <w:rPr>
          <w:sz w:val="20"/>
          <w:szCs w:val="20"/>
          <w:color w:val="auto"/>
        </w:rPr>
      </w:pPr>
      <w:r>
        <w:rPr>
          <w:rFonts w:ascii="Times New Roman" w:cs="Times New Roman" w:eastAsia="Times New Roman" w:hAnsi="Times New Roman"/>
          <w:sz w:val="20"/>
          <w:szCs w:val="20"/>
          <w:color w:val="auto"/>
        </w:rPr>
        <w:t xml:space="preserve">14.5   </w:t>
      </w:r>
      <w:r>
        <w:rPr>
          <w:rFonts w:ascii="Times New Roman" w:cs="Times New Roman" w:eastAsia="Times New Roman" w:hAnsi="Times New Roman"/>
          <w:sz w:val="20"/>
          <w:szCs w:val="20"/>
          <w:u w:val="single" w:color="auto"/>
          <w:color w:val="auto"/>
        </w:rPr>
        <w:t>Patent Disputes</w:t>
      </w:r>
      <w:r>
        <w:rPr>
          <w:rFonts w:ascii="Times New Roman" w:cs="Times New Roman" w:eastAsia="Times New Roman" w:hAnsi="Times New Roman"/>
          <w:sz w:val="20"/>
          <w:szCs w:val="20"/>
          <w:color w:val="auto"/>
        </w:rPr>
        <w:t>. Notwithstanding anything in this Agreement to the contrary, any and all issues regarding the validity and enforceability of any Patent (“Patent Matters”) shall be determined in a court or other tribunal, as the case may be, of</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competent jurisdiction under the applicable patent laws of such country with a jury trial being however excluded. If such Dispute involves both Patent Matters and other matters, the arbitrators or experts as applicable will have the right to stay the</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arbitration or expert determination until determination of Patent Matters material to the resolution of the Dispute as to other matters is resolved.</w:t>
      </w:r>
    </w:p>
    <w:p>
      <w:pPr>
        <w:spacing w:after="0" w:line="149" w:lineRule="exact"/>
        <w:rPr>
          <w:sz w:val="20"/>
          <w:szCs w:val="20"/>
          <w:color w:val="auto"/>
        </w:rPr>
      </w:pPr>
    </w:p>
    <w:p>
      <w:pPr>
        <w:jc w:val="right"/>
        <w:ind w:right="20"/>
        <w:spacing w:after="0" w:line="222" w:lineRule="auto"/>
        <w:rPr>
          <w:sz w:val="20"/>
          <w:szCs w:val="20"/>
          <w:color w:val="auto"/>
        </w:rPr>
      </w:pPr>
      <w:r>
        <w:rPr>
          <w:rFonts w:ascii="Times New Roman" w:cs="Times New Roman" w:eastAsia="Times New Roman" w:hAnsi="Times New Roman"/>
          <w:sz w:val="20"/>
          <w:szCs w:val="20"/>
          <w:color w:val="auto"/>
        </w:rPr>
        <w:t xml:space="preserve">14.6   </w:t>
      </w:r>
      <w:r>
        <w:rPr>
          <w:rFonts w:ascii="Times New Roman" w:cs="Times New Roman" w:eastAsia="Times New Roman" w:hAnsi="Times New Roman"/>
          <w:sz w:val="20"/>
          <w:szCs w:val="20"/>
          <w:u w:val="single" w:color="auto"/>
          <w:color w:val="auto"/>
        </w:rPr>
        <w:t>Expert Determination for Specific Matters</w:t>
      </w:r>
      <w:r>
        <w:rPr>
          <w:rFonts w:ascii="Times New Roman" w:cs="Times New Roman" w:eastAsia="Times New Roman" w:hAnsi="Times New Roman"/>
          <w:sz w:val="20"/>
          <w:szCs w:val="20"/>
          <w:color w:val="auto"/>
        </w:rPr>
        <w:t>. Subject to Section 14.5 and notwithstanding Section 14.4, the Parties may agree to submit any Dispute which subject matter relates to a scientific or technical assessment or the determination of the amount</w:t>
      </w:r>
    </w:p>
    <w:p>
      <w:pPr>
        <w:spacing w:after="0" w:line="2"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of royalty or milestone payments or a license fee to administered expert proceedings in accordance with the Rules for the Administration of Expert Proceedings of the International Chamber of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0580"/>
          </w:cols>
          <w:pgMar w:left="980" w:top="1440" w:right="339" w:bottom="1440" w:gutter="0" w:footer="0" w:header="0"/>
        </w:sectPr>
      </w:pPr>
    </w:p>
    <w:bookmarkStart w:id="290" w:name="page291"/>
    <w:bookmarkEnd w:id="290"/>
    <w:p>
      <w:pPr>
        <w:spacing w:after="0" w:line="200" w:lineRule="exact"/>
        <w:rPr>
          <w:sz w:val="20"/>
          <w:szCs w:val="20"/>
          <w:color w:val="auto"/>
        </w:rPr>
      </w:pPr>
    </w:p>
    <w:p>
      <w:pPr>
        <w:spacing w:after="0" w:line="35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The Parties agree that in such case the findings of the expert shall be contractually binding upon them in the absence of manifest error or fraud and that they will agree with the expert on the terms of his appointment.</w:t>
      </w:r>
    </w:p>
    <w:p>
      <w:pPr>
        <w:spacing w:after="0" w:line="148" w:lineRule="exact"/>
        <w:rPr>
          <w:sz w:val="20"/>
          <w:szCs w:val="20"/>
          <w:color w:val="auto"/>
        </w:rPr>
      </w:pPr>
    </w:p>
    <w:p>
      <w:pPr>
        <w:jc w:val="right"/>
        <w:ind w:left="652"/>
        <w:spacing w:after="0" w:line="222"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u w:val="single" w:color="auto"/>
          <w:color w:val="auto"/>
        </w:rPr>
        <w:t>Performance to Continue</w:t>
      </w:r>
      <w:r>
        <w:rPr>
          <w:rFonts w:ascii="Times New Roman" w:cs="Times New Roman" w:eastAsia="Times New Roman" w:hAnsi="Times New Roman"/>
          <w:sz w:val="20"/>
          <w:szCs w:val="20"/>
          <w:color w:val="auto"/>
        </w:rPr>
        <w:t>. Without limiting either Party’s rights under Sections 15.2 to 15.3, each Party shall continue to perform its undisputed obligations under this Agreement pending final resolution of any dispute arising out of or relating to</w:t>
      </w:r>
    </w:p>
    <w:p>
      <w:pPr>
        <w:spacing w:after="0" w:line="2" w:lineRule="exact"/>
        <w:rPr>
          <w:sz w:val="20"/>
          <w:szCs w:val="20"/>
          <w:color w:val="auto"/>
        </w:rPr>
      </w:pPr>
    </w:p>
    <w:p>
      <w:pPr>
        <w:ind w:left="1292"/>
        <w:spacing w:after="0" w:line="204" w:lineRule="auto"/>
        <w:rPr>
          <w:sz w:val="20"/>
          <w:szCs w:val="20"/>
          <w:color w:val="auto"/>
        </w:rPr>
      </w:pPr>
      <w:r>
        <w:rPr>
          <w:rFonts w:ascii="Times New Roman" w:cs="Times New Roman" w:eastAsia="Times New Roman" w:hAnsi="Times New Roman"/>
          <w:sz w:val="20"/>
          <w:szCs w:val="20"/>
          <w:color w:val="auto"/>
        </w:rPr>
        <w:t>this Agreement; provided, however, that a Party may terminate this Agreement in accordance with Sections 15.2 to 15.3 or suspend performance of its undisputed obligations during any period in which the other Party fails or refuses to perform its</w:t>
      </w:r>
    </w:p>
    <w:p>
      <w:pPr>
        <w:spacing w:after="0" w:line="1"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undisputed obligations or during any period in which the issue in dispute is payments due under this Agreement.</w:t>
      </w:r>
    </w:p>
    <w:p>
      <w:pPr>
        <w:spacing w:after="0" w:line="203" w:lineRule="exact"/>
        <w:rPr>
          <w:sz w:val="20"/>
          <w:szCs w:val="20"/>
          <w:color w:val="auto"/>
        </w:rPr>
      </w:pPr>
    </w:p>
    <w:p>
      <w:pPr>
        <w:ind w:left="652" w:hanging="652"/>
        <w:spacing w:after="0"/>
        <w:tabs>
          <w:tab w:leader="none" w:pos="652"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TERM AND TERMINATION</w:t>
      </w:r>
    </w:p>
    <w:p>
      <w:pPr>
        <w:spacing w:after="0" w:line="169" w:lineRule="exact"/>
        <w:rPr>
          <w:rFonts w:ascii="Times New Roman" w:cs="Times New Roman" w:eastAsia="Times New Roman" w:hAnsi="Times New Roman"/>
          <w:sz w:val="22"/>
          <w:szCs w:val="22"/>
          <w:b w:val="1"/>
          <w:bCs w:val="1"/>
          <w:color w:val="auto"/>
        </w:rPr>
      </w:pPr>
    </w:p>
    <w:p>
      <w:pPr>
        <w:ind w:left="1292" w:hanging="648"/>
        <w:spacing w:after="0" w:line="22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this Agreement shall commence on the Effective Date of this Agreement and shall continue on a Product-by-Product and country-by-country basis until the expiration of the Royalty Term applicable to such Product in such country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2"/>
          <w:szCs w:val="22"/>
          <w:b w:val="1"/>
          <w:bCs w:val="1"/>
          <w:color w:val="auto"/>
        </w:rPr>
      </w:pPr>
    </w:p>
    <w:p>
      <w:pPr>
        <w:ind w:left="1292" w:hanging="648"/>
        <w:spacing w:after="0" w:line="2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u w:val="single" w:color="auto"/>
          <w:color w:val="auto"/>
        </w:rPr>
        <w:t>Termination for Convenience by Bayer</w:t>
      </w:r>
      <w:r>
        <w:rPr>
          <w:rFonts w:ascii="Times New Roman" w:cs="Times New Roman" w:eastAsia="Times New Roman" w:hAnsi="Times New Roman"/>
          <w:sz w:val="20"/>
          <w:szCs w:val="20"/>
          <w:color w:val="auto"/>
        </w:rPr>
        <w:t xml:space="preserve">. Bayer may without cause and for any reason terminate this Agreement completely or partially with respect to a specific Product or country by giving Recursion written notice of at least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in advance of the effective date of termination selected by Bayer. Bayer shall pay all sums respectively due under this Agreement, including earned royalties and milestone payments which are or become due prior to the effective date of the respective complete or partial termination of this Agreement. In the event of termination by Bayer pursuant to this Section 15.2, Bayer, its Affiliates shall cease all development, manufacture and commercialization of the Licensed Project Compounds, Derivatives, and Products, or if this Agreement is terminated in part, the terminated Products or in the terminated country, as applicable.</w:t>
      </w:r>
    </w:p>
    <w:p>
      <w:pPr>
        <w:spacing w:after="0" w:line="162" w:lineRule="exact"/>
        <w:rPr>
          <w:rFonts w:ascii="Times New Roman" w:cs="Times New Roman" w:eastAsia="Times New Roman" w:hAnsi="Times New Roman"/>
          <w:sz w:val="22"/>
          <w:szCs w:val="22"/>
          <w:b w:val="1"/>
          <w:bCs w:val="1"/>
          <w:color w:val="auto"/>
        </w:rPr>
      </w:pPr>
    </w:p>
    <w:p>
      <w:pPr>
        <w:ind w:left="1292" w:hanging="648"/>
        <w:spacing w:after="0" w:line="2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u w:val="single" w:color="auto"/>
          <w:color w:val="auto"/>
        </w:rPr>
        <w:t>Termination for Breach</w:t>
      </w:r>
      <w:r>
        <w:rPr>
          <w:rFonts w:ascii="Times New Roman" w:cs="Times New Roman" w:eastAsia="Times New Roman" w:hAnsi="Times New Roman"/>
          <w:sz w:val="20"/>
          <w:szCs w:val="20"/>
          <w:color w:val="auto"/>
        </w:rPr>
        <w:t xml:space="preserve">. In the event of any material breach by a Party of this Agreement, the other Party shall have the right to terminate this Agreement upon delivery of written notice to the breaching Party, provided that the notifying Party provides notice of such breach to the breaching Party specifying the nature of the alleged breach and that such breach has not been cured within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after such notice thereof. Notwithstanding the foregoing, the notice and cure period as provided above shall be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for breaches of any payment obligation under this Agreement, provided however, that if a portion of the invoice is in dispute, the undisputed portion shall be paid and this Agreement shall remain in full force and effect subject to Section 14.7 and the disputed portion shall be resolved in accordance with Section 14 above. In the event of termination by Recursion pursuant to this Section 15.3, Bayer, its Affiliates shall cease all development, manufacture and commercialization of the Licensed Project Compounds, Derivatives and Products.</w:t>
      </w:r>
    </w:p>
    <w:p>
      <w:pPr>
        <w:spacing w:after="0" w:line="161"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19"/>
          <w:szCs w:val="19"/>
          <w:u w:val="single" w:color="auto"/>
          <w:color w:val="auto"/>
        </w:rPr>
        <w:t>Consequences of Expiration or Termination.</w:t>
      </w:r>
    </w:p>
    <w:p>
      <w:pPr>
        <w:spacing w:after="0" w:line="170"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 xml:space="preserve">15.4.1  </w:t>
      </w:r>
      <w:r>
        <w:rPr>
          <w:rFonts w:ascii="Times New Roman" w:cs="Times New Roman" w:eastAsia="Times New Roman" w:hAnsi="Times New Roman"/>
          <w:sz w:val="20"/>
          <w:szCs w:val="20"/>
          <w:u w:val="single" w:color="auto"/>
          <w:color w:val="auto"/>
        </w:rPr>
        <w:t>Consequences of Termination for Convenience by Bayer or Termination for Cause by Recursion</w:t>
      </w:r>
      <w:r>
        <w:rPr>
          <w:rFonts w:ascii="Times New Roman" w:cs="Times New Roman" w:eastAsia="Times New Roman" w:hAnsi="Times New Roman"/>
          <w:sz w:val="20"/>
          <w:szCs w:val="20"/>
          <w:color w:val="auto"/>
        </w:rPr>
        <w:t>. In the event that</w:t>
      </w:r>
    </w:p>
    <w:p>
      <w:pPr>
        <w:ind w:left="1952"/>
        <w:spacing w:after="0" w:line="228" w:lineRule="auto"/>
        <w:rPr>
          <w:sz w:val="20"/>
          <w:szCs w:val="20"/>
          <w:color w:val="auto"/>
        </w:rPr>
      </w:pPr>
      <w:r>
        <w:rPr>
          <w:rFonts w:ascii="Times New Roman" w:cs="Times New Roman" w:eastAsia="Times New Roman" w:hAnsi="Times New Roman"/>
          <w:sz w:val="20"/>
          <w:szCs w:val="20"/>
          <w:color w:val="auto"/>
        </w:rPr>
        <w:t>this Agreement is terminated by Bayer for convenience in accordance with Section 15.2 or by Recursion for breach in accordance with Section 15.3:</w:t>
      </w:r>
    </w:p>
    <w:p>
      <w:pPr>
        <w:spacing w:after="0" w:line="149" w:lineRule="exact"/>
        <w:rPr>
          <w:sz w:val="20"/>
          <w:szCs w:val="20"/>
          <w:color w:val="auto"/>
        </w:rPr>
      </w:pPr>
    </w:p>
    <w:p>
      <w:pPr>
        <w:jc w:val="both"/>
        <w:ind w:left="3012" w:hanging="1095"/>
        <w:spacing w:after="0" w:line="230" w:lineRule="auto"/>
        <w:tabs>
          <w:tab w:leader="none" w:pos="2992" w:val="left"/>
        </w:tabs>
        <w:rPr>
          <w:sz w:val="20"/>
          <w:szCs w:val="20"/>
          <w:color w:val="auto"/>
        </w:rPr>
      </w:pPr>
      <w:r>
        <w:rPr>
          <w:rFonts w:ascii="Times New Roman" w:cs="Times New Roman" w:eastAsia="Times New Roman" w:hAnsi="Times New Roman"/>
          <w:sz w:val="20"/>
          <w:szCs w:val="20"/>
          <w:color w:val="auto"/>
        </w:rPr>
        <w:t>15.4.1.1</w:t>
      </w:r>
      <w:r>
        <w:rPr>
          <w:sz w:val="20"/>
          <w:szCs w:val="20"/>
          <w:color w:val="auto"/>
        </w:rPr>
        <w:tab/>
      </w:r>
      <w:r>
        <w:rPr>
          <w:rFonts w:ascii="Times New Roman" w:cs="Times New Roman" w:eastAsia="Times New Roman" w:hAnsi="Times New Roman"/>
          <w:sz w:val="20"/>
          <w:szCs w:val="20"/>
          <w:color w:val="auto"/>
        </w:rPr>
        <w:t>The licenses granted hereunder by Recursion to Bayer under the Licensed Rights shall, subject to the last sentence of Section 14.3, cease completely or if applicable, partially with respect to the specific Product(s) or country for which this Agreement was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32"/>
          </w:cols>
          <w:pgMar w:left="328" w:top="1440" w:right="339" w:bottom="1440" w:gutter="0" w:footer="0" w:header="0"/>
        </w:sectPr>
      </w:pPr>
    </w:p>
    <w:bookmarkStart w:id="291" w:name="page292"/>
    <w:bookmarkEnd w:id="291"/>
    <w:p>
      <w:pPr>
        <w:spacing w:after="0" w:line="200" w:lineRule="exact"/>
        <w:rPr>
          <w:sz w:val="20"/>
          <w:szCs w:val="20"/>
          <w:color w:val="auto"/>
        </w:rPr>
      </w:pPr>
    </w:p>
    <w:p>
      <w:pPr>
        <w:spacing w:after="0" w:line="348" w:lineRule="exact"/>
        <w:rPr>
          <w:sz w:val="20"/>
          <w:szCs w:val="20"/>
          <w:color w:val="auto"/>
        </w:rPr>
      </w:pPr>
    </w:p>
    <w:p>
      <w:pPr>
        <w:ind w:left="800"/>
        <w:spacing w:after="0"/>
        <w:tabs>
          <w:tab w:leader="none" w:pos="1880" w:val="left"/>
        </w:tabs>
        <w:rPr>
          <w:sz w:val="20"/>
          <w:szCs w:val="20"/>
          <w:color w:val="auto"/>
        </w:rPr>
      </w:pPr>
      <w:r>
        <w:rPr>
          <w:rFonts w:ascii="Times New Roman" w:cs="Times New Roman" w:eastAsia="Times New Roman" w:hAnsi="Times New Roman"/>
          <w:sz w:val="20"/>
          <w:szCs w:val="20"/>
          <w:color w:val="auto"/>
        </w:rPr>
        <w:t>15.4.1.2</w:t>
      </w:r>
      <w:r>
        <w:rPr>
          <w:sz w:val="20"/>
          <w:szCs w:val="20"/>
          <w:color w:val="auto"/>
        </w:rPr>
        <w:tab/>
      </w:r>
      <w:r>
        <w:rPr>
          <w:rFonts w:ascii="Times New Roman" w:cs="Times New Roman" w:eastAsia="Times New Roman" w:hAnsi="Times New Roman"/>
          <w:sz w:val="20"/>
          <w:szCs w:val="20"/>
          <w:color w:val="auto"/>
        </w:rPr>
        <w:t>For the Licensed Rights, as far as affected by the respective termination according to Section 15.2 or</w:t>
      </w:r>
    </w:p>
    <w:p>
      <w:pPr>
        <w:ind w:left="1900"/>
        <w:spacing w:after="0" w:line="204" w:lineRule="auto"/>
        <w:rPr>
          <w:sz w:val="20"/>
          <w:szCs w:val="20"/>
          <w:color w:val="auto"/>
        </w:rPr>
      </w:pPr>
      <w:r>
        <w:rPr>
          <w:rFonts w:ascii="Times New Roman" w:cs="Times New Roman" w:eastAsia="Times New Roman" w:hAnsi="Times New Roman"/>
          <w:sz w:val="20"/>
          <w:szCs w:val="20"/>
          <w:color w:val="auto"/>
        </w:rPr>
        <w:t>15.3 and except to the extent that exclusive rights have been granted to the other Party, each Party shall have the right to use, practice, develop and exploit their respective share of the affected Licensed</w:t>
      </w:r>
    </w:p>
    <w:p>
      <w:pPr>
        <w:ind w:left="1900"/>
        <w:spacing w:after="0" w:line="211" w:lineRule="auto"/>
        <w:rPr>
          <w:sz w:val="20"/>
          <w:szCs w:val="20"/>
          <w:color w:val="auto"/>
        </w:rPr>
      </w:pPr>
      <w:r>
        <w:rPr>
          <w:rFonts w:ascii="Times New Roman" w:cs="Times New Roman" w:eastAsia="Times New Roman" w:hAnsi="Times New Roman"/>
          <w:sz w:val="20"/>
          <w:szCs w:val="20"/>
          <w:color w:val="auto"/>
        </w:rPr>
        <w:t>Rights from the Project solely for internal research and development purposes, including the right to</w:t>
      </w:r>
    </w:p>
    <w:p>
      <w:pPr>
        <w:spacing w:after="0" w:line="1" w:lineRule="exact"/>
        <w:rPr>
          <w:sz w:val="20"/>
          <w:szCs w:val="20"/>
          <w:color w:val="auto"/>
        </w:rPr>
      </w:pPr>
    </w:p>
    <w:p>
      <w:pPr>
        <w:ind w:left="1900"/>
        <w:spacing w:after="0" w:line="204" w:lineRule="auto"/>
        <w:rPr>
          <w:sz w:val="20"/>
          <w:szCs w:val="20"/>
          <w:color w:val="auto"/>
        </w:rPr>
      </w:pPr>
      <w:r>
        <w:rPr>
          <w:rFonts w:ascii="Times New Roman" w:cs="Times New Roman" w:eastAsia="Times New Roman" w:hAnsi="Times New Roman"/>
          <w:sz w:val="20"/>
          <w:szCs w:val="20"/>
          <w:color w:val="auto"/>
        </w:rPr>
        <w:t xml:space="preserve">sublicense its interest in the Licensed Rights for such purposes, without the consent of the other Party and without a duty of accounting to the other Party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neither Party may use any</w:t>
      </w:r>
    </w:p>
    <w:p>
      <w:pPr>
        <w:ind w:left="1900"/>
        <w:spacing w:after="0" w:line="223" w:lineRule="auto"/>
        <w:rPr>
          <w:sz w:val="20"/>
          <w:szCs w:val="20"/>
          <w:color w:val="auto"/>
        </w:rPr>
      </w:pPr>
      <w:r>
        <w:rPr>
          <w:rFonts w:ascii="Times New Roman" w:cs="Times New Roman" w:eastAsia="Times New Roman" w:hAnsi="Times New Roman"/>
          <w:sz w:val="19"/>
          <w:szCs w:val="19"/>
          <w:color w:val="auto"/>
        </w:rPr>
        <w:t>Project Know-How or allow its sublicensee the use of any Project Know-How for a Competing Project</w:t>
      </w:r>
    </w:p>
    <w:p>
      <w:pPr>
        <w:ind w:left="1900"/>
        <w:spacing w:after="0" w:line="215" w:lineRule="auto"/>
        <w:rPr>
          <w:sz w:val="20"/>
          <w:szCs w:val="20"/>
          <w:color w:val="auto"/>
        </w:rPr>
      </w:pPr>
      <w:r>
        <w:rPr>
          <w:rFonts w:ascii="Times New Roman" w:cs="Times New Roman" w:eastAsia="Times New Roman" w:hAnsi="Times New Roman"/>
          <w:sz w:val="19"/>
          <w:szCs w:val="19"/>
          <w:color w:val="auto"/>
        </w:rPr>
        <w:t>except to the extent expressly permitted in a separate license agreement between the Parties, and Bayer may not use the Licensed Rights with respect to Licensed Project Compounds, Derivatives, Enabled</w:t>
      </w:r>
    </w:p>
    <w:p>
      <w:pPr>
        <w:ind w:left="1900"/>
        <w:spacing w:after="0" w:line="211" w:lineRule="auto"/>
        <w:rPr>
          <w:sz w:val="20"/>
          <w:szCs w:val="20"/>
          <w:color w:val="auto"/>
        </w:rPr>
      </w:pPr>
      <w:r>
        <w:rPr>
          <w:rFonts w:ascii="Times New Roman" w:cs="Times New Roman" w:eastAsia="Times New Roman" w:hAnsi="Times New Roman"/>
          <w:sz w:val="20"/>
          <w:szCs w:val="20"/>
          <w:color w:val="auto"/>
        </w:rPr>
        <w:t>Compounds or Products. Where such consent is required by Applicable Law, it is deemed hereby</w:t>
      </w:r>
    </w:p>
    <w:p>
      <w:pPr>
        <w:ind w:left="1900"/>
        <w:spacing w:after="0" w:line="215" w:lineRule="auto"/>
        <w:rPr>
          <w:sz w:val="20"/>
          <w:szCs w:val="20"/>
          <w:color w:val="auto"/>
        </w:rPr>
      </w:pPr>
      <w:r>
        <w:rPr>
          <w:rFonts w:ascii="Times New Roman" w:cs="Times New Roman" w:eastAsia="Times New Roman" w:hAnsi="Times New Roman"/>
          <w:sz w:val="19"/>
          <w:szCs w:val="19"/>
          <w:color w:val="auto"/>
        </w:rPr>
        <w:t>granted and where a duty of accounting to the other Party exists by Applicable Law, such duty is hereby waived. Where the Applicable Law in any country prevents that such consent or waiver is given</w:t>
      </w:r>
    </w:p>
    <w:p>
      <w:pPr>
        <w:ind w:left="1900"/>
        <w:spacing w:after="0" w:line="211" w:lineRule="auto"/>
        <w:rPr>
          <w:sz w:val="20"/>
          <w:szCs w:val="20"/>
          <w:color w:val="auto"/>
        </w:rPr>
      </w:pPr>
      <w:r>
        <w:rPr>
          <w:rFonts w:ascii="Times New Roman" w:cs="Times New Roman" w:eastAsia="Times New Roman" w:hAnsi="Times New Roman"/>
          <w:sz w:val="20"/>
          <w:szCs w:val="20"/>
          <w:color w:val="auto"/>
        </w:rPr>
        <w:t>in advance the Parties shall be obligated to give their consent or waiver at the given point in time.</w:t>
      </w:r>
    </w:p>
    <w:p>
      <w:pPr>
        <w:ind w:left="1900"/>
        <w:spacing w:after="0" w:line="204" w:lineRule="auto"/>
        <w:rPr>
          <w:sz w:val="20"/>
          <w:szCs w:val="20"/>
          <w:color w:val="auto"/>
        </w:rPr>
      </w:pPr>
      <w:r>
        <w:rPr>
          <w:rFonts w:ascii="Times New Roman" w:cs="Times New Roman" w:eastAsia="Times New Roman" w:hAnsi="Times New Roman"/>
          <w:sz w:val="20"/>
          <w:szCs w:val="20"/>
          <w:color w:val="auto"/>
        </w:rPr>
        <w:t>Notwithstanding the foregoing, neither Party shall have the right to assign the entire Licensed Rights or entire rights to the Licensed Rights to a Third Party without the other Party’s prior written consent</w:t>
      </w:r>
    </w:p>
    <w:p>
      <w:pPr>
        <w:spacing w:after="0" w:line="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(except in connection with a permitted assignment of this Agreement in accordance with Section 16.4).</w:t>
      </w:r>
    </w:p>
    <w:p>
      <w:pPr>
        <w:spacing w:after="0" w:line="178" w:lineRule="exact"/>
        <w:rPr>
          <w:sz w:val="20"/>
          <w:szCs w:val="20"/>
          <w:color w:val="auto"/>
        </w:rPr>
      </w:pPr>
    </w:p>
    <w:p>
      <w:pPr>
        <w:ind w:left="1940"/>
        <w:spacing w:after="0" w:line="215" w:lineRule="auto"/>
        <w:rPr>
          <w:sz w:val="20"/>
          <w:szCs w:val="20"/>
          <w:color w:val="auto"/>
        </w:rPr>
      </w:pPr>
      <w:r>
        <w:rPr>
          <w:rFonts w:ascii="Times New Roman" w:cs="Times New Roman" w:eastAsia="Times New Roman" w:hAnsi="Times New Roman"/>
          <w:sz w:val="20"/>
          <w:szCs w:val="20"/>
          <w:color w:val="auto"/>
        </w:rPr>
        <w:t>For the avoidance of doubt, if the Licensed Rights that are affected by the respective termination of this Agreement are also exclusively licensed by Recursion to Bayer under a separate license</w:t>
      </w:r>
    </w:p>
    <w:p>
      <w:pPr>
        <w:ind w:left="1940"/>
        <w:spacing w:after="0" w:line="212" w:lineRule="auto"/>
        <w:rPr>
          <w:sz w:val="20"/>
          <w:szCs w:val="20"/>
          <w:color w:val="auto"/>
        </w:rPr>
      </w:pPr>
      <w:r>
        <w:rPr>
          <w:rFonts w:ascii="Times New Roman" w:cs="Times New Roman" w:eastAsia="Times New Roman" w:hAnsi="Times New Roman"/>
          <w:sz w:val="20"/>
          <w:szCs w:val="20"/>
          <w:color w:val="auto"/>
        </w:rPr>
        <w:t>agreement, Bayer shall maintain the exclusive usage rights regarding such Licensed Rights in</w:t>
      </w:r>
    </w:p>
    <w:p>
      <w:pPr>
        <w:spacing w:after="0" w:line="1" w:lineRule="exact"/>
        <w:rPr>
          <w:sz w:val="20"/>
          <w:szCs w:val="20"/>
          <w:color w:val="auto"/>
        </w:rPr>
      </w:pPr>
    </w:p>
    <w:p>
      <w:pPr>
        <w:ind w:left="1940"/>
        <w:spacing w:after="0" w:line="204" w:lineRule="auto"/>
        <w:rPr>
          <w:sz w:val="20"/>
          <w:szCs w:val="20"/>
          <w:color w:val="auto"/>
        </w:rPr>
      </w:pPr>
      <w:r>
        <w:rPr>
          <w:rFonts w:ascii="Times New Roman" w:cs="Times New Roman" w:eastAsia="Times New Roman" w:hAnsi="Times New Roman"/>
          <w:sz w:val="20"/>
          <w:szCs w:val="20"/>
          <w:color w:val="auto"/>
        </w:rPr>
        <w:t>accordance with such other agreement and Recursion shall only be entitled to use such Licensed Rights in accordance with the provisions of such other agreement and any other license granted to</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Recursion, as applicable.</w:t>
      </w:r>
    </w:p>
    <w:p>
      <w:pPr>
        <w:spacing w:after="0" w:line="153" w:lineRule="exact"/>
        <w:rPr>
          <w:sz w:val="20"/>
          <w:szCs w:val="20"/>
          <w:color w:val="auto"/>
        </w:rPr>
      </w:pPr>
    </w:p>
    <w:p>
      <w:pPr>
        <w:jc w:val="both"/>
        <w:ind w:left="1900" w:hanging="1095"/>
        <w:spacing w:after="0" w:line="230" w:lineRule="auto"/>
        <w:tabs>
          <w:tab w:leader="none" w:pos="1880" w:val="left"/>
        </w:tabs>
        <w:rPr>
          <w:sz w:val="20"/>
          <w:szCs w:val="20"/>
          <w:color w:val="auto"/>
        </w:rPr>
      </w:pPr>
      <w:r>
        <w:rPr>
          <w:rFonts w:ascii="Times New Roman" w:cs="Times New Roman" w:eastAsia="Times New Roman" w:hAnsi="Times New Roman"/>
          <w:sz w:val="20"/>
          <w:szCs w:val="20"/>
          <w:color w:val="auto"/>
        </w:rPr>
        <w:t>15.4.1.3</w:t>
      </w:r>
      <w:r>
        <w:rPr>
          <w:sz w:val="20"/>
          <w:szCs w:val="20"/>
          <w:color w:val="auto"/>
        </w:rPr>
        <w:tab/>
      </w:r>
      <w:r>
        <w:rPr>
          <w:rFonts w:ascii="Times New Roman" w:cs="Times New Roman" w:eastAsia="Times New Roman" w:hAnsi="Times New Roman"/>
          <w:sz w:val="20"/>
          <w:szCs w:val="20"/>
          <w:color w:val="auto"/>
        </w:rPr>
        <w:t>The license granted hereunder by Recursion to Bayer under the Background IP Rights and Background Know-How shall cease completely or if applicable, partially with respect to the specific Product(s) or country for which Bayer terminated this Agreement according to Section 15.2.</w:t>
      </w:r>
    </w:p>
    <w:p>
      <w:pPr>
        <w:spacing w:after="0" w:line="143" w:lineRule="exact"/>
        <w:rPr>
          <w:sz w:val="20"/>
          <w:szCs w:val="20"/>
          <w:color w:val="auto"/>
        </w:rPr>
      </w:pPr>
    </w:p>
    <w:p>
      <w:pPr>
        <w:ind w:left="800"/>
        <w:spacing w:after="0"/>
        <w:tabs>
          <w:tab w:leader="none" w:pos="1880" w:val="left"/>
        </w:tabs>
        <w:rPr>
          <w:sz w:val="20"/>
          <w:szCs w:val="20"/>
          <w:color w:val="auto"/>
        </w:rPr>
      </w:pPr>
      <w:r>
        <w:rPr>
          <w:rFonts w:ascii="Times New Roman" w:cs="Times New Roman" w:eastAsia="Times New Roman" w:hAnsi="Times New Roman"/>
          <w:sz w:val="20"/>
          <w:szCs w:val="20"/>
          <w:color w:val="auto"/>
        </w:rPr>
        <w:t>15.4.1.4</w:t>
      </w:r>
      <w:r>
        <w:rPr>
          <w:sz w:val="20"/>
          <w:szCs w:val="20"/>
          <w:color w:val="auto"/>
        </w:rPr>
        <w:tab/>
      </w:r>
      <w:r>
        <w:rPr>
          <w:rFonts w:ascii="Times New Roman" w:cs="Times New Roman" w:eastAsia="Times New Roman" w:hAnsi="Times New Roman"/>
          <w:sz w:val="20"/>
          <w:szCs w:val="20"/>
          <w:color w:val="auto"/>
        </w:rPr>
        <w:t>For the avoidance of doubt, termination of this Agreement does not affect the use rights under Section</w:t>
      </w:r>
    </w:p>
    <w:p>
      <w:pPr>
        <w:ind w:left="1900"/>
        <w:spacing w:after="0" w:line="211" w:lineRule="auto"/>
        <w:rPr>
          <w:sz w:val="20"/>
          <w:szCs w:val="20"/>
          <w:color w:val="auto"/>
        </w:rPr>
      </w:pPr>
      <w:r>
        <w:rPr>
          <w:rFonts w:ascii="Times New Roman" w:cs="Times New Roman" w:eastAsia="Times New Roman" w:hAnsi="Times New Roman"/>
          <w:sz w:val="20"/>
          <w:szCs w:val="20"/>
          <w:color w:val="auto"/>
        </w:rPr>
        <w:t>10.2 of the Collaboration Agreement.</w:t>
      </w:r>
    </w:p>
    <w:p>
      <w:pPr>
        <w:jc w:val="both"/>
        <w:ind w:left="1900" w:hanging="1095"/>
        <w:spacing w:after="0" w:line="204" w:lineRule="auto"/>
        <w:tabs>
          <w:tab w:leader="none" w:pos="1880" w:val="left"/>
        </w:tabs>
        <w:rPr>
          <w:sz w:val="20"/>
          <w:szCs w:val="20"/>
          <w:color w:val="auto"/>
        </w:rPr>
      </w:pPr>
      <w:r>
        <w:rPr>
          <w:rFonts w:ascii="Times New Roman" w:cs="Times New Roman" w:eastAsia="Times New Roman" w:hAnsi="Times New Roman"/>
          <w:sz w:val="20"/>
          <w:szCs w:val="20"/>
          <w:color w:val="auto"/>
        </w:rPr>
        <w:t>15.4.1.5</w:t>
      </w:r>
      <w:r>
        <w:rPr>
          <w:sz w:val="20"/>
          <w:szCs w:val="20"/>
          <w:color w:val="auto"/>
        </w:rPr>
        <w:tab/>
      </w:r>
      <w:r>
        <w:rPr>
          <w:rFonts w:ascii="Times New Roman" w:cs="Times New Roman" w:eastAsia="Times New Roman" w:hAnsi="Times New Roman"/>
          <w:sz w:val="20"/>
          <w:szCs w:val="20"/>
          <w:color w:val="auto"/>
        </w:rPr>
        <w:t>To the extent requested by Recursion, the Parties shall negotiate in good faith the terms and conditions for an exclusive, sub-licensable and royalty-bearing license under Bayer’s rights, title and interest</w:t>
      </w:r>
    </w:p>
    <w:p>
      <w:pPr>
        <w:ind w:left="1900"/>
        <w:spacing w:after="0" w:line="211" w:lineRule="auto"/>
        <w:rPr>
          <w:sz w:val="20"/>
          <w:szCs w:val="20"/>
          <w:color w:val="auto"/>
        </w:rPr>
      </w:pPr>
      <w:r>
        <w:rPr>
          <w:rFonts w:ascii="Times New Roman" w:cs="Times New Roman" w:eastAsia="Times New Roman" w:hAnsi="Times New Roman"/>
          <w:sz w:val="20"/>
          <w:szCs w:val="20"/>
          <w:color w:val="auto"/>
        </w:rPr>
        <w:t>under the Licensed Rights and a non-exclusive royalty-bearing license to other Reversion Technology</w:t>
      </w:r>
    </w:p>
    <w:p>
      <w:pPr>
        <w:spacing w:after="0" w:line="1" w:lineRule="exact"/>
        <w:rPr>
          <w:sz w:val="20"/>
          <w:szCs w:val="20"/>
          <w:color w:val="auto"/>
        </w:rPr>
      </w:pPr>
    </w:p>
    <w:p>
      <w:pPr>
        <w:ind w:left="1900"/>
        <w:spacing w:after="0" w:line="204" w:lineRule="auto"/>
        <w:rPr>
          <w:sz w:val="20"/>
          <w:szCs w:val="20"/>
          <w:color w:val="auto"/>
        </w:rPr>
      </w:pPr>
      <w:r>
        <w:rPr>
          <w:rFonts w:ascii="Times New Roman" w:cs="Times New Roman" w:eastAsia="Times New Roman" w:hAnsi="Times New Roman"/>
          <w:sz w:val="20"/>
          <w:szCs w:val="20"/>
          <w:color w:val="auto"/>
        </w:rPr>
        <w:t>to do or have done research on, develop or have developed, make, have made, use, have used, sell, have sold, offer for sale, have offered for sale and import and have imported Product(s), or if</w:t>
      </w:r>
    </w:p>
    <w:p>
      <w:pPr>
        <w:spacing w:after="0" w:line="1" w:lineRule="exact"/>
        <w:rPr>
          <w:sz w:val="20"/>
          <w:szCs w:val="20"/>
          <w:color w:val="auto"/>
        </w:rPr>
      </w:pPr>
    </w:p>
    <w:p>
      <w:pPr>
        <w:ind w:left="1900"/>
        <w:spacing w:after="0" w:line="228" w:lineRule="auto"/>
        <w:rPr>
          <w:sz w:val="20"/>
          <w:szCs w:val="20"/>
          <w:color w:val="auto"/>
        </w:rPr>
      </w:pPr>
      <w:r>
        <w:rPr>
          <w:rFonts w:ascii="Times New Roman" w:cs="Times New Roman" w:eastAsia="Times New Roman" w:hAnsi="Times New Roman"/>
          <w:sz w:val="20"/>
          <w:szCs w:val="20"/>
          <w:color w:val="auto"/>
        </w:rPr>
        <w:t xml:space="preserve">applicable, all Product(s) or country(ies) for which Bayer terminated this Agreement according to Section 15.2, in each case, in the Field in the Territory. </w:t>
      </w:r>
      <w:r>
        <w:rPr>
          <w:rFonts w:ascii="Arial" w:cs="Arial" w:eastAsia="Arial" w:hAnsi="Arial"/>
          <w:sz w:val="17"/>
          <w:szCs w:val="17"/>
          <w:color w:val="auto"/>
        </w:rPr>
        <w: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0120"/>
          </w:cols>
          <w:pgMar w:left="1440" w:top="1440" w:right="339" w:bottom="1440" w:gutter="0" w:footer="0" w:header="0"/>
        </w:sectPr>
      </w:pPr>
    </w:p>
    <w:bookmarkStart w:id="292" w:name="page293"/>
    <w:bookmarkEnd w:id="292"/>
    <w:p>
      <w:pPr>
        <w:spacing w:after="0" w:line="200" w:lineRule="exact"/>
        <w:rPr>
          <w:sz w:val="20"/>
          <w:szCs w:val="20"/>
          <w:color w:val="auto"/>
        </w:rPr>
      </w:pPr>
    </w:p>
    <w:p>
      <w:pPr>
        <w:spacing w:after="0" w:line="348" w:lineRule="exact"/>
        <w:rPr>
          <w:sz w:val="20"/>
          <w:szCs w:val="20"/>
          <w:color w:val="auto"/>
        </w:rPr>
      </w:pPr>
    </w:p>
    <w:p>
      <w:pPr>
        <w:ind w:left="800"/>
        <w:spacing w:after="0"/>
        <w:tabs>
          <w:tab w:leader="none" w:pos="1880" w:val="left"/>
        </w:tabs>
        <w:rPr>
          <w:sz w:val="20"/>
          <w:szCs w:val="20"/>
          <w:color w:val="auto"/>
        </w:rPr>
      </w:pPr>
      <w:r>
        <w:rPr>
          <w:rFonts w:ascii="Times New Roman" w:cs="Times New Roman" w:eastAsia="Times New Roman" w:hAnsi="Times New Roman"/>
          <w:sz w:val="20"/>
          <w:szCs w:val="20"/>
          <w:color w:val="auto"/>
        </w:rPr>
        <w:t>15.4.1.6</w:t>
      </w:r>
      <w:r>
        <w:rPr>
          <w:sz w:val="20"/>
          <w:szCs w:val="20"/>
          <w:color w:val="auto"/>
        </w:rPr>
        <w:tab/>
      </w:r>
      <w:r>
        <w:rPr>
          <w:rFonts w:ascii="Times New Roman" w:cs="Times New Roman" w:eastAsia="Times New Roman" w:hAnsi="Times New Roman"/>
          <w:sz w:val="20"/>
          <w:szCs w:val="20"/>
          <w:color w:val="auto"/>
        </w:rPr>
        <w:t>With respect to Products for which this Agreement was terminated, Recursion herewith grants Bayer a</w:t>
      </w:r>
    </w:p>
    <w:p>
      <w:pPr>
        <w:ind w:left="1900"/>
        <w:spacing w:after="0" w:line="204" w:lineRule="auto"/>
        <w:rPr>
          <w:sz w:val="20"/>
          <w:szCs w:val="20"/>
          <w:color w:val="auto"/>
        </w:rPr>
      </w:pPr>
      <w:r>
        <w:rPr>
          <w:rFonts w:ascii="Times New Roman" w:cs="Times New Roman" w:eastAsia="Times New Roman" w:hAnsi="Times New Roman"/>
          <w:sz w:val="20"/>
          <w:szCs w:val="20"/>
          <w:color w:val="auto"/>
        </w:rPr>
        <w:t xml:space="preserve">license for a period of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months starting from the date the respective termination becomes effective to sell off its inventory, with respect to which Recursion does not exercise its rights under Section</w:t>
      </w:r>
    </w:p>
    <w:p>
      <w:pPr>
        <w:ind w:left="1900"/>
        <w:spacing w:after="0" w:line="223" w:lineRule="auto"/>
        <w:rPr>
          <w:sz w:val="20"/>
          <w:szCs w:val="20"/>
          <w:color w:val="auto"/>
        </w:rPr>
      </w:pPr>
      <w:r>
        <w:rPr>
          <w:rFonts w:ascii="Times New Roman" w:cs="Times New Roman" w:eastAsia="Times New Roman" w:hAnsi="Times New Roman"/>
          <w:sz w:val="19"/>
          <w:szCs w:val="19"/>
          <w:color w:val="auto"/>
        </w:rPr>
        <w:t>15.4.1.5, of Products affected by the respective termination that are and either manufactured prior to the</w:t>
      </w:r>
    </w:p>
    <w:p>
      <w:pPr>
        <w:jc w:val="both"/>
        <w:ind w:left="1900" w:right="20"/>
        <w:spacing w:after="0" w:line="215" w:lineRule="auto"/>
        <w:rPr>
          <w:sz w:val="20"/>
          <w:szCs w:val="20"/>
          <w:color w:val="auto"/>
        </w:rPr>
      </w:pPr>
      <w:r>
        <w:rPr>
          <w:rFonts w:ascii="Times New Roman" w:cs="Times New Roman" w:eastAsia="Times New Roman" w:hAnsi="Times New Roman"/>
          <w:sz w:val="19"/>
          <w:szCs w:val="19"/>
          <w:color w:val="auto"/>
        </w:rPr>
        <w:t>effective date of the respective termination or manufactured thereafter to fulfil such orders received by Bayer or its Affiliates or their Sublicensees prior to the submission of the respective termination notice.</w:t>
      </w:r>
    </w:p>
    <w:p>
      <w:pPr>
        <w:ind w:left="1900"/>
        <w:spacing w:after="0" w:line="211" w:lineRule="auto"/>
        <w:rPr>
          <w:sz w:val="20"/>
          <w:szCs w:val="20"/>
          <w:color w:val="auto"/>
        </w:rPr>
      </w:pPr>
      <w:r>
        <w:rPr>
          <w:rFonts w:ascii="Times New Roman" w:cs="Times New Roman" w:eastAsia="Times New Roman" w:hAnsi="Times New Roman"/>
          <w:sz w:val="20"/>
          <w:szCs w:val="20"/>
          <w:color w:val="auto"/>
        </w:rPr>
        <w:t>Bayer shall remain obliged to pay Recursion the milestones and royalties accruing during such sell-off</w:t>
      </w:r>
    </w:p>
    <w:p>
      <w:pPr>
        <w:ind w:left="1900"/>
        <w:spacing w:after="0" w:line="204" w:lineRule="auto"/>
        <w:rPr>
          <w:sz w:val="20"/>
          <w:szCs w:val="20"/>
          <w:color w:val="auto"/>
        </w:rPr>
      </w:pPr>
      <w:r>
        <w:rPr>
          <w:rFonts w:ascii="Times New Roman" w:cs="Times New Roman" w:eastAsia="Times New Roman" w:hAnsi="Times New Roman"/>
          <w:sz w:val="20"/>
          <w:szCs w:val="20"/>
          <w:color w:val="auto"/>
        </w:rPr>
        <w:t>period and the respective provisions regarding milestones and royalty payments and reporting set out herein shall continue to apply during such period. After said selloff period, Bayer and its Affiliates</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shall cease the sale of the Products for which this Agreement was terminated.</w:t>
      </w:r>
    </w:p>
    <w:p>
      <w:pPr>
        <w:spacing w:after="0" w:line="167" w:lineRule="exact"/>
        <w:rPr>
          <w:sz w:val="20"/>
          <w:szCs w:val="20"/>
          <w:color w:val="auto"/>
        </w:rPr>
      </w:pPr>
    </w:p>
    <w:p>
      <w:pPr>
        <w:ind w:left="1900" w:right="20" w:hanging="1095"/>
        <w:spacing w:after="0" w:line="233" w:lineRule="auto"/>
        <w:tabs>
          <w:tab w:leader="none" w:pos="1880" w:val="left"/>
        </w:tabs>
        <w:rPr>
          <w:sz w:val="20"/>
          <w:szCs w:val="20"/>
          <w:color w:val="auto"/>
        </w:rPr>
      </w:pPr>
      <w:r>
        <w:rPr>
          <w:rFonts w:ascii="Times New Roman" w:cs="Times New Roman" w:eastAsia="Times New Roman" w:hAnsi="Times New Roman"/>
          <w:sz w:val="20"/>
          <w:szCs w:val="20"/>
          <w:color w:val="auto"/>
        </w:rPr>
        <w:t>15.4.1.7</w:t>
      </w:r>
      <w:r>
        <w:rPr>
          <w:sz w:val="20"/>
          <w:szCs w:val="20"/>
          <w:color w:val="auto"/>
        </w:rPr>
        <w:tab/>
      </w:r>
      <w:r>
        <w:rPr>
          <w:rFonts w:ascii="Times New Roman" w:cs="Times New Roman" w:eastAsia="Times New Roman" w:hAnsi="Times New Roman"/>
          <w:sz w:val="20"/>
          <w:szCs w:val="20"/>
          <w:color w:val="auto"/>
        </w:rPr>
        <w:t>Bayer shall be responsible, at its own cost and expense, for the wind-down of Bayer’s and its Affiliates’ development, manufacturing and commercialization activities for terminated Products.</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 xml:space="preserve">15.4.2  </w:t>
      </w:r>
      <w:r>
        <w:rPr>
          <w:rFonts w:ascii="Times New Roman" w:cs="Times New Roman" w:eastAsia="Times New Roman" w:hAnsi="Times New Roman"/>
          <w:sz w:val="19"/>
          <w:szCs w:val="19"/>
          <w:u w:val="single" w:color="auto"/>
          <w:color w:val="auto"/>
        </w:rPr>
        <w:t>Consequences of Expiration of this Agreement</w:t>
      </w:r>
      <w:r>
        <w:rPr>
          <w:rFonts w:ascii="Times New Roman" w:cs="Times New Roman" w:eastAsia="Times New Roman" w:hAnsi="Times New Roman"/>
          <w:sz w:val="19"/>
          <w:szCs w:val="19"/>
          <w:color w:val="auto"/>
        </w:rPr>
        <w:t>. In the event that this Agreement expires after the Term as set forth in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Section 15.1:</w:t>
      </w:r>
    </w:p>
    <w:p>
      <w:pPr>
        <w:spacing w:after="0" w:line="153" w:lineRule="exact"/>
        <w:rPr>
          <w:sz w:val="20"/>
          <w:szCs w:val="20"/>
          <w:color w:val="auto"/>
        </w:rPr>
      </w:pPr>
    </w:p>
    <w:p>
      <w:pPr>
        <w:jc w:val="right"/>
        <w:ind w:left="800"/>
        <w:spacing w:after="0" w:line="222" w:lineRule="auto"/>
        <w:rPr>
          <w:sz w:val="20"/>
          <w:szCs w:val="20"/>
          <w:color w:val="auto"/>
        </w:rPr>
      </w:pPr>
      <w:r>
        <w:rPr>
          <w:rFonts w:ascii="Times New Roman" w:cs="Times New Roman" w:eastAsia="Times New Roman" w:hAnsi="Times New Roman"/>
          <w:sz w:val="20"/>
          <w:szCs w:val="20"/>
          <w:color w:val="auto"/>
        </w:rPr>
        <w:t>15.4.2.1     The licenses granted hereunder by Recursion to Bayer under Recursion’s rights, title and interest in the Licensed Rights shall cease immediately, provided, however, that Bayer shall continue to have such</w:t>
      </w:r>
    </w:p>
    <w:p>
      <w:pPr>
        <w:spacing w:after="0" w:line="2" w:lineRule="exact"/>
        <w:rPr>
          <w:sz w:val="20"/>
          <w:szCs w:val="20"/>
          <w:color w:val="auto"/>
        </w:rPr>
      </w:pPr>
    </w:p>
    <w:p>
      <w:pPr>
        <w:ind w:left="1900"/>
        <w:spacing w:after="0" w:line="221" w:lineRule="auto"/>
        <w:rPr>
          <w:sz w:val="20"/>
          <w:szCs w:val="20"/>
          <w:color w:val="auto"/>
        </w:rPr>
      </w:pPr>
      <w:r>
        <w:rPr>
          <w:rFonts w:ascii="Times New Roman" w:cs="Times New Roman" w:eastAsia="Times New Roman" w:hAnsi="Times New Roman"/>
          <w:sz w:val="20"/>
          <w:szCs w:val="20"/>
          <w:color w:val="auto"/>
        </w:rPr>
        <w:t>license under any Licensed Project Know-How within the Licensed Rights, on a non-exclusive, fully paid-up basis.</w:t>
      </w:r>
    </w:p>
    <w:p>
      <w:pPr>
        <w:spacing w:after="0" w:line="156" w:lineRule="exact"/>
        <w:rPr>
          <w:sz w:val="20"/>
          <w:szCs w:val="20"/>
          <w:color w:val="auto"/>
        </w:rPr>
      </w:pPr>
    </w:p>
    <w:p>
      <w:pPr>
        <w:ind w:left="800"/>
        <w:spacing w:after="0"/>
        <w:tabs>
          <w:tab w:leader="none" w:pos="1860" w:val="left"/>
        </w:tabs>
        <w:rPr>
          <w:sz w:val="20"/>
          <w:szCs w:val="20"/>
          <w:color w:val="auto"/>
        </w:rPr>
      </w:pPr>
      <w:r>
        <w:rPr>
          <w:rFonts w:ascii="Times New Roman" w:cs="Times New Roman" w:eastAsia="Times New Roman" w:hAnsi="Times New Roman"/>
          <w:sz w:val="20"/>
          <w:szCs w:val="20"/>
          <w:color w:val="auto"/>
        </w:rPr>
        <w:t>15.4.2.2</w:t>
      </w:r>
      <w:r>
        <w:rPr>
          <w:sz w:val="20"/>
          <w:szCs w:val="20"/>
          <w:color w:val="auto"/>
        </w:rPr>
        <w:tab/>
      </w:r>
      <w:r>
        <w:rPr>
          <w:rFonts w:ascii="Times New Roman" w:cs="Times New Roman" w:eastAsia="Times New Roman" w:hAnsi="Times New Roman"/>
          <w:sz w:val="20"/>
          <w:szCs w:val="20"/>
          <w:color w:val="auto"/>
        </w:rPr>
        <w:t>Each Party shall have the right to freely use, practice, develop and exploit the respective affected</w:t>
      </w:r>
    </w:p>
    <w:p>
      <w:pPr>
        <w:jc w:val="both"/>
        <w:ind w:left="1900"/>
        <w:spacing w:after="0" w:line="204" w:lineRule="auto"/>
        <w:rPr>
          <w:sz w:val="20"/>
          <w:szCs w:val="20"/>
          <w:color w:val="auto"/>
        </w:rPr>
      </w:pPr>
      <w:r>
        <w:rPr>
          <w:rFonts w:ascii="Times New Roman" w:cs="Times New Roman" w:eastAsia="Times New Roman" w:hAnsi="Times New Roman"/>
          <w:sz w:val="20"/>
          <w:szCs w:val="20"/>
          <w:color w:val="auto"/>
        </w:rPr>
        <w:t>Licensed Rights of the respective Project, including the right to sublicense its interest in the Licensed Rights, without the consent of the other Party and without a duty of accounting to the other Party.</w:t>
      </w:r>
    </w:p>
    <w:p>
      <w:pPr>
        <w:spacing w:after="0" w:line="1" w:lineRule="exact"/>
        <w:rPr>
          <w:sz w:val="20"/>
          <w:szCs w:val="20"/>
          <w:color w:val="auto"/>
        </w:rPr>
      </w:pPr>
    </w:p>
    <w:p>
      <w:pPr>
        <w:ind w:left="1900"/>
        <w:spacing w:after="0" w:line="204" w:lineRule="auto"/>
        <w:rPr>
          <w:sz w:val="20"/>
          <w:szCs w:val="20"/>
          <w:color w:val="auto"/>
        </w:rPr>
      </w:pPr>
      <w:r>
        <w:rPr>
          <w:rFonts w:ascii="Times New Roman" w:cs="Times New Roman" w:eastAsia="Times New Roman" w:hAnsi="Times New Roman"/>
          <w:sz w:val="20"/>
          <w:szCs w:val="20"/>
          <w:color w:val="auto"/>
        </w:rPr>
        <w:t>Where such consent is required by Applicable Law, it is deemed hereby granted and where a duty of accounting to the other Party exists by Applicable Law, such duty is hereby waived. Where the</w:t>
      </w:r>
    </w:p>
    <w:p>
      <w:pPr>
        <w:ind w:left="1900"/>
        <w:spacing w:after="0" w:line="211" w:lineRule="auto"/>
        <w:rPr>
          <w:sz w:val="20"/>
          <w:szCs w:val="20"/>
          <w:color w:val="auto"/>
        </w:rPr>
      </w:pPr>
      <w:r>
        <w:rPr>
          <w:rFonts w:ascii="Times New Roman" w:cs="Times New Roman" w:eastAsia="Times New Roman" w:hAnsi="Times New Roman"/>
          <w:sz w:val="20"/>
          <w:szCs w:val="20"/>
          <w:color w:val="auto"/>
        </w:rPr>
        <w:t>Applicable Law in any country prevents that such consent or waiver is given in advance the Parties</w:t>
      </w:r>
    </w:p>
    <w:p>
      <w:pPr>
        <w:spacing w:after="0" w:line="1" w:lineRule="exact"/>
        <w:rPr>
          <w:sz w:val="20"/>
          <w:szCs w:val="20"/>
          <w:color w:val="auto"/>
        </w:rPr>
      </w:pPr>
    </w:p>
    <w:p>
      <w:pPr>
        <w:ind w:left="1900"/>
        <w:spacing w:after="0" w:line="204" w:lineRule="auto"/>
        <w:rPr>
          <w:sz w:val="20"/>
          <w:szCs w:val="20"/>
          <w:color w:val="auto"/>
        </w:rPr>
      </w:pPr>
      <w:r>
        <w:rPr>
          <w:rFonts w:ascii="Times New Roman" w:cs="Times New Roman" w:eastAsia="Times New Roman" w:hAnsi="Times New Roman"/>
          <w:sz w:val="20"/>
          <w:szCs w:val="20"/>
          <w:color w:val="auto"/>
        </w:rPr>
        <w:t>shall be obligated to give their consent or waiver at the given point in time. Notwithstanding the foregoing, neither Party shall have the right to assign the entire Licensed Rights or entire rights to the</w:t>
      </w:r>
    </w:p>
    <w:p>
      <w:pPr>
        <w:ind w:left="1900"/>
        <w:spacing w:after="0" w:line="211" w:lineRule="auto"/>
        <w:rPr>
          <w:sz w:val="20"/>
          <w:szCs w:val="20"/>
          <w:color w:val="auto"/>
        </w:rPr>
      </w:pPr>
      <w:r>
        <w:rPr>
          <w:rFonts w:ascii="Times New Roman" w:cs="Times New Roman" w:eastAsia="Times New Roman" w:hAnsi="Times New Roman"/>
          <w:sz w:val="20"/>
          <w:szCs w:val="20"/>
          <w:color w:val="auto"/>
        </w:rPr>
        <w:t>Licensed Rights to a Third Party without the other Party’s prior written consent (except in connection</w:t>
      </w:r>
    </w:p>
    <w:p>
      <w:pPr>
        <w:spacing w:after="0" w:line="1" w:lineRule="exact"/>
        <w:rPr>
          <w:sz w:val="20"/>
          <w:szCs w:val="20"/>
          <w:color w:val="auto"/>
        </w:rPr>
      </w:pPr>
    </w:p>
    <w:p>
      <w:pPr>
        <w:ind w:left="1900"/>
        <w:spacing w:after="0" w:line="215" w:lineRule="auto"/>
        <w:rPr>
          <w:sz w:val="20"/>
          <w:szCs w:val="20"/>
          <w:color w:val="auto"/>
        </w:rPr>
      </w:pPr>
      <w:r>
        <w:rPr>
          <w:rFonts w:ascii="Times New Roman" w:cs="Times New Roman" w:eastAsia="Times New Roman" w:hAnsi="Times New Roman"/>
          <w:sz w:val="19"/>
          <w:szCs w:val="19"/>
          <w:color w:val="auto"/>
        </w:rPr>
        <w:t>with a permitted assignment of this Agreement in accordance with Section 16.4). To the extent that the use of the Licensed Rights by a Party requires a license to the background rights of the other Party, the</w:t>
      </w:r>
    </w:p>
    <w:p>
      <w:pPr>
        <w:ind w:left="1900"/>
        <w:spacing w:after="0" w:line="211" w:lineRule="auto"/>
        <w:rPr>
          <w:sz w:val="20"/>
          <w:szCs w:val="20"/>
          <w:color w:val="auto"/>
        </w:rPr>
      </w:pPr>
      <w:r>
        <w:rPr>
          <w:rFonts w:ascii="Times New Roman" w:cs="Times New Roman" w:eastAsia="Times New Roman" w:hAnsi="Times New Roman"/>
          <w:sz w:val="20"/>
          <w:szCs w:val="20"/>
          <w:color w:val="auto"/>
        </w:rPr>
        <w:t>Parties will in good faith discuss whether and, provided that a license grant is agreeable, under what</w:t>
      </w:r>
    </w:p>
    <w:p>
      <w:pPr>
        <w:ind w:left="1900"/>
        <w:spacing w:after="0" w:line="221" w:lineRule="auto"/>
        <w:rPr>
          <w:sz w:val="20"/>
          <w:szCs w:val="20"/>
          <w:color w:val="auto"/>
        </w:rPr>
      </w:pPr>
      <w:r>
        <w:rPr>
          <w:rFonts w:ascii="Times New Roman" w:cs="Times New Roman" w:eastAsia="Times New Roman" w:hAnsi="Times New Roman"/>
          <w:sz w:val="20"/>
          <w:szCs w:val="20"/>
          <w:color w:val="auto"/>
        </w:rPr>
        <w:t>terms and conditions such license may be granted, always provided that the licensing party is in Control of the respective background rights.</w:t>
      </w:r>
    </w:p>
    <w:p>
      <w:pPr>
        <w:spacing w:after="0" w:line="156" w:lineRule="exact"/>
        <w:rPr>
          <w:sz w:val="20"/>
          <w:szCs w:val="20"/>
          <w:color w:val="auto"/>
        </w:rPr>
      </w:pPr>
    </w:p>
    <w:p>
      <w:pPr>
        <w:ind w:left="800"/>
        <w:spacing w:after="0"/>
        <w:tabs>
          <w:tab w:leader="none" w:pos="1860" w:val="left"/>
        </w:tabs>
        <w:rPr>
          <w:sz w:val="20"/>
          <w:szCs w:val="20"/>
          <w:color w:val="auto"/>
        </w:rPr>
      </w:pPr>
      <w:r>
        <w:rPr>
          <w:rFonts w:ascii="Times New Roman" w:cs="Times New Roman" w:eastAsia="Times New Roman" w:hAnsi="Times New Roman"/>
          <w:sz w:val="20"/>
          <w:szCs w:val="20"/>
          <w:color w:val="auto"/>
        </w:rPr>
        <w:t>15.4.2.3</w:t>
      </w:r>
      <w:r>
        <w:rPr>
          <w:sz w:val="20"/>
          <w:szCs w:val="20"/>
          <w:color w:val="auto"/>
        </w:rPr>
        <w:tab/>
      </w:r>
      <w:r>
        <w:rPr>
          <w:rFonts w:ascii="Times New Roman" w:cs="Times New Roman" w:eastAsia="Times New Roman" w:hAnsi="Times New Roman"/>
          <w:sz w:val="20"/>
          <w:szCs w:val="20"/>
          <w:color w:val="auto"/>
        </w:rPr>
        <w:t>The licenses granted hereunder by Recursion to Bayer under Recursion’s Background IP Rights shall</w:t>
      </w:r>
    </w:p>
    <w:p>
      <w:pPr>
        <w:ind w:left="1900" w:right="20"/>
        <w:spacing w:after="0" w:line="221" w:lineRule="auto"/>
        <w:rPr>
          <w:sz w:val="20"/>
          <w:szCs w:val="20"/>
          <w:color w:val="auto"/>
        </w:rPr>
      </w:pPr>
      <w:r>
        <w:rPr>
          <w:rFonts w:ascii="Times New Roman" w:cs="Times New Roman" w:eastAsia="Times New Roman" w:hAnsi="Times New Roman"/>
          <w:sz w:val="20"/>
          <w:szCs w:val="20"/>
          <w:color w:val="auto"/>
        </w:rPr>
        <w:t>cease immediately, whereas the non-exclusive license granted under Recursion’s Background Know-How under Section 2.1.2 shall survive the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0120"/>
          </w:cols>
          <w:pgMar w:left="1440" w:top="1440" w:right="339" w:bottom="1440" w:gutter="0" w:footer="0" w:header="0"/>
        </w:sectPr>
      </w:pPr>
    </w:p>
    <w:bookmarkStart w:id="293" w:name="page294"/>
    <w:bookmarkEnd w:id="293"/>
    <w:p>
      <w:pPr>
        <w:spacing w:after="0" w:line="200" w:lineRule="exact"/>
        <w:rPr>
          <w:sz w:val="20"/>
          <w:szCs w:val="20"/>
          <w:color w:val="auto"/>
        </w:rPr>
      </w:pPr>
    </w:p>
    <w:p>
      <w:pPr>
        <w:spacing w:after="0" w:line="348" w:lineRule="exact"/>
        <w:rPr>
          <w:sz w:val="20"/>
          <w:szCs w:val="20"/>
          <w:color w:val="auto"/>
        </w:rPr>
      </w:pPr>
    </w:p>
    <w:p>
      <w:pPr>
        <w:ind w:left="1260"/>
        <w:spacing w:after="0"/>
        <w:tabs>
          <w:tab w:leader="none" w:pos="2320" w:val="left"/>
        </w:tabs>
        <w:rPr>
          <w:sz w:val="20"/>
          <w:szCs w:val="20"/>
          <w:color w:val="auto"/>
        </w:rPr>
      </w:pPr>
      <w:r>
        <w:rPr>
          <w:rFonts w:ascii="Times New Roman" w:cs="Times New Roman" w:eastAsia="Times New Roman" w:hAnsi="Times New Roman"/>
          <w:sz w:val="20"/>
          <w:szCs w:val="20"/>
          <w:color w:val="auto"/>
        </w:rPr>
        <w:t>15.4.2.4</w:t>
      </w:r>
      <w:r>
        <w:rPr>
          <w:sz w:val="20"/>
          <w:szCs w:val="20"/>
          <w:color w:val="auto"/>
        </w:rPr>
        <w:tab/>
      </w:r>
      <w:r>
        <w:rPr>
          <w:rFonts w:ascii="Times New Roman" w:cs="Times New Roman" w:eastAsia="Times New Roman" w:hAnsi="Times New Roman"/>
          <w:sz w:val="20"/>
          <w:szCs w:val="20"/>
          <w:color w:val="auto"/>
        </w:rPr>
        <w:t>For the avoidance of doubt, expiration of this Agreement does not affect the use rights under Section</w:t>
      </w:r>
    </w:p>
    <w:p>
      <w:pPr>
        <w:ind w:left="2360"/>
        <w:spacing w:after="0"/>
        <w:rPr>
          <w:sz w:val="20"/>
          <w:szCs w:val="20"/>
          <w:color w:val="auto"/>
        </w:rPr>
      </w:pPr>
      <w:r>
        <w:rPr>
          <w:rFonts w:ascii="Times New Roman" w:cs="Times New Roman" w:eastAsia="Times New Roman" w:hAnsi="Times New Roman"/>
          <w:sz w:val="20"/>
          <w:szCs w:val="20"/>
          <w:color w:val="auto"/>
        </w:rPr>
        <w:t>10.2 of the Collaboration Agreement.</w:t>
      </w:r>
    </w:p>
    <w:p>
      <w:pPr>
        <w:spacing w:after="0" w:line="15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19"/>
          <w:szCs w:val="19"/>
          <w:u w:val="single" w:color="auto"/>
          <w:color w:val="auto"/>
        </w:rPr>
        <w:t>Consequences of Termination of this Agreement by Bayer for Breach by Recursion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15.5.1  In the event that this Agreement is terminated by Bayer according to Section 15.3:</w:t>
      </w:r>
    </w:p>
    <w:p>
      <w:pPr>
        <w:spacing w:after="0" w:line="170" w:lineRule="exact"/>
        <w:rPr>
          <w:sz w:val="20"/>
          <w:szCs w:val="20"/>
          <w:color w:val="auto"/>
        </w:rPr>
      </w:pPr>
    </w:p>
    <w:p>
      <w:pPr>
        <w:jc w:val="right"/>
        <w:spacing w:after="0"/>
        <w:tabs>
          <w:tab w:leader="none" w:pos="8200" w:val="left"/>
        </w:tabs>
        <w:rPr>
          <w:sz w:val="20"/>
          <w:szCs w:val="20"/>
          <w:color w:val="auto"/>
        </w:rPr>
      </w:pPr>
      <w:r>
        <w:rPr>
          <w:rFonts w:ascii="Times New Roman" w:cs="Times New Roman" w:eastAsia="Times New Roman" w:hAnsi="Times New Roman"/>
          <w:sz w:val="20"/>
          <w:szCs w:val="20"/>
          <w:color w:val="auto"/>
        </w:rPr>
        <w:t>15.5.1.1</w:t>
      </w:r>
      <w:r>
        <w:rPr>
          <w:sz w:val="20"/>
          <w:szCs w:val="20"/>
          <w:color w:val="auto"/>
        </w:rPr>
        <w:tab/>
      </w:r>
      <w:r>
        <w:rPr>
          <w:rFonts w:ascii="Times New Roman" w:cs="Times New Roman" w:eastAsia="Times New Roman" w:hAnsi="Times New Roman"/>
          <w:sz w:val="19"/>
          <w:szCs w:val="19"/>
          <w:color w:val="auto"/>
        </w:rPr>
        <w:t>Unless Bayer expressly terminates the licenses granted in Section 2.1, the license granted under Section</w:t>
      </w:r>
    </w:p>
    <w:p>
      <w:pPr>
        <w:jc w:val="right"/>
        <w:spacing w:after="0" w:line="211" w:lineRule="auto"/>
        <w:rPr>
          <w:sz w:val="20"/>
          <w:szCs w:val="20"/>
          <w:color w:val="auto"/>
        </w:rPr>
      </w:pPr>
      <w:r>
        <w:rPr>
          <w:rFonts w:ascii="Times New Roman" w:cs="Times New Roman" w:eastAsia="Times New Roman" w:hAnsi="Times New Roman"/>
          <w:sz w:val="20"/>
          <w:szCs w:val="20"/>
          <w:color w:val="auto"/>
        </w:rPr>
        <w:t>2.1.1 by Recursion to Bayer under Recursion’s rights, title and interest in the Licensed Rights shall</w:t>
      </w:r>
    </w:p>
    <w:p>
      <w:pPr>
        <w:ind w:left="2360"/>
        <w:spacing w:after="0" w:line="222" w:lineRule="auto"/>
        <w:rPr>
          <w:sz w:val="20"/>
          <w:szCs w:val="20"/>
          <w:color w:val="auto"/>
        </w:rPr>
      </w:pPr>
      <w:r>
        <w:rPr>
          <w:rFonts w:ascii="Times New Roman" w:cs="Times New Roman" w:eastAsia="Times New Roman" w:hAnsi="Times New Roman"/>
          <w:sz w:val="19"/>
          <w:szCs w:val="19"/>
          <w:color w:val="auto"/>
        </w:rPr>
        <w:t>continue in each country, until expiration of the Royalty Term in that country and Bayer shall continue</w:t>
      </w:r>
    </w:p>
    <w:p>
      <w:pPr>
        <w:spacing w:after="0" w:line="1" w:lineRule="exact"/>
        <w:rPr>
          <w:sz w:val="20"/>
          <w:szCs w:val="20"/>
          <w:color w:val="auto"/>
        </w:rPr>
      </w:pPr>
    </w:p>
    <w:p>
      <w:pPr>
        <w:ind w:left="2360"/>
        <w:spacing w:after="0" w:line="204" w:lineRule="auto"/>
        <w:rPr>
          <w:sz w:val="20"/>
          <w:szCs w:val="20"/>
          <w:color w:val="auto"/>
        </w:rPr>
      </w:pPr>
      <w:r>
        <w:rPr>
          <w:rFonts w:ascii="Times New Roman" w:cs="Times New Roman" w:eastAsia="Times New Roman" w:hAnsi="Times New Roman"/>
          <w:sz w:val="20"/>
          <w:szCs w:val="20"/>
          <w:color w:val="auto"/>
        </w:rPr>
        <w:t xml:space="preserve">to pay Recursion the milestone and royalty payments under this Agreement in accordance with the terms of this Agreement, whereby all such payments shall be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reduced after the effective date of</w:t>
      </w:r>
    </w:p>
    <w:p>
      <w:pPr>
        <w:spacing w:after="0" w:line="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termination and Bayer’s associated reporting obligations hereunder shall also continue.</w:t>
      </w:r>
    </w:p>
    <w:p>
      <w:pPr>
        <w:spacing w:after="0" w:line="167" w:lineRule="exact"/>
        <w:rPr>
          <w:sz w:val="20"/>
          <w:szCs w:val="20"/>
          <w:color w:val="auto"/>
        </w:rPr>
      </w:pPr>
    </w:p>
    <w:p>
      <w:pPr>
        <w:jc w:val="right"/>
        <w:ind w:left="1260"/>
        <w:spacing w:after="0" w:line="215" w:lineRule="auto"/>
        <w:rPr>
          <w:sz w:val="20"/>
          <w:szCs w:val="20"/>
          <w:color w:val="auto"/>
        </w:rPr>
      </w:pPr>
      <w:r>
        <w:rPr>
          <w:rFonts w:ascii="Times New Roman" w:cs="Times New Roman" w:eastAsia="Times New Roman" w:hAnsi="Times New Roman"/>
          <w:sz w:val="20"/>
          <w:szCs w:val="20"/>
          <w:color w:val="auto"/>
        </w:rPr>
        <w:t>15.5.1.2     The license granted pursuant to Section 2.1.2 by Recursion to Bayer under Recursion’s Background IP Rights and Background Know-How shall continue in each country, until expiration of the Royalty</w:t>
      </w:r>
    </w:p>
    <w:p>
      <w:pPr>
        <w:spacing w:after="0" w:line="1" w:lineRule="exact"/>
        <w:rPr>
          <w:sz w:val="20"/>
          <w:szCs w:val="20"/>
          <w:color w:val="auto"/>
        </w:rPr>
      </w:pPr>
    </w:p>
    <w:p>
      <w:pPr>
        <w:ind w:left="2360"/>
        <w:spacing w:after="0" w:line="228" w:lineRule="auto"/>
        <w:rPr>
          <w:sz w:val="20"/>
          <w:szCs w:val="20"/>
          <w:color w:val="auto"/>
        </w:rPr>
      </w:pPr>
      <w:r>
        <w:rPr>
          <w:rFonts w:ascii="Times New Roman" w:cs="Times New Roman" w:eastAsia="Times New Roman" w:hAnsi="Times New Roman"/>
          <w:sz w:val="20"/>
          <w:szCs w:val="20"/>
          <w:color w:val="auto"/>
        </w:rPr>
        <w:t>Term in that country unless Bayer expressly terminates the licenses granted in Section 2.1.1, in which case the license granted pursuant to Section 2.1.2 shall also terminate.</w:t>
      </w:r>
    </w:p>
    <w:p>
      <w:pPr>
        <w:spacing w:after="0" w:line="143" w:lineRule="exact"/>
        <w:rPr>
          <w:sz w:val="20"/>
          <w:szCs w:val="20"/>
          <w:color w:val="auto"/>
        </w:rPr>
      </w:pPr>
    </w:p>
    <w:p>
      <w:pPr>
        <w:ind w:left="1260"/>
        <w:spacing w:after="0"/>
        <w:tabs>
          <w:tab w:leader="none" w:pos="2340" w:val="left"/>
        </w:tabs>
        <w:rPr>
          <w:sz w:val="20"/>
          <w:szCs w:val="20"/>
          <w:color w:val="auto"/>
        </w:rPr>
      </w:pPr>
      <w:r>
        <w:rPr>
          <w:rFonts w:ascii="Times New Roman" w:cs="Times New Roman" w:eastAsia="Times New Roman" w:hAnsi="Times New Roman"/>
          <w:sz w:val="20"/>
          <w:szCs w:val="20"/>
          <w:color w:val="auto"/>
        </w:rPr>
        <w:t>15.5.1.3</w:t>
      </w:r>
      <w:r>
        <w:rPr>
          <w:sz w:val="20"/>
          <w:szCs w:val="20"/>
          <w:color w:val="auto"/>
        </w:rPr>
        <w:tab/>
      </w:r>
      <w:r>
        <w:rPr>
          <w:rFonts w:ascii="Times New Roman" w:cs="Times New Roman" w:eastAsia="Times New Roman" w:hAnsi="Times New Roman"/>
          <w:sz w:val="20"/>
          <w:szCs w:val="20"/>
          <w:color w:val="auto"/>
        </w:rPr>
        <w:t>For the avoidance of doubt, termination of this Agreement does not affect the use rights under Section</w:t>
      </w:r>
    </w:p>
    <w:p>
      <w:pPr>
        <w:ind w:left="2360"/>
        <w:spacing w:after="0"/>
        <w:rPr>
          <w:sz w:val="20"/>
          <w:szCs w:val="20"/>
          <w:color w:val="auto"/>
        </w:rPr>
      </w:pPr>
      <w:r>
        <w:rPr>
          <w:rFonts w:ascii="Times New Roman" w:cs="Times New Roman" w:eastAsia="Times New Roman" w:hAnsi="Times New Roman"/>
          <w:sz w:val="20"/>
          <w:szCs w:val="20"/>
          <w:color w:val="auto"/>
        </w:rPr>
        <w:t>10.2 of the Collaboration Agreement.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15.6   </w:t>
      </w:r>
      <w:r>
        <w:rPr>
          <w:rFonts w:ascii="Times New Roman" w:cs="Times New Roman" w:eastAsia="Times New Roman" w:hAnsi="Times New Roman"/>
          <w:sz w:val="20"/>
          <w:szCs w:val="20"/>
          <w:u w:val="single" w:color="auto"/>
          <w:color w:val="auto"/>
        </w:rPr>
        <w:t>Effect on Sublicenses</w:t>
      </w:r>
      <w:r>
        <w:rPr>
          <w:rFonts w:ascii="Times New Roman" w:cs="Times New Roman" w:eastAsia="Times New Roman" w:hAnsi="Times New Roman"/>
          <w:sz w:val="20"/>
          <w:szCs w:val="20"/>
          <w:color w:val="auto"/>
        </w:rPr>
        <w:t>. Upon termination of this Agreement, for any reason, Bayer shall promptly notify its Sublicensees of such termination. Upon notice by Recursion of its intent to terminate (or, if notice is not required, upon termination) this</w:t>
      </w:r>
    </w:p>
    <w:p>
      <w:pPr>
        <w:ind w:left="640"/>
        <w:spacing w:after="0" w:line="212" w:lineRule="auto"/>
        <w:rPr>
          <w:sz w:val="20"/>
          <w:szCs w:val="20"/>
          <w:color w:val="auto"/>
        </w:rPr>
      </w:pPr>
      <w:r>
        <w:rPr>
          <w:rFonts w:ascii="Times New Roman" w:cs="Times New Roman" w:eastAsia="Times New Roman" w:hAnsi="Times New Roman"/>
          <w:sz w:val="20"/>
          <w:szCs w:val="20"/>
          <w:color w:val="auto"/>
        </w:rPr>
        <w:t>Agreement, Bayer shall no longer have the authority to grant further sublicenses. With respect to any rights previously</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granted by Bayer under any Sublicense hereunder any Sublicensee, so long as they are not in default under such Sublicense, may elect to continue its Sublicense provided that (i) the Sublicense will be modified as reasonably necessary to</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accommodate the functional and structural differences between Recursion and Bayer; (ii) Recursion is bound only to the extent under terms no less economically favorable to Recursion than existed when this Agreement and the Sublicense were</w:t>
      </w:r>
    </w:p>
    <w:p>
      <w:pPr>
        <w:ind w:left="640"/>
        <w:spacing w:after="0" w:line="223" w:lineRule="auto"/>
        <w:rPr>
          <w:sz w:val="20"/>
          <w:szCs w:val="20"/>
          <w:color w:val="auto"/>
        </w:rPr>
      </w:pPr>
      <w:r>
        <w:rPr>
          <w:rFonts w:ascii="Times New Roman" w:cs="Times New Roman" w:eastAsia="Times New Roman" w:hAnsi="Times New Roman"/>
          <w:sz w:val="19"/>
          <w:szCs w:val="19"/>
          <w:color w:val="auto"/>
        </w:rPr>
        <w:t>in effect; and (iii) in no event will Recursion be obligated in any manner that it was not to Bayer hereunder and that the terms</w:t>
      </w: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of such license agreement will not impose any representations, warranties, expenses or liabilities on Recursion that are not included in this Agreement. Sublicensee will notify Recursion in writing, within </w:t>
      </w:r>
      <w:r>
        <w:rPr>
          <w:rFonts w:ascii="Arial" w:cs="Arial" w:eastAsia="Arial" w:hAnsi="Arial"/>
          <w:sz w:val="17"/>
          <w:szCs w:val="17"/>
          <w:color w:val="auto"/>
        </w:rPr>
        <w:t>[***]</w:t>
      </w:r>
      <w:r>
        <w:rPr>
          <w:rFonts w:ascii="Times New Roman" w:cs="Times New Roman" w:eastAsia="Times New Roman" w:hAnsi="Times New Roman"/>
          <w:sz w:val="20"/>
          <w:szCs w:val="20"/>
          <w:color w:val="auto"/>
        </w:rPr>
        <w:t xml:space="preserve"> days after the Sublicensee’s receipt of</w:t>
      </w:r>
    </w:p>
    <w:p>
      <w:pPr>
        <w:ind w:left="640"/>
        <w:spacing w:after="0" w:line="211" w:lineRule="auto"/>
        <w:rPr>
          <w:sz w:val="20"/>
          <w:szCs w:val="20"/>
          <w:color w:val="auto"/>
        </w:rPr>
      </w:pPr>
      <w:r>
        <w:rPr>
          <w:rFonts w:ascii="Times New Roman" w:cs="Times New Roman" w:eastAsia="Times New Roman" w:hAnsi="Times New Roman"/>
          <w:sz w:val="20"/>
          <w:szCs w:val="20"/>
          <w:color w:val="auto"/>
        </w:rPr>
        <w:t>notice of such termination, of its election, and of its agreement to assume in respect to Recursion all the obligations</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(including obligations for payment) contained in the Sublicense with Bayer and all the obligations in this Agreement. For the avoidance of doubt, in the event that Bayer retains under this Agreement or the Collaboration Agreement after termination of</w:t>
      </w:r>
    </w:p>
    <w:p>
      <w:pPr>
        <w:ind w:left="640"/>
        <w:spacing w:after="0"/>
        <w:rPr>
          <w:sz w:val="20"/>
          <w:szCs w:val="20"/>
          <w:color w:val="auto"/>
        </w:rPr>
      </w:pPr>
      <w:r>
        <w:rPr>
          <w:rFonts w:ascii="Times New Roman" w:cs="Times New Roman" w:eastAsia="Times New Roman" w:hAnsi="Times New Roman"/>
          <w:sz w:val="20"/>
          <w:szCs w:val="20"/>
          <w:color w:val="auto"/>
        </w:rPr>
        <w:t>this Agreement any rights to grant sublicenses, such rights remain unimpaired.</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15.7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Termination or expiration of this Agreement shall not affect any rights or liabilities of either Party that have accrued prior to such termination or expiry. Except as otherwise expressly provided herein (including in this Section 15), all</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other rights and obligations of the Parties under this Agreement shall terminate upon termination or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0580"/>
          </w:cols>
          <w:pgMar w:left="980" w:top="1440" w:right="339" w:bottom="1440" w:gutter="0" w:footer="0" w:header="0"/>
        </w:sectPr>
      </w:pPr>
    </w:p>
    <w:bookmarkStart w:id="294" w:name="page295"/>
    <w:bookmarkEnd w:id="294"/>
    <w:p>
      <w:pPr>
        <w:spacing w:after="0" w:line="200" w:lineRule="exact"/>
        <w:rPr>
          <w:sz w:val="20"/>
          <w:szCs w:val="20"/>
          <w:color w:val="auto"/>
        </w:rPr>
      </w:pPr>
    </w:p>
    <w:p>
      <w:pPr>
        <w:spacing w:after="0" w:line="34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The following sections shall survive the expiration or termination of this Agreement along with any other provisions which</w:t>
      </w:r>
    </w:p>
    <w:p>
      <w:pPr>
        <w:ind w:left="1292"/>
        <w:spacing w:after="0" w:line="235" w:lineRule="auto"/>
        <w:rPr>
          <w:sz w:val="20"/>
          <w:szCs w:val="20"/>
          <w:color w:val="auto"/>
        </w:rPr>
      </w:pPr>
      <w:r>
        <w:rPr>
          <w:rFonts w:ascii="Times New Roman" w:cs="Times New Roman" w:eastAsia="Times New Roman" w:hAnsi="Times New Roman"/>
          <w:sz w:val="20"/>
          <w:szCs w:val="20"/>
          <w:color w:val="auto"/>
        </w:rPr>
        <w:t>by their context are intended to survive: Sections 1, 7, 8 (for the period set forth therein), 9.3, 9.4, 9.5, 10, 11 (for the period set forth therein), 14, 15, 16, and for the period set forth in Section 15.4.1.6, Sections 4.1, 4.2, 6.1, and 6.2</w:t>
      </w:r>
      <w:r>
        <w:rPr>
          <w:rFonts w:ascii="Times New Roman" w:cs="Times New Roman" w:eastAsia="Times New Roman" w:hAnsi="Times New Roman"/>
          <w:sz w:val="25"/>
          <w:szCs w:val="25"/>
          <w:color w:val="auto"/>
          <w:vertAlign w:val="superscript"/>
        </w:rPr>
        <w:t>.</w:t>
      </w:r>
    </w:p>
    <w:p>
      <w:pPr>
        <w:spacing w:after="0" w:line="291" w:lineRule="exact"/>
        <w:rPr>
          <w:sz w:val="20"/>
          <w:szCs w:val="20"/>
          <w:color w:val="auto"/>
        </w:rPr>
      </w:pPr>
    </w:p>
    <w:p>
      <w:pPr>
        <w:ind w:left="652" w:hanging="652"/>
        <w:spacing w:after="0"/>
        <w:tabs>
          <w:tab w:leader="none" w:pos="652"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MISCELLANEOUS PROVISIONS</w:t>
      </w:r>
    </w:p>
    <w:p>
      <w:pPr>
        <w:spacing w:after="0" w:line="170" w:lineRule="exact"/>
        <w:rPr>
          <w:sz w:val="20"/>
          <w:szCs w:val="20"/>
          <w:color w:val="auto"/>
        </w:rPr>
      </w:pPr>
    </w:p>
    <w:p>
      <w:pPr>
        <w:jc w:val="both"/>
        <w:ind w:left="1292" w:hanging="647"/>
        <w:spacing w:after="0" w:line="230" w:lineRule="auto"/>
        <w:tabs>
          <w:tab w:leader="none" w:pos="1272"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Any notices to be given hereunder shall be in writing and shall be either delivered by hand, electronically via e-mail,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or sent postage prepaid by certified mail or via an internationally recognized courier service, and addressed to the other Party’s address provided below or at such other address for which such Party gives notice hereunder.</w:t>
      </w:r>
    </w:p>
    <w:p>
      <w:pPr>
        <w:spacing w:after="0" w:line="149"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u w:val="single" w:color="auto"/>
          <w:color w:val="auto"/>
        </w:rPr>
        <w:t>If to Recursion:</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Recursion Pharmaceuticals, Inc.</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41 S Rio Grande Street</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Salt Lake City, UT 84101</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 xml:space="preserve">Attention: </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@recursionpharma.com</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With a copy to:</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Wilson Sonsini Goodrich &amp; Rosati</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One Boston Place</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201 Washington St., Suite 2000</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Boston, MA 02108</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@wsgr.com</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 xml:space="preserve">Fax: </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 xml:space="preserve">Tel: </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67"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u w:val="single" w:color="auto"/>
          <w:color w:val="auto"/>
        </w:rPr>
        <w:t>If to Bayer:</w:t>
      </w:r>
    </w:p>
    <w:p>
      <w:pPr>
        <w:spacing w:after="0" w:line="148"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ind w:left="1272" w:right="20"/>
        <w:spacing w:after="0" w:line="233" w:lineRule="auto"/>
        <w:rPr>
          <w:sz w:val="20"/>
          <w:szCs w:val="20"/>
          <w:color w:val="auto"/>
        </w:rPr>
      </w:pPr>
      <w:r>
        <w:rPr>
          <w:rFonts w:ascii="Times New Roman" w:cs="Times New Roman" w:eastAsia="Times New Roman" w:hAnsi="Times New Roman"/>
          <w:sz w:val="20"/>
          <w:szCs w:val="20"/>
          <w:color w:val="auto"/>
        </w:rPr>
        <w:t>All notices under this Agreement shall be deemed effective upon receipt. A Party may change its contact information immediately upon written notice to the other Party in the manner provided in this Section.</w:t>
      </w:r>
    </w:p>
    <w:p>
      <w:pPr>
        <w:spacing w:after="0" w:line="161" w:lineRule="exact"/>
        <w:rPr>
          <w:sz w:val="20"/>
          <w:szCs w:val="20"/>
          <w:color w:val="auto"/>
        </w:rPr>
      </w:pPr>
    </w:p>
    <w:p>
      <w:pPr>
        <w:ind w:left="1292" w:hanging="647"/>
        <w:spacing w:after="0"/>
        <w:tabs>
          <w:tab w:leader="none" w:pos="1272"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20"/>
          <w:szCs w:val="20"/>
          <w:u w:val="single" w:color="auto"/>
          <w:color w:val="auto"/>
        </w:rPr>
        <w:t>Non-Use of Name</w:t>
      </w:r>
      <w:r>
        <w:rPr>
          <w:rFonts w:ascii="Times New Roman" w:cs="Times New Roman" w:eastAsia="Times New Roman" w:hAnsi="Times New Roman"/>
          <w:sz w:val="20"/>
          <w:szCs w:val="20"/>
          <w:color w:val="auto"/>
        </w:rPr>
        <w:t>. Neither Party shall use the name, insignia, symbol, trademark, trade name or logotype or any variation,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adaptation, or abbreviation thereof, of the other Party or</w:t>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912"/>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32"/>
          </w:cols>
          <w:pgMar w:left="328" w:top="1440" w:right="339" w:bottom="1440" w:gutter="0" w:footer="0" w:header="0"/>
          <w:type w:val="continuous"/>
        </w:sectPr>
      </w:pPr>
    </w:p>
    <w:bookmarkStart w:id="295" w:name="page296"/>
    <w:bookmarkEnd w:id="295"/>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its Affiliates, its directors, officers, staff, employees, agents, or affiliated investigators in any promotional material or other</w:t>
      </w:r>
    </w:p>
    <w:p>
      <w:pPr>
        <w:ind w:left="640"/>
        <w:spacing w:after="0" w:line="204" w:lineRule="auto"/>
        <w:rPr>
          <w:sz w:val="20"/>
          <w:szCs w:val="20"/>
          <w:color w:val="auto"/>
        </w:rPr>
      </w:pPr>
      <w:r>
        <w:rPr>
          <w:rFonts w:ascii="Times New Roman" w:cs="Times New Roman" w:eastAsia="Times New Roman" w:hAnsi="Times New Roman"/>
          <w:sz w:val="20"/>
          <w:szCs w:val="20"/>
          <w:color w:val="auto"/>
        </w:rPr>
        <w:t>public announcement or disclosure without the prior written consent of the other Party, which consent the other Party may withhold in its sole discretion, with the exception(s) for disclosures pursuant to Applicable law (e.g. “Sunshine Act”) and in</w:t>
      </w:r>
    </w:p>
    <w:p>
      <w:pPr>
        <w:ind w:left="640"/>
        <w:spacing w:after="0" w:line="211" w:lineRule="auto"/>
        <w:rPr>
          <w:sz w:val="20"/>
          <w:szCs w:val="20"/>
          <w:color w:val="auto"/>
        </w:rPr>
      </w:pPr>
      <w:r>
        <w:rPr>
          <w:rFonts w:ascii="Times New Roman" w:cs="Times New Roman" w:eastAsia="Times New Roman" w:hAnsi="Times New Roman"/>
          <w:sz w:val="20"/>
          <w:szCs w:val="20"/>
          <w:color w:val="auto"/>
        </w:rPr>
        <w:t>acknowledgement of support in connection with publications or press releases made in accordance with Section 12 above.</w:t>
      </w:r>
    </w:p>
    <w:p>
      <w:pPr>
        <w:spacing w:after="0" w:line="1" w:lineRule="exact"/>
        <w:rPr>
          <w:sz w:val="20"/>
          <w:szCs w:val="20"/>
          <w:color w:val="auto"/>
        </w:rPr>
      </w:pPr>
    </w:p>
    <w:p>
      <w:pPr>
        <w:ind w:left="640" w:right="20"/>
        <w:spacing w:after="0" w:line="204" w:lineRule="auto"/>
        <w:rPr>
          <w:sz w:val="20"/>
          <w:szCs w:val="20"/>
          <w:color w:val="auto"/>
        </w:rPr>
      </w:pPr>
      <w:r>
        <w:rPr>
          <w:rFonts w:ascii="Times New Roman" w:cs="Times New Roman" w:eastAsia="Times New Roman" w:hAnsi="Times New Roman"/>
          <w:sz w:val="20"/>
          <w:szCs w:val="20"/>
          <w:color w:val="auto"/>
        </w:rPr>
        <w:t>Notwithstanding the foregoing, each Party shall be permitted to identify the other Party as a collaborator and/or partner and display the other Party’s logo on its website, subject to compliance with any trademark guidelines provided by the other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Party and a separate written declaration of consent pursuant to such guidelines.</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16.3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disputes arising out of or related to this Agreement, or the performance, enforcement, breach or termination hereof, and any remedies relating thereto, shall be construed, governed, interpreted and</w:t>
      </w:r>
    </w:p>
    <w:p>
      <w:pPr>
        <w:ind w:left="640"/>
        <w:spacing w:after="0" w:line="212" w:lineRule="auto"/>
        <w:rPr>
          <w:sz w:val="20"/>
          <w:szCs w:val="20"/>
          <w:color w:val="auto"/>
        </w:rPr>
      </w:pPr>
      <w:r>
        <w:rPr>
          <w:rFonts w:ascii="Times New Roman" w:cs="Times New Roman" w:eastAsia="Times New Roman" w:hAnsi="Times New Roman"/>
          <w:sz w:val="20"/>
          <w:szCs w:val="20"/>
          <w:color w:val="auto"/>
        </w:rPr>
        <w:t>applied in accordance with the laws of the State of New York, without regard to its conflict of laws principles, except that</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questions affecting the construction and effect of any patent shall be determined by the law of the country in which the patent shall have been granted.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16.4</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640"/>
        <w:spacing w:after="0" w:line="215" w:lineRule="auto"/>
        <w:rPr>
          <w:sz w:val="20"/>
          <w:szCs w:val="20"/>
          <w:color w:val="auto"/>
        </w:rPr>
      </w:pPr>
      <w:r>
        <w:rPr>
          <w:rFonts w:ascii="Times New Roman" w:cs="Times New Roman" w:eastAsia="Times New Roman" w:hAnsi="Times New Roman"/>
          <w:sz w:val="20"/>
          <w:szCs w:val="20"/>
          <w:color w:val="auto"/>
        </w:rPr>
        <w:t>16.4.1  Except as expressly permitted in this Agreement, neither Party shall assign, delegate, or subcontract any of its rights or obligations under this Agreement without the prior written consent of the other Party. Any attempted assignment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contravention of this Section 16.4 shall be null and void.</w:t>
      </w:r>
    </w:p>
    <w:p>
      <w:pPr>
        <w:spacing w:after="0" w:line="167" w:lineRule="exact"/>
        <w:rPr>
          <w:sz w:val="20"/>
          <w:szCs w:val="20"/>
          <w:color w:val="auto"/>
        </w:rPr>
      </w:pPr>
    </w:p>
    <w:p>
      <w:pPr>
        <w:jc w:val="right"/>
        <w:ind w:left="640" w:right="20"/>
        <w:spacing w:after="0" w:line="215" w:lineRule="auto"/>
        <w:rPr>
          <w:sz w:val="20"/>
          <w:szCs w:val="20"/>
          <w:color w:val="auto"/>
        </w:rPr>
      </w:pPr>
      <w:r>
        <w:rPr>
          <w:rFonts w:ascii="Times New Roman" w:cs="Times New Roman" w:eastAsia="Times New Roman" w:hAnsi="Times New Roman"/>
          <w:sz w:val="20"/>
          <w:szCs w:val="20"/>
          <w:color w:val="auto"/>
        </w:rPr>
        <w:t>16.4.2  Notwithstanding the foregoing, each Party may, without the consent of the other Party, assign or transfer all of its rights and obligations hereunder to an Affiliate of or to a successor in interest by reason of merger or consolidation</w:t>
      </w:r>
    </w:p>
    <w:p>
      <w:pPr>
        <w:ind w:left="1300"/>
        <w:spacing w:after="0" w:line="224" w:lineRule="auto"/>
        <w:rPr>
          <w:sz w:val="20"/>
          <w:szCs w:val="20"/>
          <w:color w:val="auto"/>
        </w:rPr>
      </w:pPr>
      <w:r>
        <w:rPr>
          <w:rFonts w:ascii="Times New Roman" w:cs="Times New Roman" w:eastAsia="Times New Roman" w:hAnsi="Times New Roman"/>
          <w:sz w:val="19"/>
          <w:szCs w:val="19"/>
          <w:color w:val="auto"/>
        </w:rPr>
        <w:t>or sale of all or substantially all of the assets of such Party relating to the subject matter of this Agreement; provided</w:t>
      </w:r>
    </w:p>
    <w:p>
      <w:pPr>
        <w:ind w:left="1300"/>
        <w:spacing w:after="0" w:line="215" w:lineRule="auto"/>
        <w:rPr>
          <w:sz w:val="20"/>
          <w:szCs w:val="20"/>
          <w:color w:val="auto"/>
        </w:rPr>
      </w:pPr>
      <w:r>
        <w:rPr>
          <w:rFonts w:ascii="Times New Roman" w:cs="Times New Roman" w:eastAsia="Times New Roman" w:hAnsi="Times New Roman"/>
          <w:sz w:val="19"/>
          <w:szCs w:val="19"/>
          <w:color w:val="auto"/>
        </w:rPr>
        <w:t>however, that (a) such assignment includes, without limitation, all rights and obligations under this Agreement, (b) such successor in interest or Affiliate shall have agreed as of such assignment or transfer to be bound by the terms of</w:t>
      </w:r>
    </w:p>
    <w:p>
      <w:pPr>
        <w:ind w:left="1300"/>
        <w:spacing w:after="0" w:line="215" w:lineRule="auto"/>
        <w:rPr>
          <w:sz w:val="20"/>
          <w:szCs w:val="20"/>
          <w:color w:val="auto"/>
        </w:rPr>
      </w:pPr>
      <w:r>
        <w:rPr>
          <w:rFonts w:ascii="Times New Roman" w:cs="Times New Roman" w:eastAsia="Times New Roman" w:hAnsi="Times New Roman"/>
          <w:sz w:val="19"/>
          <w:szCs w:val="19"/>
          <w:color w:val="auto"/>
        </w:rPr>
        <w:t>this Agreement in a writing provided to the non-assigning Party, and (c) where this Agreement is assigned or transferred to an Affiliate, the assigning Party remains responsible for the performance of this Agreement. Recursion</w:t>
      </w:r>
    </w:p>
    <w:p>
      <w:pPr>
        <w:ind w:left="1300"/>
        <w:spacing w:after="0" w:line="228" w:lineRule="auto"/>
        <w:rPr>
          <w:sz w:val="20"/>
          <w:szCs w:val="20"/>
          <w:color w:val="auto"/>
        </w:rPr>
      </w:pPr>
      <w:r>
        <w:rPr>
          <w:rFonts w:ascii="Times New Roman" w:cs="Times New Roman" w:eastAsia="Times New Roman" w:hAnsi="Times New Roman"/>
          <w:sz w:val="20"/>
          <w:szCs w:val="20"/>
          <w:color w:val="auto"/>
        </w:rPr>
        <w:t>may assign or pledge any of its rights to receive payment under this Agreement subject to Bayer’s prior written consent, such consent not to be unreasonably withheld.</w:t>
      </w:r>
    </w:p>
    <w:p>
      <w:pPr>
        <w:spacing w:after="0" w:line="14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 xml:space="preserve">16.5   </w:t>
      </w: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 No amendment, modification, or waiver of the terms of this Agreement shall be binding on either Party unless reduced to writing and signed by an authorized representative of the Party to be bound. The failure of either</w:t>
      </w:r>
    </w:p>
    <w:p>
      <w:pPr>
        <w:spacing w:after="0" w:line="2"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Party at any time or times to require performance of any provision hereof shall in no manner affect its rights at a later time to enforce the same. No waiver by either Party of any condition or term shall be deemed as a further or continuing waiver of</w:t>
      </w:r>
    </w:p>
    <w:p>
      <w:pPr>
        <w:ind w:left="640"/>
        <w:spacing w:after="0"/>
        <w:rPr>
          <w:sz w:val="20"/>
          <w:szCs w:val="20"/>
          <w:color w:val="auto"/>
        </w:rPr>
      </w:pPr>
      <w:r>
        <w:rPr>
          <w:rFonts w:ascii="Times New Roman" w:cs="Times New Roman" w:eastAsia="Times New Roman" w:hAnsi="Times New Roman"/>
          <w:sz w:val="20"/>
          <w:szCs w:val="20"/>
          <w:color w:val="auto"/>
        </w:rPr>
        <w:t>such condition or term or of any other condition or term.</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 xml:space="preserve">16.6   </w:t>
      </w:r>
      <w:r>
        <w:rPr>
          <w:rFonts w:ascii="Times New Roman" w:cs="Times New Roman" w:eastAsia="Times New Roman" w:hAnsi="Times New Roman"/>
          <w:sz w:val="20"/>
          <w:szCs w:val="20"/>
          <w:u w:val="single" w:color="auto"/>
          <w:color w:val="auto"/>
        </w:rPr>
        <w:t>Independent Contractors</w:t>
      </w:r>
      <w:r>
        <w:rPr>
          <w:rFonts w:ascii="Times New Roman" w:cs="Times New Roman" w:eastAsia="Times New Roman" w:hAnsi="Times New Roman"/>
          <w:sz w:val="20"/>
          <w:szCs w:val="20"/>
          <w:color w:val="auto"/>
        </w:rPr>
        <w:t>. It is understood and agreed that the relationship between the Parties is that of independent contractors and that nothing in this Agreement shall be construed as authorization for either Party to act as agent for the</w:t>
      </w:r>
    </w:p>
    <w:p>
      <w:pPr>
        <w:ind w:left="640"/>
        <w:spacing w:after="0" w:line="212" w:lineRule="auto"/>
        <w:rPr>
          <w:sz w:val="20"/>
          <w:szCs w:val="20"/>
          <w:color w:val="auto"/>
        </w:rPr>
      </w:pPr>
      <w:r>
        <w:rPr>
          <w:rFonts w:ascii="Times New Roman" w:cs="Times New Roman" w:eastAsia="Times New Roman" w:hAnsi="Times New Roman"/>
          <w:sz w:val="20"/>
          <w:szCs w:val="20"/>
          <w:color w:val="auto"/>
        </w:rPr>
        <w:t>other. Nothing herein contained shall be deemed to create an employment, agency, joint venture or partnership relationship</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between the Parties or any of their agents or employees for any purpose, including tax purposes, or to create any other legal arrangement that would impose liability upon one Party for the act or failure to act of the other Party. Neither Party shall</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have any express or implied power to enter into any contracts or commitments or to incur any liabilities in the name of, or on behalf of, the other Party, or to bind the other Party in any respect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0580"/>
          </w:cols>
          <w:pgMar w:left="980" w:top="1440" w:right="339" w:bottom="1440" w:gutter="0" w:footer="0" w:header="0"/>
        </w:sectPr>
      </w:pPr>
    </w:p>
    <w:bookmarkStart w:id="296" w:name="page297"/>
    <w:bookmarkEnd w:id="296"/>
    <w:p>
      <w:pPr>
        <w:spacing w:after="0" w:line="200" w:lineRule="exact"/>
        <w:rPr>
          <w:sz w:val="20"/>
          <w:szCs w:val="20"/>
          <w:color w:val="auto"/>
        </w:rPr>
      </w:pPr>
    </w:p>
    <w:p>
      <w:pPr>
        <w:spacing w:after="0" w:line="3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16.7</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of this Agreement shall be held invalid or unenforceable for any reason, such</w:t>
      </w:r>
    </w:p>
    <w:p>
      <w:pPr>
        <w:ind w:left="640"/>
        <w:spacing w:after="0" w:line="221" w:lineRule="auto"/>
        <w:rPr>
          <w:sz w:val="20"/>
          <w:szCs w:val="20"/>
          <w:color w:val="auto"/>
        </w:rPr>
      </w:pPr>
      <w:r>
        <w:rPr>
          <w:rFonts w:ascii="Times New Roman" w:cs="Times New Roman" w:eastAsia="Times New Roman" w:hAnsi="Times New Roman"/>
          <w:sz w:val="20"/>
          <w:szCs w:val="20"/>
          <w:color w:val="auto"/>
        </w:rPr>
        <w:t>invalidity or unenforceability shall not affect any other provision of this Agreement, and the Parties shall negotiate in good faith to modify this Agreement to preserve (to the extent possible) their original intent.</w:t>
      </w:r>
    </w:p>
    <w:p>
      <w:pPr>
        <w:spacing w:after="0" w:line="162" w:lineRule="exact"/>
        <w:rPr>
          <w:sz w:val="20"/>
          <w:szCs w:val="20"/>
          <w:color w:val="auto"/>
        </w:rPr>
      </w:pPr>
    </w:p>
    <w:p>
      <w:pPr>
        <w:jc w:val="both"/>
        <w:ind w:left="640" w:right="2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16.8</w:t>
      </w:r>
      <w:r>
        <w:rPr>
          <w:sz w:val="20"/>
          <w:szCs w:val="20"/>
          <w:color w:val="auto"/>
        </w:rPr>
        <w:tab/>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shall be binding upon and inure to the benefit of the Parties and their respective successors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permitted assigns.</w:t>
      </w:r>
    </w:p>
    <w:p>
      <w:pPr>
        <w:spacing w:after="0" w:line="148" w:lineRule="exact"/>
        <w:rPr>
          <w:sz w:val="20"/>
          <w:szCs w:val="20"/>
          <w:color w:val="auto"/>
        </w:rPr>
      </w:pPr>
    </w:p>
    <w:p>
      <w:pPr>
        <w:jc w:val="both"/>
        <w:ind w:left="640" w:right="20" w:hanging="647"/>
        <w:spacing w:after="0" w:line="222" w:lineRule="auto"/>
        <w:tabs>
          <w:tab w:leader="none" w:pos="620" w:val="left"/>
        </w:tabs>
        <w:rPr>
          <w:sz w:val="20"/>
          <w:szCs w:val="20"/>
          <w:color w:val="auto"/>
        </w:rPr>
      </w:pPr>
      <w:r>
        <w:rPr>
          <w:rFonts w:ascii="Times New Roman" w:cs="Times New Roman" w:eastAsia="Times New Roman" w:hAnsi="Times New Roman"/>
          <w:sz w:val="20"/>
          <w:szCs w:val="20"/>
          <w:color w:val="auto"/>
        </w:rPr>
        <w:t>16.9</w:t>
      </w:r>
      <w:r>
        <w:rPr>
          <w:sz w:val="20"/>
          <w:szCs w:val="20"/>
          <w:color w:val="auto"/>
        </w:rPr>
        <w:tab/>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All headings are for convenience only and shall not affect the meaning of any provision of this Agreement.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Parties acknowledge that each Party has read and negotiated the language used in this Agreement. Because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6328410</wp:posOffset>
            </wp:positionH>
            <wp:positionV relativeFrom="paragraph">
              <wp:posOffset>-6350</wp:posOffset>
            </wp:positionV>
            <wp:extent cx="400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participated in negotiating and drafting this Agreement, no rule of construction shall apply to this Agreement which construes ambiguous language in favor of or against any Party by reason of that Party’s role in drafting this Agreement.</w:t>
      </w:r>
    </w:p>
    <w:p>
      <w:pPr>
        <w:ind w:left="640"/>
        <w:spacing w:after="0" w:line="211" w:lineRule="auto"/>
        <w:rPr>
          <w:sz w:val="20"/>
          <w:szCs w:val="20"/>
          <w:color w:val="auto"/>
        </w:rPr>
      </w:pPr>
      <w:r>
        <w:rPr>
          <w:rFonts w:ascii="Times New Roman" w:cs="Times New Roman" w:eastAsia="Times New Roman" w:hAnsi="Times New Roman"/>
          <w:sz w:val="20"/>
          <w:szCs w:val="20"/>
          <w:color w:val="auto"/>
        </w:rPr>
        <w:t>Except where the context expressly requires otherwise, (a) the use of any gender herein will be deemed to encompass</w:t>
      </w:r>
    </w:p>
    <w:p>
      <w:pPr>
        <w:spacing w:after="0" w:line="1" w:lineRule="exact"/>
        <w:rPr>
          <w:sz w:val="20"/>
          <w:szCs w:val="20"/>
          <w:color w:val="auto"/>
        </w:rPr>
      </w:pPr>
    </w:p>
    <w:p>
      <w:pPr>
        <w:jc w:val="both"/>
        <w:ind w:left="640" w:right="20"/>
        <w:spacing w:after="0" w:line="204" w:lineRule="auto"/>
        <w:rPr>
          <w:sz w:val="20"/>
          <w:szCs w:val="20"/>
          <w:color w:val="auto"/>
        </w:rPr>
      </w:pPr>
      <w:r>
        <w:rPr>
          <w:rFonts w:ascii="Times New Roman" w:cs="Times New Roman" w:eastAsia="Times New Roman" w:hAnsi="Times New Roman"/>
          <w:sz w:val="20"/>
          <w:szCs w:val="20"/>
          <w:color w:val="auto"/>
        </w:rPr>
        <w:t>references to any genders, and the use of the singular will be deemed to include the plural (and vice versa), (b) the words “include”, “includes” and “including” will be deemed to be followed by the phrase “without limitation”, (c) the word “will”</w:t>
      </w:r>
    </w:p>
    <w:p>
      <w:pPr>
        <w:ind w:left="640"/>
        <w:spacing w:after="0" w:line="211" w:lineRule="auto"/>
        <w:rPr>
          <w:sz w:val="20"/>
          <w:szCs w:val="20"/>
          <w:color w:val="auto"/>
        </w:rPr>
      </w:pPr>
      <w:r>
        <w:rPr>
          <w:rFonts w:ascii="Times New Roman" w:cs="Times New Roman" w:eastAsia="Times New Roman" w:hAnsi="Times New Roman"/>
          <w:sz w:val="20"/>
          <w:szCs w:val="20"/>
          <w:color w:val="auto"/>
        </w:rPr>
        <w:t>will be construed to have the same meaning and effect as the word “shall”, (d) any definition of or reference to any</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agreement, instrument or other document herein will be construed as referring to such agreement, instrument or other document as from time to time amended, supplemented or otherwise modified (subject to any restrictions on such</w:t>
      </w:r>
    </w:p>
    <w:p>
      <w:pPr>
        <w:ind w:left="640"/>
        <w:spacing w:after="0" w:line="211" w:lineRule="auto"/>
        <w:rPr>
          <w:sz w:val="20"/>
          <w:szCs w:val="20"/>
          <w:color w:val="auto"/>
        </w:rPr>
      </w:pPr>
      <w:r>
        <w:rPr>
          <w:rFonts w:ascii="Times New Roman" w:cs="Times New Roman" w:eastAsia="Times New Roman" w:hAnsi="Times New Roman"/>
          <w:sz w:val="20"/>
          <w:szCs w:val="20"/>
          <w:color w:val="auto"/>
        </w:rPr>
        <w:t>amendments, supplements or modifications set forth herein), (e) any reference herein to any Person will be construed to</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include the Person’s successors and permitted assigns, (f) the words “herein”, “hereof” and “hereunder”, and words of similar import, will be construed to refer to this Agreement in its entirety and not to any particular provision hereof, (g) all</w:t>
      </w:r>
    </w:p>
    <w:p>
      <w:pPr>
        <w:ind w:left="640"/>
        <w:spacing w:after="0" w:line="211" w:lineRule="auto"/>
        <w:rPr>
          <w:sz w:val="20"/>
          <w:szCs w:val="20"/>
          <w:color w:val="auto"/>
        </w:rPr>
      </w:pPr>
      <w:r>
        <w:rPr>
          <w:rFonts w:ascii="Times New Roman" w:cs="Times New Roman" w:eastAsia="Times New Roman" w:hAnsi="Times New Roman"/>
          <w:sz w:val="20"/>
          <w:szCs w:val="20"/>
          <w:color w:val="auto"/>
        </w:rPr>
        <w:t>references herein to section, attachments, appendices, exhibits or the like will be construed to refer to sections, attachments,</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appendices, exhibits or the like of this Agreement, and references to this Agreement include all attachments, appendices, exhibits or the like attached hereto, (h) references to any Applicable Law, rule or regulation, or article, section or other</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division thereof, will be deemed to include the then-current amendments thereto or any replacement or successor Applicable Law, rule or regulation thereof and (i) the term “or” will be interpreted in the inclusive sense commonly associated with the</w:t>
      </w:r>
    </w:p>
    <w:p>
      <w:pPr>
        <w:ind w:left="640"/>
        <w:spacing w:after="0"/>
        <w:rPr>
          <w:sz w:val="20"/>
          <w:szCs w:val="20"/>
          <w:color w:val="auto"/>
        </w:rPr>
      </w:pPr>
      <w:r>
        <w:rPr>
          <w:rFonts w:ascii="Times New Roman" w:cs="Times New Roman" w:eastAsia="Times New Roman" w:hAnsi="Times New Roman"/>
          <w:sz w:val="20"/>
          <w:szCs w:val="20"/>
          <w:color w:val="auto"/>
        </w:rPr>
        <w:t>term “and/or.”</w:t>
      </w:r>
    </w:p>
    <w:p>
      <w:pPr>
        <w:spacing w:after="0" w:line="167" w:lineRule="exact"/>
        <w:rPr>
          <w:sz w:val="20"/>
          <w:szCs w:val="20"/>
          <w:color w:val="auto"/>
        </w:rPr>
      </w:pPr>
    </w:p>
    <w:p>
      <w:pPr>
        <w:jc w:val="both"/>
        <w:ind w:left="640" w:hanging="647"/>
        <w:spacing w:after="0" w:line="215" w:lineRule="auto"/>
        <w:tabs>
          <w:tab w:leader="none" w:pos="620" w:val="left"/>
        </w:tabs>
        <w:rPr>
          <w:sz w:val="20"/>
          <w:szCs w:val="20"/>
          <w:color w:val="auto"/>
        </w:rPr>
      </w:pPr>
      <w:r>
        <w:rPr>
          <w:rFonts w:ascii="Times New Roman" w:cs="Times New Roman" w:eastAsia="Times New Roman" w:hAnsi="Times New Roman"/>
          <w:sz w:val="20"/>
          <w:szCs w:val="20"/>
          <w:color w:val="auto"/>
        </w:rPr>
        <w:t>16.10</w:t>
      </w:r>
      <w:r>
        <w:rPr>
          <w:sz w:val="20"/>
          <w:szCs w:val="20"/>
          <w:color w:val="auto"/>
        </w:rPr>
        <w:tab/>
      </w: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In the event of any conflict between this Agreement and the Collaboration Agreement, the terms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this Agreement shall prevail. Notwithstanding the foregoing, unless explicitly set forth herein, no provision of this</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Agreement shall be interpreted to limit any express obligation of either Party set forth in the Collaboration Agreement or any other license agreement resulting therefrom.</w:t>
      </w:r>
    </w:p>
    <w:p>
      <w:pPr>
        <w:spacing w:after="0" w:line="149" w:lineRule="exact"/>
        <w:rPr>
          <w:sz w:val="20"/>
          <w:szCs w:val="20"/>
          <w:color w:val="auto"/>
        </w:rPr>
      </w:pPr>
    </w:p>
    <w:p>
      <w:pPr>
        <w:jc w:val="both"/>
        <w:ind w:left="640" w:hanging="647"/>
        <w:spacing w:after="0" w:line="234" w:lineRule="auto"/>
        <w:tabs>
          <w:tab w:leader="none" w:pos="620" w:val="left"/>
        </w:tabs>
        <w:rPr>
          <w:sz w:val="20"/>
          <w:szCs w:val="20"/>
          <w:color w:val="auto"/>
        </w:rPr>
      </w:pPr>
      <w:r>
        <w:rPr>
          <w:rFonts w:ascii="Times New Roman" w:cs="Times New Roman" w:eastAsia="Times New Roman" w:hAnsi="Times New Roman"/>
          <w:sz w:val="20"/>
          <w:szCs w:val="20"/>
          <w:color w:val="auto"/>
        </w:rPr>
        <w:t>16.11</w:t>
      </w:r>
      <w:r>
        <w:rPr>
          <w:sz w:val="20"/>
          <w:szCs w:val="20"/>
          <w:color w:val="auto"/>
        </w:rPr>
        <w:tab/>
      </w:r>
      <w:r>
        <w:rPr>
          <w:rFonts w:ascii="Times New Roman" w:cs="Times New Roman" w:eastAsia="Times New Roman" w:hAnsi="Times New Roman"/>
          <w:sz w:val="19"/>
          <w:szCs w:val="19"/>
          <w:u w:val="single" w:color="auto"/>
          <w:color w:val="auto"/>
        </w:rPr>
        <w:t>Compliance</w:t>
      </w:r>
      <w:r>
        <w:rPr>
          <w:rFonts w:ascii="Times New Roman" w:cs="Times New Roman" w:eastAsia="Times New Roman" w:hAnsi="Times New Roman"/>
          <w:sz w:val="19"/>
          <w:szCs w:val="19"/>
          <w:color w:val="auto"/>
        </w:rPr>
        <w:t>. Recursion and Bayer agree to comply with all Applicable Law, including, without limitation, laws related to</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fraud, abuse, privacy, discrimination, disabilities, samples, confidentiality, false claims and prohibition of kickbacks. Without</w:t>
      </w:r>
    </w:p>
    <w:p>
      <w:pPr>
        <w:spacing w:after="0" w:line="1"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limiting the generality of the foregoing, each Party to this Agreement certifies that such Party shall not violate the U.S. Anti-Kickback Statute (42 U.S.C § 1320a-7b(b)) with respect to the performance of this Agreement. In furtherance of this intent,</w:t>
      </w:r>
    </w:p>
    <w:p>
      <w:pPr>
        <w:ind w:left="640"/>
        <w:spacing w:after="0" w:line="228" w:lineRule="auto"/>
        <w:rPr>
          <w:sz w:val="20"/>
          <w:szCs w:val="20"/>
          <w:color w:val="auto"/>
        </w:rPr>
      </w:pPr>
      <w:r>
        <w:rPr>
          <w:rFonts w:ascii="Times New Roman" w:cs="Times New Roman" w:eastAsia="Times New Roman" w:hAnsi="Times New Roman"/>
          <w:sz w:val="20"/>
          <w:szCs w:val="20"/>
          <w:color w:val="auto"/>
        </w:rPr>
        <w:t>Bayer makes Recursion aware of its Code of Conduct and Anti-Kickback Policies accessible at http://www.bayer.us/en/products/bayer-pharmaceuticals/.</w:t>
      </w:r>
    </w:p>
    <w:p>
      <w:pPr>
        <w:spacing w:after="0" w:line="149" w:lineRule="exact"/>
        <w:rPr>
          <w:sz w:val="20"/>
          <w:szCs w:val="20"/>
          <w:color w:val="auto"/>
        </w:rPr>
      </w:pPr>
    </w:p>
    <w:p>
      <w:pPr>
        <w:jc w:val="both"/>
        <w:ind w:left="640" w:hanging="64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16.12</w:t>
      </w:r>
      <w:r>
        <w:rPr>
          <w:sz w:val="20"/>
          <w:szCs w:val="20"/>
          <w:color w:val="auto"/>
        </w:rPr>
        <w:tab/>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including by facsimile or by electronic scan copies, each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which counterparts, when so executed and delivered, shall be deemed to be an original, and all of which counterparts, taken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0580"/>
          </w:cols>
          <w:pgMar w:left="980" w:top="1440" w:right="339" w:bottom="1440" w:gutter="0" w:footer="0" w:header="0"/>
        </w:sectPr>
      </w:pPr>
    </w:p>
    <w:bookmarkStart w:id="297" w:name="page298"/>
    <w:bookmarkEnd w:id="297"/>
    <w:p>
      <w:pPr>
        <w:spacing w:after="0" w:line="200" w:lineRule="exact"/>
        <w:rPr>
          <w:sz w:val="20"/>
          <w:szCs w:val="20"/>
          <w:color w:val="auto"/>
        </w:rPr>
      </w:pPr>
    </w:p>
    <w:p>
      <w:pPr>
        <w:spacing w:after="0" w:line="3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16.13</w:t>
      </w:r>
      <w:r>
        <w:rPr>
          <w:sz w:val="20"/>
          <w:szCs w:val="20"/>
          <w:color w:val="auto"/>
        </w:rPr>
        <w:tab/>
      </w:r>
      <w:r>
        <w:rPr>
          <w:rFonts w:ascii="Times New Roman" w:cs="Times New Roman" w:eastAsia="Times New Roman" w:hAnsi="Times New Roman"/>
          <w:sz w:val="20"/>
          <w:szCs w:val="20"/>
          <w:u w:val="single" w:color="auto"/>
          <w:color w:val="auto"/>
        </w:rPr>
        <w:t>No Third Party Beneficiaries</w:t>
      </w:r>
      <w:r>
        <w:rPr>
          <w:rFonts w:ascii="Times New Roman" w:cs="Times New Roman" w:eastAsia="Times New Roman" w:hAnsi="Times New Roman"/>
          <w:sz w:val="20"/>
          <w:szCs w:val="20"/>
          <w:color w:val="auto"/>
        </w:rPr>
        <w:t>. Nothing in this Agreement shall be construed as giving any person, firm, corporation or other</w:t>
      </w: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entity, other than the Parties hereto and their successors and permitted assigns, any right, remedy or claim under or in respect of this Agreement or any provision hereof.</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16.14</w:t>
      </w:r>
      <w:r>
        <w:rPr>
          <w:sz w:val="20"/>
          <w:szCs w:val="20"/>
          <w:color w:val="auto"/>
        </w:rPr>
        <w:tab/>
      </w:r>
      <w:r>
        <w:rPr>
          <w:rFonts w:ascii="Times New Roman" w:cs="Times New Roman" w:eastAsia="Times New Roman" w:hAnsi="Times New Roman"/>
          <w:sz w:val="20"/>
          <w:szCs w:val="20"/>
          <w:u w:val="single" w:color="auto"/>
          <w:color w:val="auto"/>
        </w:rPr>
        <w:t>No Implied Licenses</w:t>
      </w:r>
      <w:r>
        <w:rPr>
          <w:rFonts w:ascii="Times New Roman" w:cs="Times New Roman" w:eastAsia="Times New Roman" w:hAnsi="Times New Roman"/>
          <w:sz w:val="20"/>
          <w:szCs w:val="20"/>
          <w:color w:val="auto"/>
        </w:rPr>
        <w:t>. Except as expressly set forth herein, neither Party shall acquire, pursuant to this Agreement, any</w:t>
      </w:r>
    </w:p>
    <w:p>
      <w:pPr>
        <w:ind w:left="1300"/>
        <w:spacing w:after="0" w:line="221" w:lineRule="auto"/>
        <w:rPr>
          <w:sz w:val="20"/>
          <w:szCs w:val="20"/>
          <w:color w:val="auto"/>
        </w:rPr>
      </w:pPr>
      <w:r>
        <w:rPr>
          <w:rFonts w:ascii="Times New Roman" w:cs="Times New Roman" w:eastAsia="Times New Roman" w:hAnsi="Times New Roman"/>
          <w:sz w:val="20"/>
          <w:szCs w:val="20"/>
          <w:color w:val="auto"/>
        </w:rPr>
        <w:t>license or other intellectual property interest, by implication or otherwise, under any trademarks, Patent or other Intellectual Property Rights of the other Party.</w:t>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includes the following Exhibits and all terms stated therein:</w:t>
      </w:r>
    </w:p>
    <w:p>
      <w:pPr>
        <w:spacing w:after="0" w:line="18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Identification of Project</w:t>
      </w:r>
    </w:p>
    <w:p>
      <w:pPr>
        <w:spacing w:after="0" w:line="14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Licensed Project IP Rights (including Licensed Project Patents)</w:t>
      </w:r>
    </w:p>
    <w:p>
      <w:pPr>
        <w:spacing w:after="0" w:line="14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Licensed Project Know-How</w:t>
      </w:r>
    </w:p>
    <w:p>
      <w:pPr>
        <w:spacing w:after="0" w:line="12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Specification of Recursion’s licensed Background IP Rights and</w:t>
      </w:r>
    </w:p>
    <w:p>
      <w:pPr>
        <w:ind w:left="1420"/>
        <w:spacing w:after="0"/>
        <w:rPr>
          <w:sz w:val="20"/>
          <w:szCs w:val="20"/>
          <w:color w:val="auto"/>
        </w:rPr>
      </w:pPr>
      <w:r>
        <w:rPr>
          <w:rFonts w:ascii="Times New Roman" w:cs="Times New Roman" w:eastAsia="Times New Roman" w:hAnsi="Times New Roman"/>
          <w:sz w:val="20"/>
          <w:szCs w:val="20"/>
          <w:color w:val="auto"/>
        </w:rPr>
        <w:t>Background Know-How</w:t>
      </w:r>
    </w:p>
    <w:p>
      <w:pPr>
        <w:spacing w:after="0" w:line="12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Licensed Project Compounds</w:t>
      </w:r>
    </w:p>
    <w:p>
      <w:pPr>
        <w:spacing w:after="0" w:line="14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Development Candidate Criteria</w:t>
      </w:r>
    </w:p>
    <w:p>
      <w:pPr>
        <w:spacing w:after="0" w:line="14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Recursion ISMI IP Rights</w:t>
      </w:r>
    </w:p>
    <w:p>
      <w:pPr>
        <w:spacing w:after="0" w:line="14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19"/>
          <w:szCs w:val="19"/>
          <w:color w:val="auto"/>
        </w:rPr>
        <w:t>Recursion ISMI Know-How</w:t>
      </w:r>
    </w:p>
    <w:p>
      <w:pPr>
        <w:spacing w:after="0" w:line="200" w:lineRule="exact"/>
        <w:rPr>
          <w:sz w:val="20"/>
          <w:szCs w:val="20"/>
          <w:color w:val="auto"/>
        </w:rPr>
      </w:pPr>
    </w:p>
    <w:p>
      <w:pPr>
        <w:spacing w:after="0" w:line="38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(Signatures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this Agreement has been executed below by the respective duly authorized representatives of the Parties hereto as of the Effective Date of this Agreement.</w:t>
      </w:r>
    </w:p>
    <w:p>
      <w:pPr>
        <w:spacing w:after="0" w:line="200" w:lineRule="exact"/>
        <w:rPr>
          <w:sz w:val="20"/>
          <w:szCs w:val="20"/>
          <w:color w:val="auto"/>
        </w:rPr>
      </w:pPr>
    </w:p>
    <w:p>
      <w:pPr>
        <w:spacing w:after="0" w:line="335"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20"/>
          <w:szCs w:val="20"/>
          <w:b w:val="1"/>
          <w:bCs w:val="1"/>
          <w:color w:val="auto"/>
        </w:rPr>
        <w:t>RECURSION PHARMACEUTICALS, INC</w:t>
      </w:r>
      <w:r>
        <w:rPr>
          <w:sz w:val="20"/>
          <w:szCs w:val="20"/>
          <w:color w:val="auto"/>
        </w:rPr>
        <w:tab/>
      </w:r>
      <w:r>
        <w:rPr>
          <w:rFonts w:ascii="Times New Roman" w:cs="Times New Roman" w:eastAsia="Times New Roman" w:hAnsi="Times New Roman"/>
          <w:sz w:val="19"/>
          <w:szCs w:val="19"/>
          <w:b w:val="1"/>
          <w:bCs w:val="1"/>
          <w:color w:val="auto"/>
        </w:rPr>
        <w:t>BAYER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20"/>
          <w:szCs w:val="20"/>
          <w:color w:val="auto"/>
        </w:rPr>
        <w:t>______________________________</w:t>
      </w:r>
      <w:r>
        <w:rPr>
          <w:sz w:val="20"/>
          <w:szCs w:val="20"/>
          <w:color w:val="auto"/>
        </w:rPr>
        <w:tab/>
      </w:r>
      <w:r>
        <w:rPr>
          <w:rFonts w:ascii="Times New Roman" w:cs="Times New Roman" w:eastAsia="Times New Roman" w:hAnsi="Times New Roman"/>
          <w:sz w:val="20"/>
          <w:szCs w:val="20"/>
          <w:color w:val="auto"/>
        </w:rPr>
        <w:t>_______________________________</w:t>
      </w:r>
    </w:p>
    <w:p>
      <w:pPr>
        <w:spacing w:after="0" w:line="14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Name:</w:t>
      </w:r>
    </w:p>
    <w:p>
      <w:pPr>
        <w:spacing w:after="0" w:line="1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Title:</w:t>
      </w:r>
    </w:p>
    <w:p>
      <w:pPr>
        <w:spacing w:after="0" w:line="148"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40"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subsidiaries of Recursion Pharmaceuticals Inc. as of December 31, 2023.</w:t>
      </w:r>
    </w:p>
    <w:p>
      <w:pPr>
        <w:sectPr>
          <w:pgSz w:w="11900" w:h="16838" w:orient="portrait"/>
          <w:cols w:equalWidth="0" w:num="1">
            <w:col w:w="11240"/>
          </w:cols>
          <w:pgMar w:left="320" w:top="350"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of Incorporation</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Recursion Pharmaceuticals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Valence Discovery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Valence Discovery USA,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Cyclica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Cyclica Ltd.</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Cyclica Inc.</w:t>
      </w:r>
    </w:p>
    <w:p>
      <w:pPr>
        <w:spacing w:after="0" w:line="20" w:lineRule="exact"/>
        <w:rPr>
          <w:sz w:val="20"/>
          <w:szCs w:val="20"/>
          <w:color w:val="auto"/>
        </w:rPr>
      </w:pPr>
      <w:r>
        <w:rPr>
          <w:sz w:val="20"/>
          <w:szCs w:val="20"/>
          <w:color w:val="auto"/>
        </w:rPr>
        <w:br w:type="column"/>
      </w:r>
    </w:p>
    <w:p>
      <w:pPr>
        <w:jc w:val="center"/>
        <w:ind w:right="4860"/>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Giro Health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1414517 B.C. Unlimited Liability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CereXis, Inc.</w:t>
      </w:r>
    </w:p>
    <w:p>
      <w:pPr>
        <w:spacing w:after="0" w:line="20" w:lineRule="exact"/>
        <w:rPr>
          <w:sz w:val="20"/>
          <w:szCs w:val="20"/>
          <w:color w:val="auto"/>
        </w:rPr>
      </w:pPr>
      <w:r>
        <w:rPr>
          <w:sz w:val="20"/>
          <w:szCs w:val="20"/>
          <w:color w:val="auto"/>
        </w:rPr>
        <w:br w:type="column"/>
      </w:r>
    </w:p>
    <w:p>
      <w:pPr>
        <w:jc w:val="center"/>
        <w:ind w:right="4860"/>
        <w:spacing w:after="0"/>
        <w:rPr>
          <w:sz w:val="20"/>
          <w:szCs w:val="20"/>
          <w:color w:val="auto"/>
        </w:rPr>
      </w:pPr>
      <w:r>
        <w:rPr>
          <w:rFonts w:ascii="Arial" w:cs="Arial" w:eastAsia="Arial" w:hAnsi="Arial"/>
          <w:sz w:val="17"/>
          <w:szCs w:val="17"/>
          <w:color w:val="auto"/>
        </w:rPr>
        <w:t>Delaware</w:t>
      </w:r>
    </w:p>
    <w:p>
      <w:pPr>
        <w:spacing w:after="0" w:line="21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spacing w:after="0" w:line="16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40"/>
          </w:cols>
          <w:pgMar w:left="320" w:top="350" w:right="339" w:bottom="1440" w:gutter="0" w:footer="0" w:header="0"/>
          <w:type w:val="continuous"/>
        </w:sectPr>
      </w:pPr>
    </w:p>
    <w:bookmarkStart w:id="300" w:name="page301"/>
    <w:bookmarkEnd w:id="30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00" w:lineRule="exact"/>
        <w:rPr>
          <w:sz w:val="20"/>
          <w:szCs w:val="20"/>
          <w:color w:val="auto"/>
        </w:rPr>
      </w:pPr>
    </w:p>
    <w:p>
      <w:pPr>
        <w:spacing w:after="0" w:line="394" w:lineRule="exact"/>
        <w:rPr>
          <w:sz w:val="20"/>
          <w:szCs w:val="20"/>
          <w:color w:val="auto"/>
        </w:rPr>
      </w:pPr>
    </w:p>
    <w:p>
      <w:pPr>
        <w:ind w:left="640" w:hanging="308"/>
        <w:spacing w:after="0"/>
        <w:tabs>
          <w:tab w:leader="none" w:pos="6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333-272281) of Recursion Pharmaceuticals, Inc.,</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333-264845) of Recursion Pharmaceuticals, Inc.,</w:t>
      </w:r>
    </w:p>
    <w:p>
      <w:pPr>
        <w:spacing w:after="0" w:line="21" w:lineRule="exact"/>
        <w:rPr>
          <w:rFonts w:ascii="Times New Roman" w:cs="Times New Roman" w:eastAsia="Times New Roman" w:hAnsi="Times New Roman"/>
          <w:sz w:val="20"/>
          <w:szCs w:val="20"/>
          <w:color w:val="auto"/>
        </w:rPr>
      </w:pPr>
    </w:p>
    <w:p>
      <w:pPr>
        <w:ind w:left="660" w:right="180" w:hanging="328"/>
        <w:spacing w:after="0" w:line="250" w:lineRule="auto"/>
        <w:tabs>
          <w:tab w:leader="none" w:pos="64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333-272282) pertaining to the assumption of the Cyclica Inc. Second Amended and Restated Stock Option Plan, by Recursion Pharmaceuticals, Inc.,</w:t>
      </w:r>
    </w:p>
    <w:p>
      <w:pPr>
        <w:ind w:left="660" w:right="320" w:hanging="328"/>
        <w:spacing w:after="0" w:line="246" w:lineRule="auto"/>
        <w:tabs>
          <w:tab w:leader="none" w:pos="64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333-272027) pertaining to the assumption of the Valence Discovery Inc. Stock Option Plan dated April 17, 2018 as amended and restated on November 16, 2021, by Recursion Pharmaceuticals, Inc.,</w:t>
      </w:r>
    </w:p>
    <w:p>
      <w:pPr>
        <w:spacing w:after="0" w:line="1" w:lineRule="exact"/>
        <w:rPr>
          <w:rFonts w:ascii="Times New Roman" w:cs="Times New Roman" w:eastAsia="Times New Roman" w:hAnsi="Times New Roman"/>
          <w:sz w:val="20"/>
          <w:szCs w:val="20"/>
          <w:color w:val="auto"/>
        </w:rPr>
      </w:pPr>
    </w:p>
    <w:p>
      <w:pPr>
        <w:ind w:left="660" w:right="60" w:hanging="328"/>
        <w:spacing w:after="0" w:line="246" w:lineRule="auto"/>
        <w:tabs>
          <w:tab w:leader="none" w:pos="64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333-271719) pertaining to the 2021 Equity Incentive Plan and 2021 Employee Stock Purchase Plan, of Recursion Pharmaceuticals, Inc.,</w:t>
      </w:r>
    </w:p>
    <w:p>
      <w:pPr>
        <w:spacing w:after="0" w:line="1" w:lineRule="exact"/>
        <w:rPr>
          <w:rFonts w:ascii="Times New Roman" w:cs="Times New Roman" w:eastAsia="Times New Roman" w:hAnsi="Times New Roman"/>
          <w:sz w:val="20"/>
          <w:szCs w:val="20"/>
          <w:color w:val="auto"/>
        </w:rPr>
      </w:pPr>
    </w:p>
    <w:p>
      <w:pPr>
        <w:ind w:left="660" w:right="60" w:hanging="328"/>
        <w:spacing w:after="0" w:line="250" w:lineRule="auto"/>
        <w:tabs>
          <w:tab w:leader="none" w:pos="64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333-264847) pertaining to the 2021 Equity Incentive Plan and 2021 Employee Stock Purchase Plan of Recursion Pharmaceuticals, Inc., and</w:t>
      </w:r>
    </w:p>
    <w:p>
      <w:pPr>
        <w:ind w:left="660" w:right="340" w:hanging="328"/>
        <w:spacing w:after="0" w:line="260" w:lineRule="auto"/>
        <w:tabs>
          <w:tab w:leader="none" w:pos="64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333-255315) pertaining to the 2021 Equity Incentive Plan, 2021 Employee Stock Purchase Plan, and the 2016 Equity Incentive Plan of Recursion Pharmaceuticals, Inc.;</w:t>
      </w:r>
    </w:p>
    <w:p>
      <w:pPr>
        <w:spacing w:after="0" w:line="6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color w:val="auto"/>
        </w:rPr>
        <w:t>of our reports dated February 29, 2024, with respect to the consolidated financial statements of Recursion Pharmaceuticals, Inc. and the effectiveness of internal control over financial reporting of Recursion Pharmaceuticals, Inc. included in this Annual Report (Form 10-K) of Recursion Pharmaceuticals, Inc.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29, 2024</w:t>
      </w:r>
    </w:p>
    <w:p>
      <w:pPr>
        <w:sectPr>
          <w:pgSz w:w="11900" w:h="16838" w:orient="portrait"/>
          <w:cols w:equalWidth="0" w:num="1">
            <w:col w:w="11240"/>
          </w:cols>
          <w:pgMar w:left="320" w:top="383" w:right="3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2024</w:t>
      </w:r>
    </w:p>
    <w:p>
      <w:pPr>
        <w:sectPr>
          <w:pgSz w:w="11900" w:h="16838" w:orient="portrait"/>
          <w:cols w:equalWidth="0" w:num="1">
            <w:col w:w="11240"/>
          </w:cols>
          <w:pgMar w:left="320" w:top="122"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2024</w:t>
      </w:r>
    </w:p>
    <w:p>
      <w:pPr>
        <w:sectPr>
          <w:pgSz w:w="11900" w:h="16838" w:orient="portrait"/>
          <w:cols w:equalWidth="0" w:num="1">
            <w:col w:w="11240"/>
          </w:cols>
          <w:pgMar w:left="320" w:top="122" w:right="3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connection with the Annual Report of Recursion Pharmaceuticals, Inc. (the “Company”) on Form 10-K for the period ended December 31, 2023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2024</w:t>
      </w:r>
    </w:p>
    <w:p>
      <w:pPr>
        <w:sectPr>
          <w:pgSz w:w="11900" w:h="16838" w:orient="portrait"/>
          <w:cols w:equalWidth="0" w:num="1">
            <w:col w:w="11240"/>
          </w:cols>
          <w:pgMar w:left="320" w:top="364" w:right="339" w:bottom="1440" w:gutter="0" w:footer="0" w:header="0"/>
        </w:sectPr>
      </w:pPr>
    </w:p>
    <w:bookmarkStart w:id="304" w:name="page305"/>
    <w:bookmarkEnd w:id="304"/>
    <w:p>
      <w:pPr>
        <w:spacing w:after="0" w:line="18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RECURSION PHARMACEUTICALS, INC.</w:t>
      </w:r>
    </w:p>
    <w:p>
      <w:pPr>
        <w:spacing w:after="0" w:line="18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COMPENSATION RECOVERY POLICY</w:t>
      </w:r>
    </w:p>
    <w:p>
      <w:pPr>
        <w:spacing w:after="0" w:line="17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As adopted on October 31,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Recursion Pharmaceuticals,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committed to strong corporate governance. As part of this commitment, the</w:t>
      </w:r>
    </w:p>
    <w:p>
      <w:pPr>
        <w:spacing w:after="0" w:line="215" w:lineRule="auto"/>
        <w:rPr>
          <w:sz w:val="20"/>
          <w:szCs w:val="20"/>
          <w:color w:val="auto"/>
        </w:rPr>
      </w:pPr>
      <w:r>
        <w:rPr>
          <w:rFonts w:ascii="Times New Roman" w:cs="Times New Roman" w:eastAsia="Times New Roman" w:hAnsi="Times New Roman"/>
          <w:sz w:val="19"/>
          <w:szCs w:val="19"/>
          <w:color w:val="auto"/>
        </w:rPr>
        <w:t>Company’s Board of Directors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has adopted this clawback policy called the Compensation Recovery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The Policy is intended to further the Company’s pay-for-performance philosophy and to comply with applicable law by providing rules related to</w:t>
      </w:r>
    </w:p>
    <w:p>
      <w:pPr>
        <w:spacing w:after="0" w:line="211" w:lineRule="auto"/>
        <w:rPr>
          <w:sz w:val="20"/>
          <w:szCs w:val="20"/>
          <w:color w:val="auto"/>
        </w:rPr>
      </w:pPr>
      <w:r>
        <w:rPr>
          <w:rFonts w:ascii="Times New Roman" w:cs="Times New Roman" w:eastAsia="Times New Roman" w:hAnsi="Times New Roman"/>
          <w:sz w:val="20"/>
          <w:szCs w:val="20"/>
          <w:color w:val="auto"/>
        </w:rPr>
        <w:t>the reasonably prompt recovery of certain compensation received by Covered Executives (as defined below) in the event of an Accounting</w:t>
      </w:r>
    </w:p>
    <w:p>
      <w:pPr>
        <w:spacing w:after="0" w:line="221" w:lineRule="auto"/>
        <w:rPr>
          <w:sz w:val="20"/>
          <w:szCs w:val="20"/>
          <w:color w:val="auto"/>
        </w:rPr>
      </w:pPr>
      <w:r>
        <w:rPr>
          <w:rFonts w:ascii="Times New Roman" w:cs="Times New Roman" w:eastAsia="Times New Roman" w:hAnsi="Times New Roman"/>
          <w:sz w:val="20"/>
          <w:szCs w:val="20"/>
          <w:color w:val="auto"/>
        </w:rPr>
        <w:t>Restatement. The application of the Policy to Covered Executives is not discretionary, except to the limited extent provided below, and applies without regard to whether a Covered Executive was at fault.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Capitalized terms used in the Policy are defined below, and the definitions have substantive impact on its application so reviewing them carefully is important to your understanding.</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Policy is intended to comply with, and will be interpreted in a manner consistent with, Section 10D of the Securities Exchange</w:t>
      </w:r>
    </w:p>
    <w:p>
      <w:pPr>
        <w:ind w:right="20"/>
        <w:spacing w:after="0" w:line="221" w:lineRule="auto"/>
        <w:rPr>
          <w:sz w:val="20"/>
          <w:szCs w:val="20"/>
          <w:color w:val="auto"/>
        </w:rPr>
      </w:pPr>
      <w:r>
        <w:rPr>
          <w:rFonts w:ascii="Times New Roman" w:cs="Times New Roman" w:eastAsia="Times New Roman" w:hAnsi="Times New Roman"/>
          <w:sz w:val="20"/>
          <w:szCs w:val="20"/>
          <w:color w:val="auto"/>
        </w:rPr>
        <w:t>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with Exchange Act Rule 10D-1 and with the listing standards of the national securities exchange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on which the securities of the Company are listed.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Persons Covered by the Policy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62626"/>
        </w:rPr>
        <w:t>The Policy is binding and enforceable against all “</w:t>
      </w:r>
      <w:r>
        <w:rPr>
          <w:rFonts w:ascii="Times New Roman" w:cs="Times New Roman" w:eastAsia="Times New Roman" w:hAnsi="Times New Roman"/>
          <w:sz w:val="19"/>
          <w:szCs w:val="19"/>
          <w:b w:val="1"/>
          <w:bCs w:val="1"/>
          <w:color w:val="262626"/>
        </w:rPr>
        <w:t>Covered Executives</w:t>
      </w:r>
      <w:r>
        <w:rPr>
          <w:rFonts w:ascii="Times New Roman" w:cs="Times New Roman" w:eastAsia="Times New Roman" w:hAnsi="Times New Roman"/>
          <w:sz w:val="19"/>
          <w:szCs w:val="19"/>
          <w:color w:val="262626"/>
        </w:rPr>
        <w:t>.” A Covered Executive is each individual who is or was ever</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262626"/>
        </w:rPr>
        <w:t>designated as an “officer” by the Board in accordance with Exchange Act Rule 16a-1(f) (a “</w:t>
      </w:r>
      <w:r>
        <w:rPr>
          <w:rFonts w:ascii="Times New Roman" w:cs="Times New Roman" w:eastAsia="Times New Roman" w:hAnsi="Times New Roman"/>
          <w:sz w:val="20"/>
          <w:szCs w:val="20"/>
          <w:b w:val="1"/>
          <w:bCs w:val="1"/>
          <w:color w:val="262626"/>
        </w:rPr>
        <w:t>Section 16 Officer</w:t>
      </w:r>
      <w:r>
        <w:rPr>
          <w:rFonts w:ascii="Times New Roman" w:cs="Times New Roman" w:eastAsia="Times New Roman" w:hAnsi="Times New Roman"/>
          <w:sz w:val="20"/>
          <w:szCs w:val="20"/>
          <w:color w:val="262626"/>
        </w:rPr>
        <w:t>”). The Compensation Committee of the Board (the “</w:t>
      </w:r>
      <w:r>
        <w:rPr>
          <w:rFonts w:ascii="Times New Roman" w:cs="Times New Roman" w:eastAsia="Times New Roman" w:hAnsi="Times New Roman"/>
          <w:sz w:val="20"/>
          <w:szCs w:val="20"/>
          <w:b w:val="1"/>
          <w:bCs w:val="1"/>
          <w:color w:val="262626"/>
        </w:rPr>
        <w:t>Committee</w:t>
      </w:r>
      <w:r>
        <w:rPr>
          <w:rFonts w:ascii="Times New Roman" w:cs="Times New Roman" w:eastAsia="Times New Roman" w:hAnsi="Times New Roman"/>
          <w:sz w:val="20"/>
          <w:szCs w:val="20"/>
          <w:color w:val="262626"/>
        </w:rPr>
        <w:t>”) may (but is not obligated to) require a Covered Executive to sign and return to the Company an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262626"/>
        </w:rPr>
        <w:t>acknowledgement that such Covered Executive will be bound by the terms and comply with the Policy. The Policy is binding on each Covered Executive whether or not the Covered Executive signs and/or returns any acknowledgment.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 of the Policy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Committee has full delegated authority to administer the Policy. The Committee is authorized to interpret and construe the</w:t>
      </w:r>
    </w:p>
    <w:p>
      <w:pPr>
        <w:spacing w:after="0" w:line="204" w:lineRule="auto"/>
        <w:rPr>
          <w:sz w:val="20"/>
          <w:szCs w:val="20"/>
          <w:color w:val="auto"/>
        </w:rPr>
      </w:pPr>
      <w:r>
        <w:rPr>
          <w:rFonts w:ascii="Times New Roman" w:cs="Times New Roman" w:eastAsia="Times New Roman" w:hAnsi="Times New Roman"/>
          <w:sz w:val="20"/>
          <w:szCs w:val="20"/>
          <w:color w:val="auto"/>
        </w:rPr>
        <w:t>Policy and to make all determinations necessary, appropriate, or advisable for the administration of the Policy. In addition, if determined in the discretion of the Board, the Policy may be administered by the independent members of the Board or another committee of the Board</w:t>
      </w:r>
    </w:p>
    <w:p>
      <w:pPr>
        <w:spacing w:after="0" w:line="211" w:lineRule="auto"/>
        <w:rPr>
          <w:sz w:val="20"/>
          <w:szCs w:val="20"/>
          <w:color w:val="auto"/>
        </w:rPr>
      </w:pPr>
      <w:r>
        <w:rPr>
          <w:rFonts w:ascii="Times New Roman" w:cs="Times New Roman" w:eastAsia="Times New Roman" w:hAnsi="Times New Roman"/>
          <w:sz w:val="20"/>
          <w:szCs w:val="20"/>
          <w:color w:val="auto"/>
        </w:rPr>
        <w:t>made up of independent members of the Board, in which case all references to the Committee will be deemed to refer to the independent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members of the Board or the other Board committee. All determinations of the Committee will be final and binding and will be given the maximum deference permitted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Restatements Requiring Application of the Policy</w:t>
      </w:r>
    </w:p>
    <w:p>
      <w:pPr>
        <w:spacing w:after="0" w:line="193"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w:t>
      </w:r>
    </w:p>
    <w:p>
      <w:pPr>
        <w:spacing w:after="0" w:line="224" w:lineRule="auto"/>
        <w:rPr>
          <w:sz w:val="20"/>
          <w:szCs w:val="20"/>
          <w:color w:val="auto"/>
        </w:rPr>
      </w:pPr>
      <w:r>
        <w:rPr>
          <w:rFonts w:ascii="Times New Roman" w:cs="Times New Roman" w:eastAsia="Times New Roman" w:hAnsi="Times New Roman"/>
          <w:sz w:val="19"/>
          <w:szCs w:val="19"/>
          <w:color w:val="auto"/>
        </w:rPr>
        <w:t>issued financial statements that is material to the previously issued financial statements, or that would result in a material misstatement if the</w:t>
      </w:r>
    </w:p>
    <w:p>
      <w:pPr>
        <w:spacing w:after="0" w:line="204" w:lineRule="auto"/>
        <w:rPr>
          <w:sz w:val="20"/>
          <w:szCs w:val="20"/>
          <w:color w:val="auto"/>
        </w:rPr>
      </w:pPr>
      <w:r>
        <w:rPr>
          <w:rFonts w:ascii="Times New Roman" w:cs="Times New Roman" w:eastAsia="Times New Roman" w:hAnsi="Times New Roman"/>
          <w:sz w:val="20"/>
          <w:szCs w:val="20"/>
          <w:color w:val="auto"/>
        </w:rPr>
        <w:t>error were corrected in the current period or left uncorrected in the current period (an “</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then the Committee must determine the Excess Compensation, if any, that must be recovered. The Company’s obligation to recover Excess Compensation is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dependent on if or when restated financial statements are filed.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Covered by the Policy</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The Policy applies to certain </w:t>
      </w:r>
      <w:r>
        <w:rPr>
          <w:rFonts w:ascii="Times New Roman" w:cs="Times New Roman" w:eastAsia="Times New Roman" w:hAnsi="Times New Roman"/>
          <w:sz w:val="19"/>
          <w:szCs w:val="19"/>
          <w:b w:val="1"/>
          <w:bCs w:val="1"/>
          <w:color w:val="auto"/>
        </w:rPr>
        <w:t>Incentive-Based Compensation</w:t>
      </w:r>
      <w:r>
        <w:rPr>
          <w:rFonts w:ascii="Times New Roman" w:cs="Times New Roman" w:eastAsia="Times New Roman" w:hAnsi="Times New Roman"/>
          <w:sz w:val="19"/>
          <w:szCs w:val="19"/>
          <w:color w:val="auto"/>
        </w:rPr>
        <w:t xml:space="preserve"> (certain terms used in this Section are defined below) that is </w:t>
      </w:r>
      <w:r>
        <w:rPr>
          <w:rFonts w:ascii="Times New Roman" w:cs="Times New Roman" w:eastAsia="Times New Roman" w:hAnsi="Times New Roman"/>
          <w:sz w:val="19"/>
          <w:szCs w:val="19"/>
          <w:b w:val="1"/>
          <w:bCs w:val="1"/>
          <w:color w:val="auto"/>
        </w:rPr>
        <w:t>Received</w:t>
      </w:r>
      <w:r>
        <w:rPr>
          <w:rFonts w:ascii="Times New Roman" w:cs="Times New Roman" w:eastAsia="Times New Roman" w:hAnsi="Times New Roman"/>
          <w:sz w:val="19"/>
          <w:szCs w:val="19"/>
          <w:color w:val="auto"/>
        </w:rPr>
        <w:t xml:space="preserve"> on or after October 2,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xml:space="preserve">”), during the </w:t>
      </w:r>
      <w:r>
        <w:rPr>
          <w:rFonts w:ascii="Times New Roman" w:cs="Times New Roman" w:eastAsia="Times New Roman" w:hAnsi="Times New Roman"/>
          <w:sz w:val="19"/>
          <w:szCs w:val="19"/>
          <w:b w:val="1"/>
          <w:bCs w:val="1"/>
          <w:color w:val="auto"/>
        </w:rPr>
        <w:t>Covered Period</w:t>
      </w:r>
      <w:r>
        <w:rPr>
          <w:rFonts w:ascii="Times New Roman" w:cs="Times New Roman" w:eastAsia="Times New Roman" w:hAnsi="Times New Roman"/>
          <w:sz w:val="19"/>
          <w:szCs w:val="19"/>
          <w:color w:val="auto"/>
        </w:rPr>
        <w:t xml:space="preserve"> while the Company has a class of securities listed on 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national securities exchange. Incentive-Based Compensation is considered “</w:t>
      </w:r>
      <w:r>
        <w:rPr>
          <w:rFonts w:ascii="Times New Roman" w:cs="Times New Roman" w:eastAsia="Times New Roman" w:hAnsi="Times New Roman"/>
          <w:sz w:val="20"/>
          <w:szCs w:val="20"/>
          <w:b w:val="1"/>
          <w:bCs w:val="1"/>
          <w:color w:val="auto"/>
        </w:rPr>
        <w:t>Clawback Eligible Incentive-Based Compensation</w:t>
      </w:r>
      <w:r>
        <w:rPr>
          <w:rFonts w:ascii="Times New Roman" w:cs="Times New Roman" w:eastAsia="Times New Roman" w:hAnsi="Times New Roman"/>
          <w:sz w:val="20"/>
          <w:szCs w:val="20"/>
          <w:color w:val="auto"/>
        </w:rPr>
        <w:t>” if the Incentive-Based Compensation is Received by a person after such person became a Section 16 Officer and the person served as a</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16 Officer at any time during the performance period for the Incentive-Based Compensation. “</w:t>
      </w:r>
      <w:r>
        <w:rPr>
          <w:rFonts w:ascii="Times New Roman" w:cs="Times New Roman" w:eastAsia="Times New Roman" w:hAnsi="Times New Roman"/>
          <w:sz w:val="20"/>
          <w:szCs w:val="20"/>
          <w:b w:val="1"/>
          <w:bCs w:val="1"/>
          <w:color w:val="auto"/>
        </w:rPr>
        <w:t>Excess Compensation</w:t>
      </w:r>
      <w:r>
        <w:rPr>
          <w:rFonts w:ascii="Times New Roman" w:cs="Times New Roman" w:eastAsia="Times New Roman" w:hAnsi="Times New Roman"/>
          <w:sz w:val="20"/>
          <w:szCs w:val="20"/>
          <w:color w:val="auto"/>
        </w:rPr>
        <w:t>” means the</w:t>
      </w:r>
    </w:p>
    <w:p>
      <w:pPr>
        <w:spacing w:after="0" w:line="215" w:lineRule="auto"/>
        <w:rPr>
          <w:sz w:val="20"/>
          <w:szCs w:val="20"/>
          <w:color w:val="auto"/>
        </w:rPr>
      </w:pPr>
      <w:r>
        <w:rPr>
          <w:rFonts w:ascii="Times New Roman" w:cs="Times New Roman" w:eastAsia="Times New Roman" w:hAnsi="Times New Roman"/>
          <w:sz w:val="19"/>
          <w:szCs w:val="19"/>
          <w:color w:val="auto"/>
        </w:rPr>
        <w:t>amount of Clawback Eligible Incentive-Based Compensation that exceeds the amount of Clawback Eligible Incentive-Based Compensation that otherwise would have been Received had such Clawback Eligible Incentive-Based Compensation been determined based on the restated</w:t>
      </w:r>
    </w:p>
    <w:p>
      <w:pPr>
        <w:spacing w:after="0" w:line="228" w:lineRule="auto"/>
        <w:rPr>
          <w:sz w:val="20"/>
          <w:szCs w:val="20"/>
          <w:color w:val="auto"/>
        </w:rPr>
      </w:pPr>
      <w:r>
        <w:rPr>
          <w:rFonts w:ascii="Times New Roman" w:cs="Times New Roman" w:eastAsia="Times New Roman" w:hAnsi="Times New Roman"/>
          <w:sz w:val="20"/>
          <w:szCs w:val="20"/>
          <w:color w:val="auto"/>
        </w:rPr>
        <w:t>amounts. Excess Compensation must be computed without regard to any taxes paid and is referred to in the listings standards as “erroneously awarded incentive-based compensation”.</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To determine the amount of Excess Compensation for Incentive-Based Compensation based on stock price or total shareholder return, where it is not subject to mathematical recalculation directly from the information in an Accounting Restatement, the amount must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based on a reasonable estimate of the effect of the Accounting Restatement on the stock price or total shareholder return upon which the Incentive-Based Compensation was Received and the Company must maintain documentation of the determination of that reasonable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 and provide that documentation to the Exchange.</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For the avoidance of doubt, no compensation that is potentially subject to recovery under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Policy will be earned until the Company’s right to recover under the Policy has lapsed.</w:t>
      </w:r>
    </w:p>
    <w:p>
      <w:pPr>
        <w:spacing w:after="0" w:line="14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Reporting Measures</w:t>
      </w:r>
      <w:r>
        <w:rPr>
          <w:rFonts w:ascii="Times New Roman" w:cs="Times New Roman" w:eastAsia="Times New Roman" w:hAnsi="Times New Roman"/>
          <w:sz w:val="19"/>
          <w:szCs w:val="19"/>
          <w:color w:val="auto"/>
        </w:rPr>
        <w:t>” are measures that are determined and presented in accordance with the accounting principles used in preparing the Company’s financial statements, and any measures that are derived wholly or in part from such measures. Stock price and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total shareholder return are also Financial Reporting Measures. A Financial Reporting Measure need not be presented within the financial statements or included in a filing with the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Incentive-Based Compensation is “</w:t>
      </w:r>
      <w:r>
        <w:rPr>
          <w:rFonts w:ascii="Times New Roman" w:cs="Times New Roman" w:eastAsia="Times New Roman" w:hAnsi="Times New Roman"/>
          <w:sz w:val="19"/>
          <w:szCs w:val="19"/>
          <w:b w:val="1"/>
          <w:bCs w:val="1"/>
          <w:color w:val="auto"/>
        </w:rPr>
        <w:t>Received</w:t>
      </w:r>
      <w:r>
        <w:rPr>
          <w:rFonts w:ascii="Times New Roman" w:cs="Times New Roman" w:eastAsia="Times New Roman" w:hAnsi="Times New Roman"/>
          <w:sz w:val="19"/>
          <w:szCs w:val="19"/>
          <w:color w:val="auto"/>
        </w:rPr>
        <w:t>” under the Policy in the Company’s fiscal period during which the Financial Reporting</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Measure specified in the Incentive-Based Compensation award is attained, even if the payment, vesting, settlement or grant of the Incentive-Based Compensation occurs after the end of that period. For the avoidance of doubt, the Policy does not apply to Incentive-Based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for which the Financial Reporting Measure is attained prior to the Effective Date.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Period</w:t>
      </w:r>
      <w:r>
        <w:rPr>
          <w:rFonts w:ascii="Times New Roman" w:cs="Times New Roman" w:eastAsia="Times New Roman" w:hAnsi="Times New Roman"/>
          <w:sz w:val="20"/>
          <w:szCs w:val="20"/>
          <w:color w:val="auto"/>
        </w:rPr>
        <w:t>” means the three completed fiscal years immediately preceding the Accounting Restatement Determination Date.</w:t>
      </w:r>
    </w:p>
    <w:p>
      <w:pPr>
        <w:spacing w:after="0"/>
        <w:rPr>
          <w:sz w:val="20"/>
          <w:szCs w:val="20"/>
          <w:color w:val="auto"/>
        </w:rPr>
      </w:pPr>
      <w:r>
        <w:rPr>
          <w:rFonts w:ascii="Times New Roman" w:cs="Times New Roman" w:eastAsia="Times New Roman" w:hAnsi="Times New Roman"/>
          <w:sz w:val="20"/>
          <w:szCs w:val="20"/>
          <w:color w:val="auto"/>
        </w:rPr>
        <w:t>In addition, Covered Period can include certain transition periods resulting from a change in the Company’s fiscal year.</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Accounting Restatement Determination Date</w:t>
      </w:r>
      <w:r>
        <w:rPr>
          <w:rFonts w:ascii="Times New Roman" w:cs="Times New Roman" w:eastAsia="Times New Roman" w:hAnsi="Times New Roman"/>
          <w:sz w:val="19"/>
          <w:szCs w:val="19"/>
          <w:color w:val="auto"/>
        </w:rPr>
        <w:t>” means the earliest to occur of: (a) the date the Board, a committee of the Board, or</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one or more of the officers of the Company authorized to take such action if Board action is not required, concludes, or reasonably should have concluded, that the Company is required to prepare an Accounting Restatement; and (b) the date a court, regulator, or other legally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body directs the Company to prepare an Accounting Restatement.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Repayment of Excess Compensation</w:t>
      </w:r>
    </w:p>
    <w:p>
      <w:pPr>
        <w:spacing w:after="0" w:line="18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Company must recover Excess Compensation reasonably promptly and Covered Executives are required to repay Excess Compensation to the Company. Subject to applicable law, the Company may recover Excess Compensation by requiring the Covered</w:t>
      </w:r>
    </w:p>
    <w:p>
      <w:pPr>
        <w:spacing w:after="0" w:line="212" w:lineRule="auto"/>
        <w:rPr>
          <w:sz w:val="20"/>
          <w:szCs w:val="20"/>
          <w:color w:val="auto"/>
        </w:rPr>
      </w:pPr>
      <w:r>
        <w:rPr>
          <w:rFonts w:ascii="Times New Roman" w:cs="Times New Roman" w:eastAsia="Times New Roman" w:hAnsi="Times New Roman"/>
          <w:sz w:val="20"/>
          <w:szCs w:val="20"/>
          <w:color w:val="auto"/>
        </w:rPr>
        <w:t>Executive to repay such amount to the Company by direct payment to the Company or such other means or combination of means as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Committee determines to be appropriate (these determinations do not need to be identical as to each Covered Executive). These means include (but are not limited to):</w:t>
      </w:r>
    </w:p>
    <w:p>
      <w:pPr>
        <w:spacing w:after="0" w:line="157" w:lineRule="exact"/>
        <w:rPr>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200" w:lineRule="exact"/>
        <w:rPr>
          <w:sz w:val="20"/>
          <w:szCs w:val="20"/>
          <w:color w:val="auto"/>
        </w:rPr>
      </w:pPr>
    </w:p>
    <w:p>
      <w:pPr>
        <w:spacing w:after="0" w:line="201" w:lineRule="exact"/>
        <w:rPr>
          <w:sz w:val="20"/>
          <w:szCs w:val="20"/>
          <w:color w:val="auto"/>
        </w:rPr>
      </w:pPr>
    </w:p>
    <w:p>
      <w:pPr>
        <w:jc w:val="both"/>
        <w:ind w:left="1300" w:hanging="644"/>
        <w:spacing w:after="0" w:line="220" w:lineRule="auto"/>
        <w:tabs>
          <w:tab w:leader="none" w:pos="129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amount to be recovered from any unpaid or future compensation to be paid by the Company or any affiliate of the Company to the Covered Executive, including (but not limited to) payments of severance that might otherwise be due in connection with an Executive Officer’s termination of employment and without regard to whether such amounts are Incentive-Based Compensation;</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outstanding vested or unvested equity awards (including, but not limited to, time-based vesting awards), without regard to whether such awards are Incentive-Based Compensation; and/or</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other remedial and recovery action permitted by law, as determined by the Committee.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repayment of Excess Compensation must be made by a Covered Executive notwithstanding any Covered Executive’s belief</w:t>
      </w:r>
    </w:p>
    <w:p>
      <w:pPr>
        <w:spacing w:after="0" w:line="221" w:lineRule="auto"/>
        <w:rPr>
          <w:sz w:val="20"/>
          <w:szCs w:val="20"/>
          <w:color w:val="auto"/>
        </w:rPr>
      </w:pPr>
      <w:r>
        <w:rPr>
          <w:rFonts w:ascii="Times New Roman" w:cs="Times New Roman" w:eastAsia="Times New Roman" w:hAnsi="Times New Roman"/>
          <w:sz w:val="20"/>
          <w:szCs w:val="20"/>
          <w:color w:val="auto"/>
        </w:rPr>
        <w:t>(whether or not legitimate) that the Excess Compensation had been previously earned under applicable law and therefore is not subject to clawback.</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to its rights to recovery under the Policy, the Company or any affiliate of the Company may take any legal actions it</w:t>
      </w:r>
    </w:p>
    <w:p>
      <w:pPr>
        <w:spacing w:after="0" w:line="204" w:lineRule="auto"/>
        <w:rPr>
          <w:sz w:val="20"/>
          <w:szCs w:val="20"/>
          <w:color w:val="auto"/>
        </w:rPr>
      </w:pPr>
      <w:r>
        <w:rPr>
          <w:rFonts w:ascii="Times New Roman" w:cs="Times New Roman" w:eastAsia="Times New Roman" w:hAnsi="Times New Roman"/>
          <w:sz w:val="20"/>
          <w:szCs w:val="20"/>
          <w:color w:val="auto"/>
        </w:rPr>
        <w:t>determines appropriate to enforce a Covered Executive’s obligations to the Company or to discipline a Covered Executive. Failure of a Covered Executive to comply with their obligations under the Policy may result in (without limitation) termination of that Covered</w:t>
      </w:r>
    </w:p>
    <w:p>
      <w:pPr>
        <w:spacing w:after="0" w:line="211" w:lineRule="auto"/>
        <w:rPr>
          <w:sz w:val="20"/>
          <w:szCs w:val="20"/>
          <w:color w:val="auto"/>
        </w:rPr>
      </w:pPr>
      <w:r>
        <w:rPr>
          <w:rFonts w:ascii="Times New Roman" w:cs="Times New Roman" w:eastAsia="Times New Roman" w:hAnsi="Times New Roman"/>
          <w:sz w:val="20"/>
          <w:szCs w:val="20"/>
          <w:color w:val="auto"/>
        </w:rPr>
        <w:t>Executive’s employment for cause, institution of civil proceedings, reporting of misconduct to appropriate governmental authorities,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reduction of future compensation opportunities or change in role. The decision to take any actions described in the preceding sentence will not be subject to the approval of the Committee and can be made by the Board, any committee of the Board, or any duly authorized officer of</w:t>
      </w:r>
    </w:p>
    <w:p>
      <w:pPr>
        <w:spacing w:after="0" w:line="211" w:lineRule="auto"/>
        <w:rPr>
          <w:sz w:val="20"/>
          <w:szCs w:val="20"/>
          <w:color w:val="auto"/>
        </w:rPr>
      </w:pPr>
      <w:r>
        <w:rPr>
          <w:rFonts w:ascii="Times New Roman" w:cs="Times New Roman" w:eastAsia="Times New Roman" w:hAnsi="Times New Roman"/>
          <w:sz w:val="20"/>
          <w:szCs w:val="20"/>
          <w:color w:val="auto"/>
        </w:rPr>
        <w:t>the Company or of any applicable affiliate of the Company. For avoidance of doubt, any decisions of the Company or the Covered</w:t>
      </w:r>
    </w:p>
    <w:p>
      <w:pPr>
        <w:spacing w:after="0" w:line="215" w:lineRule="auto"/>
        <w:rPr>
          <w:sz w:val="20"/>
          <w:szCs w:val="20"/>
          <w:color w:val="auto"/>
        </w:rPr>
      </w:pPr>
      <w:r>
        <w:rPr>
          <w:rFonts w:ascii="Times New Roman" w:cs="Times New Roman" w:eastAsia="Times New Roman" w:hAnsi="Times New Roman"/>
          <w:sz w:val="19"/>
          <w:szCs w:val="19"/>
          <w:color w:val="auto"/>
        </w:rPr>
        <w:t>Executive’s employer to discipline a Covered Executive or terminate the employment of a Covered Executive are independent of determinations under this Policy. For example, if an Covered Executive was involved in activities that led to an Accounting Restatement, the</w:t>
      </w:r>
    </w:p>
    <w:p>
      <w:pPr>
        <w:spacing w:after="0" w:line="204" w:lineRule="auto"/>
        <w:rPr>
          <w:sz w:val="20"/>
          <w:szCs w:val="20"/>
          <w:color w:val="auto"/>
        </w:rPr>
      </w:pPr>
      <w:r>
        <w:rPr>
          <w:rFonts w:ascii="Times New Roman" w:cs="Times New Roman" w:eastAsia="Times New Roman" w:hAnsi="Times New Roman"/>
          <w:sz w:val="20"/>
          <w:szCs w:val="20"/>
          <w:color w:val="auto"/>
        </w:rPr>
        <w:t>Company’s decision as to whether to not to terminate such Covered Executive’s employment would be made under its employment arrangements with such Covered Executive and the requirement to apply this no-fault and non-discretionary clawback policy will not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determine whether any such termination was for cause (other than in a circumstance where the termination of employment was due to the Covered Executive’s failure to comply with the Policy).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Limited Exceptions to the Policy</w:t>
      </w:r>
    </w:p>
    <w:p>
      <w:pPr>
        <w:spacing w:after="0" w:line="18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Company must recover the Excess Compensation in accordance with the Policy except to the limited extent that any of the conditions set forth below is met, and the Committee determines that recovery of the Excess Compensation would be impracticable:</w:t>
      </w:r>
    </w:p>
    <w:p>
      <w:pPr>
        <w:spacing w:after="0" w:line="161" w:lineRule="exact"/>
        <w:rPr>
          <w:sz w:val="20"/>
          <w:szCs w:val="20"/>
          <w:color w:val="auto"/>
        </w:rPr>
      </w:pPr>
    </w:p>
    <w:p>
      <w:pPr>
        <w:jc w:val="both"/>
        <w:ind w:left="1300" w:hanging="644"/>
        <w:spacing w:after="0" w:line="226" w:lineRule="auto"/>
        <w:tabs>
          <w:tab w:leader="none" w:pos="129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spacing w:after="0" w:line="160" w:lineRule="exact"/>
        <w:rPr>
          <w:rFonts w:ascii="Times New Roman" w:cs="Times New Roman" w:eastAsia="Times New Roman" w:hAnsi="Times New Roman"/>
          <w:sz w:val="20"/>
          <w:szCs w:val="20"/>
          <w:color w:val="auto"/>
        </w:rPr>
      </w:pPr>
    </w:p>
    <w:p>
      <w:pPr>
        <w:ind w:left="1300" w:right="20" w:hanging="644"/>
        <w:spacing w:after="0" w:line="233" w:lineRule="auto"/>
        <w:tabs>
          <w:tab w:leader="none" w:pos="128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legal requirements as such.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Important Information in the Policy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Policy is in addition to the requirements of Section 304 of the Sarbanes-Oxley Act of 2002 that are applicable to the Company’s</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Chief Executive Officer and Chief Financial Officer, as well as any other applicable laws, regulatory requirements, rules, or pursuant to the terms of any existing Company policy or agreement providing for the recovery of compensation.</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Notwithstanding the terms of any of the Company’s organizational documents (including, but not limited to, the Company’s bylaws), any corporate policy or any contract (including, but not limited to, 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indemnification agreement), neither the Company nor any affiliate of the Company will indemnify or provide advancement for any Covered</w:t>
      </w:r>
    </w:p>
    <w:p>
      <w:pPr>
        <w:spacing w:after="0" w:line="204" w:lineRule="auto"/>
        <w:rPr>
          <w:sz w:val="20"/>
          <w:szCs w:val="20"/>
          <w:color w:val="auto"/>
        </w:rPr>
      </w:pPr>
      <w:r>
        <w:rPr>
          <w:rFonts w:ascii="Times New Roman" w:cs="Times New Roman" w:eastAsia="Times New Roman" w:hAnsi="Times New Roman"/>
          <w:sz w:val="20"/>
          <w:szCs w:val="20"/>
          <w:color w:val="auto"/>
        </w:rPr>
        <w:t>Executive against any loss of Excess Compensation. Neither the Company nor any affiliate of the Company will pay for or reimburse insurance premiums for an insurance policy that covers potential recovery obligations. In the event that the Company is required to recover</w:t>
      </w:r>
    </w:p>
    <w:p>
      <w:pPr>
        <w:spacing w:after="0" w:line="211" w:lineRule="auto"/>
        <w:rPr>
          <w:sz w:val="20"/>
          <w:szCs w:val="20"/>
          <w:color w:val="auto"/>
        </w:rPr>
      </w:pPr>
      <w:r>
        <w:rPr>
          <w:rFonts w:ascii="Times New Roman" w:cs="Times New Roman" w:eastAsia="Times New Roman" w:hAnsi="Times New Roman"/>
          <w:sz w:val="20"/>
          <w:szCs w:val="20"/>
          <w:color w:val="auto"/>
        </w:rPr>
        <w:t>Excess Compensation pursuant to the Policy from a Covered Executive who is no longer an employee pursuant to the Policy, the Company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will be entitled to seek recovery in order to comply with applicable law, regardless of the terms of any release of claims or separation agreement that individual may have signed.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Committee or Board may review and modify the Policy from time to time.</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If any provision of the Policy or the application of any such provision to any Covered Executive is adjudicated to be invalid, illegal or unenforceable in any respect, such invalidity, illegality or unenforceability will not affect any other provisions of the Policy or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application of such provision to another Covered Executive, and the invalid, illegal or unenforceable provisions will be deemed amended to the minimum extent necessary to render any such provision or application enforceable.</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Policy will terminate and no longer be enforceable when the Company ceases to be listed issuer within the meaning of Section 10D of the Exchange Act.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ACKNOWLEDGEMENT</w:t>
      </w:r>
    </w:p>
    <w:p>
      <w:pPr>
        <w:spacing w:after="0" w:line="175" w:lineRule="exact"/>
        <w:rPr>
          <w:sz w:val="20"/>
          <w:szCs w:val="20"/>
          <w:color w:val="auto"/>
        </w:rPr>
      </w:pPr>
    </w:p>
    <w:p>
      <w:pPr>
        <w:ind w:left="660" w:hanging="652"/>
        <w:spacing w:after="0" w:line="245" w:lineRule="auto"/>
        <w:tabs>
          <w:tab w:leader="none" w:pos="6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read the Compensation Recovery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Recursion Pharmaceuticals,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left="660" w:hanging="652"/>
        <w:spacing w:after="0" w:line="226" w:lineRule="auto"/>
        <w:tabs>
          <w:tab w:leader="none" w:pos="6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160" w:lineRule="exact"/>
        <w:rPr>
          <w:rFonts w:ascii="Times New Roman" w:cs="Times New Roman" w:eastAsia="Times New Roman" w:hAnsi="Times New Roman"/>
          <w:sz w:val="20"/>
          <w:szCs w:val="20"/>
          <w:color w:val="auto"/>
        </w:rPr>
      </w:pPr>
    </w:p>
    <w:p>
      <w:pPr>
        <w:ind w:left="660" w:hanging="652"/>
        <w:spacing w:after="0" w:line="233" w:lineRule="auto"/>
        <w:tabs>
          <w:tab w:leader="none" w:pos="6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to be bound by and to comply with the Policy and understand that determinations of the Committee (as such term is used in the Policy) will be final and binding and will be given the maximum deference permitted by law.</w:t>
      </w:r>
    </w:p>
    <w:p>
      <w:pPr>
        <w:spacing w:after="0" w:line="160" w:lineRule="exact"/>
        <w:rPr>
          <w:rFonts w:ascii="Times New Roman" w:cs="Times New Roman" w:eastAsia="Times New Roman" w:hAnsi="Times New Roman"/>
          <w:sz w:val="20"/>
          <w:szCs w:val="20"/>
          <w:color w:val="auto"/>
        </w:rPr>
      </w:pPr>
    </w:p>
    <w:p>
      <w:pPr>
        <w:ind w:left="660" w:hanging="652"/>
        <w:spacing w:after="0"/>
        <w:tabs>
          <w:tab w:leader="none" w:pos="6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147" w:lineRule="exact"/>
        <w:rPr>
          <w:rFonts w:ascii="Times New Roman" w:cs="Times New Roman" w:eastAsia="Times New Roman" w:hAnsi="Times New Roman"/>
          <w:sz w:val="20"/>
          <w:szCs w:val="20"/>
          <w:color w:val="auto"/>
        </w:rPr>
      </w:pPr>
    </w:p>
    <w:p>
      <w:pPr>
        <w:ind w:left="660" w:hanging="652"/>
        <w:spacing w:after="0"/>
        <w:tabs>
          <w:tab w:leader="none" w:pos="6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failure to comply in all respects with the Policy is a basis for termination of my employment with the Company and any affiliate of the Company, as well as any other appropriate discipline.</w:t>
      </w:r>
    </w:p>
    <w:p>
      <w:pPr>
        <w:spacing w:after="0" w:line="161" w:lineRule="exact"/>
        <w:rPr>
          <w:rFonts w:ascii="Times New Roman" w:cs="Times New Roman" w:eastAsia="Times New Roman" w:hAnsi="Times New Roman"/>
          <w:sz w:val="20"/>
          <w:szCs w:val="20"/>
          <w:color w:val="auto"/>
        </w:rPr>
      </w:pPr>
    </w:p>
    <w:p>
      <w:pPr>
        <w:ind w:left="660" w:hanging="652"/>
        <w:spacing w:after="0" w:line="233" w:lineRule="auto"/>
        <w:tabs>
          <w:tab w:leader="none" w:pos="6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neither the Policy, nor the application of the Policy to me, gives rise to a resignation for good reason (or similar concept) by me under any applicable employment agreement or arrangement.</w:t>
      </w:r>
    </w:p>
    <w:p>
      <w:pPr>
        <w:spacing w:after="0" w:line="160" w:lineRule="exact"/>
        <w:rPr>
          <w:rFonts w:ascii="Times New Roman" w:cs="Times New Roman" w:eastAsia="Times New Roman" w:hAnsi="Times New Roman"/>
          <w:sz w:val="20"/>
          <w:szCs w:val="20"/>
          <w:color w:val="auto"/>
        </w:rPr>
      </w:pPr>
    </w:p>
    <w:p>
      <w:pPr>
        <w:ind w:left="660" w:hanging="652"/>
        <w:spacing w:after="0"/>
        <w:tabs>
          <w:tab w:leader="none" w:pos="6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if I have questions concerning the meaning or application of the Policy, it is my responsibility to seek guidance from the Legal Department or my own personal advisers.</w:t>
      </w:r>
    </w:p>
    <w:p>
      <w:pPr>
        <w:spacing w:after="0" w:line="147"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neither this Acknowledgement nor the Policy is meant to constitute an employment contract.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review, sign, and return this form to People Operations.</w:t>
      </w:r>
    </w:p>
    <w:p>
      <w:pPr>
        <w:spacing w:after="0" w:line="2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Covered Executive</w:t>
      </w:r>
    </w:p>
    <w:p>
      <w:pPr>
        <w:spacing w:after="0" w:line="200" w:lineRule="exact"/>
        <w:rPr>
          <w:sz w:val="20"/>
          <w:szCs w:val="20"/>
          <w:color w:val="auto"/>
        </w:rPr>
      </w:pPr>
    </w:p>
    <w:p>
      <w:pPr>
        <w:spacing w:after="0" w:line="3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-128270</wp:posOffset>
            </wp:positionV>
            <wp:extent cx="1257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-128270</wp:posOffset>
            </wp:positionV>
            <wp:extent cx="1257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-128270</wp:posOffset>
            </wp:positionV>
            <wp:extent cx="1257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1"/>
      <w:numFmt w:val="bullet"/>
      <w:start w:val="1"/>
    </w:lvl>
  </w:abstractNum>
  <w:abstractNum w:abstractNumId="26">
    <w:nsid w:val="73A1821B"/>
    <w:multiLevelType w:val="hybridMultilevel"/>
    <w:lvl w:ilvl="0">
      <w:lvlJc w:val="left"/>
      <w:lvlText w:val="3"/>
      <w:numFmt w:val="bullet"/>
      <w:start w:val="1"/>
    </w:lvl>
  </w:abstractNum>
  <w:abstractNum w:abstractNumId="27">
    <w:nsid w:val="7DE67713"/>
    <w:multiLevelType w:val="hybridMultilevel"/>
    <w:lvl w:ilvl="0">
      <w:lvlJc w:val="left"/>
      <w:lvlText w:val="4"/>
      <w:numFmt w:val="bullet"/>
      <w:start w:val="1"/>
    </w:lvl>
  </w:abstractNum>
  <w:abstractNum w:abstractNumId="28">
    <w:nsid w:val="555C55B5"/>
    <w:multiLevelType w:val="hybridMultilevel"/>
    <w:lvl w:ilvl="0">
      <w:lvlJc w:val="left"/>
      <w:lvlText w:val="5"/>
      <w:numFmt w:val="bullet"/>
      <w:start w:val="1"/>
    </w:lvl>
  </w:abstractNum>
  <w:abstractNum w:abstractNumId="29">
    <w:nsid w:val="3FA62ACA"/>
    <w:multiLevelType w:val="hybridMultilevel"/>
    <w:lvl w:ilvl="0">
      <w:lvlJc w:val="left"/>
      <w:lvlText w:val="6"/>
      <w:numFmt w:val="bullet"/>
      <w:start w:val="1"/>
    </w:lvl>
  </w:abstractNum>
  <w:abstractNum w:abstractNumId="30">
    <w:nsid w:val="14FCE74E"/>
    <w:multiLevelType w:val="hybridMultilevel"/>
    <w:lvl w:ilvl="0">
      <w:lvlJc w:val="left"/>
      <w:lvlText w:val="%1."/>
      <w:numFmt w:val="decimal"/>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8"/>
      <w:numFmt w:val="bullet"/>
      <w:start w:val="1"/>
    </w:lvl>
  </w:abstractNum>
  <w:abstractNum w:abstractNumId="33">
    <w:nsid w:val="9DAF632"/>
    <w:multiLevelType w:val="hybridMultilevel"/>
    <w:lvl w:ilvl="0">
      <w:lvlJc w:val="left"/>
      <w:lvlText w:val="9"/>
      <w:numFmt w:val="bullet"/>
      <w:start w:val="1"/>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
      <w:numFmt w:val="bullet"/>
      <w:start w:val="1"/>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1"/>
      <w:numFmt w:val="decimal"/>
      <w:start w:val="10"/>
    </w:lvl>
  </w:abstractNum>
  <w:abstractNum w:abstractNumId="39">
    <w:nsid w:val="288F1A34"/>
    <w:multiLevelType w:val="hybridMultilevel"/>
    <w:lvl w:ilvl="0">
      <w:lvlJc w:val="left"/>
      <w:lvlText w:val="%1"/>
      <w:numFmt w:val="decimal"/>
      <w:start w:val="1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1"/>
      <w:numFmt w:val="decimal"/>
      <w:start w:val="12"/>
    </w:lvl>
  </w:abstractNum>
  <w:abstractNum w:abstractNumId="42">
    <w:nsid w:val="97E1B4E"/>
    <w:multiLevelType w:val="hybridMultilevel"/>
    <w:lvl w:ilvl="0">
      <w:lvlJc w:val="left"/>
      <w:lvlText w:val="%1"/>
      <w:numFmt w:val="decimal"/>
      <w:start w:val="15"/>
    </w:lvl>
  </w:abstractNum>
  <w:abstractNum w:abstractNumId="43">
    <w:nsid w:val="51088277"/>
    <w:multiLevelType w:val="hybridMultilevel"/>
    <w:lvl w:ilvl="0">
      <w:lvlJc w:val="left"/>
      <w:lvlText w:val="%1"/>
      <w:numFmt w:val="decimal"/>
      <w:start w:val="16"/>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1"/>
      <w:numFmt w:val="decimal"/>
      <w:start w:val="18"/>
    </w:lvl>
  </w:abstractNum>
  <w:abstractNum w:abstractNumId="46">
    <w:nsid w:val="415E286C"/>
    <w:multiLevelType w:val="hybridMultilevel"/>
    <w:lvl w:ilvl="0">
      <w:lvlJc w:val="left"/>
      <w:lvlText w:val="%1."/>
      <w:numFmt w:val="decimal"/>
      <w:start w:val="733"/>
    </w:lvl>
  </w:abstractNum>
  <w:abstractNum w:abstractNumId="47">
    <w:nsid w:val="7C58FD05"/>
    <w:multiLevelType w:val="hybridMultilevel"/>
    <w:lvl w:ilvl="0">
      <w:lvlJc w:val="left"/>
      <w:lvlText w:val="•"/>
      <w:numFmt w:val="bullet"/>
      <w:start w:val="1"/>
    </w:lvl>
  </w:abstractNum>
  <w:abstractNum w:abstractNumId="48">
    <w:nsid w:val="23D86AAC"/>
    <w:multiLevelType w:val="hybridMultilevel"/>
    <w:lvl w:ilvl="0">
      <w:lvlJc w:val="left"/>
      <w:lvlText w:val="•"/>
      <w:numFmt w:val="bullet"/>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1"/>
      <w:numFmt w:val="decimal"/>
      <w:start w:val="19"/>
    </w:lvl>
  </w:abstractNum>
  <w:abstractNum w:abstractNumId="51">
    <w:nsid w:val="E7FFA2B"/>
    <w:multiLevelType w:val="hybridMultilevel"/>
    <w:lvl w:ilvl="0">
      <w:lvlJc w:val="left"/>
      <w:lvlText w:val="•"/>
      <w:numFmt w:val="bullet"/>
      <w:start w:val="1"/>
    </w:lvl>
  </w:abstractNum>
  <w:abstractNum w:abstractNumId="52">
    <w:nsid w:val="3C5991AA"/>
    <w:multiLevelType w:val="hybridMultilevel"/>
    <w:lvl w:ilvl="0">
      <w:lvlJc w:val="left"/>
      <w:lvlText w:val="•"/>
      <w:numFmt w:val="bullet"/>
      <w:start w:val="1"/>
    </w:lvl>
  </w:abstractNum>
  <w:abstractNum w:abstractNumId="53">
    <w:nsid w:val="4BD8591A"/>
    <w:multiLevelType w:val="hybridMultilevel"/>
    <w:lvl w:ilvl="0">
      <w:lvlJc w:val="left"/>
      <w:lvlText w:val="•"/>
      <w:numFmt w:val="bullet"/>
      <w:start w:val="1"/>
    </w:lvl>
  </w:abstractNum>
  <w:abstractNum w:abstractNumId="54">
    <w:nsid w:val="78DF6A55"/>
    <w:multiLevelType w:val="hybridMultilevel"/>
    <w:lvl w:ilvl="0">
      <w:lvlJc w:val="left"/>
      <w:lvlText w:val="•"/>
      <w:numFmt w:val="bullet"/>
      <w:start w:val="1"/>
    </w:lvl>
  </w:abstractNum>
  <w:abstractNum w:abstractNumId="55">
    <w:nsid w:val="39B7AAA2"/>
    <w:multiLevelType w:val="hybridMultilevel"/>
    <w:lvl w:ilvl="0">
      <w:lvlJc w:val="left"/>
      <w:lvlText w:val="%1"/>
      <w:numFmt w:val="decimal"/>
      <w:start w:val="20"/>
    </w:lvl>
  </w:abstractNum>
  <w:abstractNum w:abstractNumId="56">
    <w:nsid w:val="2B0D8DBE"/>
    <w:multiLevelType w:val="hybridMultilevel"/>
    <w:lvl w:ilvl="0">
      <w:lvlJc w:val="left"/>
      <w:lvlText w:val="•"/>
      <w:numFmt w:val="bullet"/>
      <w:start w:val="1"/>
    </w:lvl>
  </w:abstractNum>
  <w:abstractNum w:abstractNumId="57">
    <w:nsid w:val="6C80EC70"/>
    <w:multiLevelType w:val="hybridMultilevel"/>
    <w:lvl w:ilvl="0">
      <w:lvlJc w:val="left"/>
      <w:lvlText w:val="•"/>
      <w:numFmt w:val="bullet"/>
      <w:start w:val="1"/>
    </w:lvl>
    <w:lvl w:ilvl="1">
      <w:lvlJc w:val="left"/>
      <w:lvlText w:val="▪"/>
      <w:numFmt w:val="bullet"/>
      <w:start w:val="1"/>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
      <w:numFmt w:val="bullet"/>
      <w:start w:val="1"/>
    </w:lvl>
  </w:abstractNum>
  <w:abstractNum w:abstractNumId="62">
    <w:nsid w:val="6AA7B75C"/>
    <w:multiLevelType w:val="hybridMultilevel"/>
    <w:lvl w:ilvl="0">
      <w:lvlJc w:val="left"/>
      <w:lvlText w:val="•"/>
      <w:numFmt w:val="bullet"/>
      <w:start w:val="1"/>
    </w:lvl>
  </w:abstractNum>
  <w:abstractNum w:abstractNumId="63">
    <w:nsid w:val="1DF029D3"/>
    <w:multiLevelType w:val="hybridMultilevel"/>
    <w:lvl w:ilvl="0">
      <w:lvlJc w:val="left"/>
      <w:lvlText w:val="•"/>
      <w:numFmt w:val="bullet"/>
      <w:start w:val="1"/>
    </w:lvl>
  </w:abstractNum>
  <w:abstractNum w:abstractNumId="64">
    <w:nsid w:val="5675FF36"/>
    <w:multiLevelType w:val="hybridMultilevel"/>
    <w:lvl w:ilvl="0">
      <w:lvlJc w:val="left"/>
      <w:lvlText w:val="•"/>
      <w:numFmt w:val="bullet"/>
      <w:start w:val="1"/>
    </w:lvl>
  </w:abstractNum>
  <w:abstractNum w:abstractNumId="65">
    <w:nsid w:val="3DD15094"/>
    <w:multiLevelType w:val="hybridMultilevel"/>
    <w:lvl w:ilvl="0">
      <w:lvlJc w:val="left"/>
      <w:lvlText w:val="•"/>
      <w:numFmt w:val="bullet"/>
      <w:start w:val="1"/>
    </w:lvl>
  </w:abstractNum>
  <w:abstractNum w:abstractNumId="66">
    <w:nsid w:val="3DB012B3"/>
    <w:multiLevelType w:val="hybridMultilevel"/>
    <w:lvl w:ilvl="0">
      <w:lvlJc w:val="left"/>
      <w:lvlText w:val="•"/>
      <w:numFmt w:val="bullet"/>
      <w:start w:val="1"/>
    </w:lvl>
  </w:abstractNum>
  <w:abstractNum w:abstractNumId="67">
    <w:nsid w:val="2708C9AF"/>
    <w:multiLevelType w:val="hybridMultilevel"/>
    <w:lvl w:ilvl="0">
      <w:lvlJc w:val="left"/>
      <w:lvlText w:val="•"/>
      <w:numFmt w:val="bullet"/>
      <w:start w:val="1"/>
    </w:lvl>
  </w:abstractNum>
  <w:abstractNum w:abstractNumId="68">
    <w:nsid w:val="5B25ACE2"/>
    <w:multiLevelType w:val="hybridMultilevel"/>
    <w:lvl w:ilvl="0">
      <w:lvlJc w:val="left"/>
      <w:lvlText w:val="•"/>
      <w:numFmt w:val="bullet"/>
      <w:start w:val="1"/>
    </w:lvl>
  </w:abstractNum>
  <w:abstractNum w:abstractNumId="69">
    <w:nsid w:val="175DFCF0"/>
    <w:multiLevelType w:val="hybridMultilevel"/>
    <w:lvl w:ilvl="0">
      <w:lvlJc w:val="left"/>
      <w:lvlText w:val="•"/>
      <w:numFmt w:val="bullet"/>
      <w:start w:val="1"/>
    </w:lvl>
  </w:abstractNum>
  <w:abstractNum w:abstractNumId="70">
    <w:nsid w:val="4F97E3E4"/>
    <w:multiLevelType w:val="hybridMultilevel"/>
    <w:lvl w:ilvl="0">
      <w:lvlJc w:val="left"/>
      <w:lvlText w:val="•"/>
      <w:numFmt w:val="bullet"/>
      <w:start w:val="1"/>
    </w:lvl>
  </w:abstractNum>
  <w:abstractNum w:abstractNumId="71">
    <w:nsid w:val="53B0A9E"/>
    <w:multiLevelType w:val="hybridMultilevel"/>
    <w:lvl w:ilvl="0">
      <w:lvlJc w:val="left"/>
      <w:lvlText w:val="•"/>
      <w:numFmt w:val="bullet"/>
      <w:start w:val="1"/>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
      <w:numFmt w:val="bullet"/>
      <w:start w:val="1"/>
    </w:lvl>
  </w:abstractNum>
  <w:abstractNum w:abstractNumId="74">
    <w:nsid w:val="56438D15"/>
    <w:multiLevelType w:val="hybridMultilevel"/>
    <w:lvl w:ilvl="0">
      <w:lvlJc w:val="left"/>
      <w:lvlText w:val="•"/>
      <w:numFmt w:val="bullet"/>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
      <w:numFmt w:val="bullet"/>
      <w:start w:val="1"/>
    </w:lvl>
  </w:abstractNum>
  <w:abstractNum w:abstractNumId="77">
    <w:nsid w:val="17A1B582"/>
    <w:multiLevelType w:val="hybridMultilevel"/>
    <w:lvl w:ilvl="0">
      <w:lvlJc w:val="left"/>
      <w:lvlText w:val="•"/>
      <w:numFmt w:val="bullet"/>
      <w:start w:val="1"/>
    </w:lvl>
  </w:abstractNum>
  <w:abstractNum w:abstractNumId="78">
    <w:nsid w:val="4DF72E4E"/>
    <w:multiLevelType w:val="hybridMultilevel"/>
    <w:lvl w:ilvl="0">
      <w:lvlJc w:val="left"/>
      <w:lvlText w:val="•"/>
      <w:numFmt w:val="bullet"/>
      <w:start w:val="1"/>
    </w:lvl>
  </w:abstractNum>
  <w:abstractNum w:abstractNumId="79">
    <w:nsid w:val="5046B5A9"/>
    <w:multiLevelType w:val="hybridMultilevel"/>
    <w:lvl w:ilvl="0">
      <w:lvlJc w:val="left"/>
      <w:lvlText w:val="•"/>
      <w:numFmt w:val="bullet"/>
      <w:start w:val="1"/>
    </w:lvl>
  </w:abstractNum>
  <w:abstractNum w:abstractNumId="80">
    <w:nsid w:val="5D888A08"/>
    <w:multiLevelType w:val="hybridMultilevel"/>
    <w:lvl w:ilvl="0">
      <w:lvlJc w:val="left"/>
      <w:lvlText w:val="•"/>
      <w:numFmt w:val="bullet"/>
      <w:start w:val="1"/>
    </w:lvl>
  </w:abstractNum>
  <w:abstractNum w:abstractNumId="81">
    <w:nsid w:val="2A082C70"/>
    <w:multiLevelType w:val="hybridMultilevel"/>
    <w:lvl w:ilvl="0">
      <w:lvlJc w:val="left"/>
      <w:lvlText w:val="•"/>
      <w:numFmt w:val="bullet"/>
      <w:start w:val="1"/>
    </w:lvl>
  </w:abstractNum>
  <w:abstractNum w:abstractNumId="82">
    <w:nsid w:val="5EC6AFD4"/>
    <w:multiLevelType w:val="hybridMultilevel"/>
    <w:lvl w:ilvl="0">
      <w:lvlJc w:val="left"/>
      <w:lvlText w:val="•"/>
      <w:numFmt w:val="bullet"/>
      <w:start w:val="1"/>
    </w:lvl>
  </w:abstractNum>
  <w:abstractNum w:abstractNumId="83">
    <w:nsid w:val="19E21BB2"/>
    <w:multiLevelType w:val="hybridMultilevel"/>
    <w:lvl w:ilvl="0">
      <w:lvlJc w:val="left"/>
      <w:lvlText w:val="•"/>
      <w:numFmt w:val="bullet"/>
      <w:start w:val="1"/>
    </w:lvl>
  </w:abstractNum>
  <w:abstractNum w:abstractNumId="84">
    <w:nsid w:val="75E0858A"/>
    <w:multiLevelType w:val="hybridMultilevel"/>
    <w:lvl w:ilvl="0">
      <w:lvlJc w:val="left"/>
      <w:lvlText w:val="•"/>
      <w:numFmt w:val="bullet"/>
      <w:start w:val="1"/>
    </w:lvl>
  </w:abstractNum>
  <w:abstractNum w:abstractNumId="85">
    <w:nsid w:val="57A61A29"/>
    <w:multiLevelType w:val="hybridMultilevel"/>
    <w:lvl w:ilvl="0">
      <w:lvlJc w:val="left"/>
      <w:lvlText w:val="•"/>
      <w:numFmt w:val="bullet"/>
      <w:start w:val="1"/>
    </w:lvl>
    <w:lvl w:ilvl="1">
      <w:lvlJc w:val="left"/>
      <w:lvlText w:val="•"/>
      <w:numFmt w:val="bullet"/>
      <w:start w:val="1"/>
    </w:lvl>
  </w:abstractNum>
  <w:abstractNum w:abstractNumId="86">
    <w:nsid w:val="5399C654"/>
    <w:multiLevelType w:val="hybridMultilevel"/>
    <w:lvl w:ilvl="0">
      <w:lvlJc w:val="left"/>
      <w:lvlText w:val="•"/>
      <w:numFmt w:val="bullet"/>
      <w:start w:val="1"/>
    </w:lvl>
  </w:abstractNum>
  <w:abstractNum w:abstractNumId="87">
    <w:nsid w:val="20EE1348"/>
    <w:multiLevelType w:val="hybridMultilevel"/>
    <w:lvl w:ilvl="0">
      <w:lvlJc w:val="left"/>
      <w:lvlText w:val="•"/>
      <w:numFmt w:val="bullet"/>
      <w:start w:val="1"/>
    </w:lvl>
  </w:abstractNum>
  <w:abstractNum w:abstractNumId="88">
    <w:nsid w:val="4427069A"/>
    <w:multiLevelType w:val="hybridMultilevel"/>
    <w:lvl w:ilvl="0">
      <w:lvlJc w:val="left"/>
      <w:lvlText w:val="•"/>
      <w:numFmt w:val="bullet"/>
      <w:start w:val="1"/>
    </w:lvl>
  </w:abstractNum>
  <w:abstractNum w:abstractNumId="89">
    <w:nsid w:val="B37E80A"/>
    <w:multiLevelType w:val="hybridMultilevel"/>
    <w:lvl w:ilvl="0">
      <w:lvlJc w:val="left"/>
      <w:lvlText w:val="•"/>
      <w:numFmt w:val="bullet"/>
      <w:start w:val="1"/>
    </w:lvl>
  </w:abstractNum>
  <w:abstractNum w:abstractNumId="90">
    <w:nsid w:val="2157F6BC"/>
    <w:multiLevelType w:val="hybridMultilevel"/>
    <w:lvl w:ilvl="0">
      <w:lvlJc w:val="left"/>
      <w:lvlText w:val="•"/>
      <w:numFmt w:val="bullet"/>
      <w:start w:val="1"/>
    </w:lvl>
  </w:abstractNum>
  <w:abstractNum w:abstractNumId="91">
    <w:nsid w:val="704E1DD5"/>
    <w:multiLevelType w:val="hybridMultilevel"/>
    <w:lvl w:ilvl="0">
      <w:lvlJc w:val="left"/>
      <w:lvlText w:val="•"/>
      <w:numFmt w:val="bullet"/>
      <w:start w:val="1"/>
    </w:lvl>
  </w:abstractNum>
  <w:abstractNum w:abstractNumId="92">
    <w:nsid w:val="57D2F10E"/>
    <w:multiLevelType w:val="hybridMultilevel"/>
    <w:lvl w:ilvl="0">
      <w:lvlJc w:val="left"/>
      <w:lvlText w:val="•"/>
      <w:numFmt w:val="bullet"/>
      <w:start w:val="1"/>
    </w:lvl>
  </w:abstractNum>
  <w:abstractNum w:abstractNumId="93">
    <w:nsid w:val="BFFAE18"/>
    <w:multiLevelType w:val="hybridMultilevel"/>
    <w:lvl w:ilvl="0">
      <w:lvlJc w:val="left"/>
      <w:lvlText w:val="%1."/>
      <w:numFmt w:val="decimal"/>
      <w:start w:val="1"/>
    </w:lvl>
  </w:abstractNum>
  <w:abstractNum w:abstractNumId="94">
    <w:nsid w:val="E3E47A8"/>
    <w:multiLevelType w:val="hybridMultilevel"/>
    <w:lvl w:ilvl="0">
      <w:lvlJc w:val="left"/>
      <w:lvlText w:val="•"/>
      <w:numFmt w:val="bullet"/>
      <w:start w:val="1"/>
    </w:lvl>
  </w:abstractNum>
  <w:abstractNum w:abstractNumId="95">
    <w:nsid w:val="2E48F044"/>
    <w:multiLevelType w:val="hybridMultilevel"/>
    <w:lvl w:ilvl="0">
      <w:lvlJc w:val="left"/>
      <w:lvlText w:val="•"/>
      <w:numFmt w:val="bullet"/>
      <w:start w:val="1"/>
    </w:lvl>
  </w:abstractNum>
  <w:abstractNum w:abstractNumId="96">
    <w:nsid w:val="49D0FEAC"/>
    <w:multiLevelType w:val="hybridMultilevel"/>
    <w:lvl w:ilvl="0">
      <w:lvlJc w:val="left"/>
      <w:lvlText w:val="•"/>
      <w:numFmt w:val="bullet"/>
      <w:start w:val="1"/>
    </w:lvl>
  </w:abstractNum>
  <w:abstractNum w:abstractNumId="97">
    <w:nsid w:val="4BEE5A5B"/>
    <w:multiLevelType w:val="hybridMultilevel"/>
    <w:lvl w:ilvl="0">
      <w:lvlJc w:val="left"/>
      <w:lvlText w:val="•"/>
      <w:numFmt w:val="bullet"/>
      <w:start w:val="1"/>
    </w:lvl>
  </w:abstractNum>
  <w:abstractNum w:abstractNumId="98">
    <w:nsid w:val="5551B9F3"/>
    <w:multiLevelType w:val="hybridMultilevel"/>
    <w:lvl w:ilvl="0">
      <w:lvlJc w:val="left"/>
      <w:lvlText w:val="•"/>
      <w:numFmt w:val="bullet"/>
      <w:start w:val="1"/>
    </w:lvl>
  </w:abstractNum>
  <w:abstractNum w:abstractNumId="99">
    <w:nsid w:val="24F6AB8E"/>
    <w:multiLevelType w:val="hybridMultilevel"/>
    <w:lvl w:ilvl="0">
      <w:lvlJc w:val="left"/>
      <w:lvlText w:val="•"/>
      <w:numFmt w:val="bullet"/>
      <w:start w:val="1"/>
    </w:lvl>
  </w:abstractNum>
  <w:abstractNum w:abstractNumId="100">
    <w:nsid w:val="634C574C"/>
    <w:multiLevelType w:val="hybridMultilevel"/>
    <w:lvl w:ilvl="0">
      <w:lvlJc w:val="left"/>
      <w:lvlText w:val="(%1)"/>
      <w:numFmt w:val="lowerLetter"/>
      <w:start w:val="1"/>
    </w:lvl>
    <w:lvl w:ilvl="1">
      <w:lvlJc w:val="left"/>
      <w:lvlText w:val="(%2)"/>
      <w:numFmt w:val="decimal"/>
      <w:start w:val="1"/>
    </w:lvl>
  </w:abstractNum>
  <w:abstractNum w:abstractNumId="101">
    <w:nsid w:val="24E99DD7"/>
    <w:multiLevelType w:val="hybridMultilevel"/>
    <w:lvl w:ilvl="0">
      <w:lvlJc w:val="left"/>
      <w:lvlText w:val="+"/>
      <w:numFmt w:val="bullet"/>
      <w:start w:val="1"/>
    </w:lvl>
  </w:abstractNum>
  <w:abstractNum w:abstractNumId="102">
    <w:nsid w:val="2A31B62D"/>
    <w:multiLevelType w:val="hybridMultilevel"/>
    <w:lvl w:ilvl="0">
      <w:lvlJc w:val="left"/>
      <w:lvlText w:val="#"/>
      <w:numFmt w:val="bullet"/>
      <w:start w:val="1"/>
    </w:lvl>
  </w:abstractNum>
  <w:abstractNum w:abstractNumId="103">
    <w:nsid w:val="1849C29B"/>
    <w:multiLevelType w:val="hybridMultilevel"/>
    <w:lvl w:ilvl="0">
      <w:lvlJc w:val="left"/>
      <w:lvlText w:val="^"/>
      <w:numFmt w:val="bullet"/>
      <w:start w:val="1"/>
    </w:lvl>
  </w:abstractNum>
  <w:abstractNum w:abstractNumId="104">
    <w:nsid w:val="7DFF9D09"/>
    <w:multiLevelType w:val="hybridMultilevel"/>
    <w:lvl w:ilvl="0">
      <w:lvlJc w:val="left"/>
      <w:lvlText w:val="*"/>
      <w:numFmt w:val="bullet"/>
      <w:start w:val="1"/>
    </w:lvl>
  </w:abstractNum>
  <w:abstractNum w:abstractNumId="105">
    <w:nsid w:val="754342"/>
    <w:multiLevelType w:val="hybridMultilevel"/>
    <w:lvl w:ilvl="0">
      <w:lvlJc w:val="left"/>
      <w:lvlText w:val="•"/>
      <w:numFmt w:val="bullet"/>
      <w:start w:val="1"/>
    </w:lvl>
  </w:abstractNum>
  <w:abstractNum w:abstractNumId="106">
    <w:nsid w:val="69E7F3E5"/>
    <w:multiLevelType w:val="hybridMultilevel"/>
    <w:lvl w:ilvl="0">
      <w:lvlJc w:val="left"/>
      <w:lvlText w:val="%1."/>
      <w:numFmt w:val="decimal"/>
      <w:start w:val="3"/>
    </w:lvl>
  </w:abstractNum>
  <w:abstractNum w:abstractNumId="107">
    <w:nsid w:val="2A6DE806"/>
    <w:multiLevelType w:val="hybridMultilevel"/>
    <w:lvl w:ilvl="0">
      <w:lvlJc w:val="left"/>
      <w:lvlText w:val="%1."/>
      <w:numFmt w:val="decimal"/>
      <w:start w:val="7"/>
    </w:lvl>
  </w:abstractNum>
  <w:abstractNum w:abstractNumId="108">
    <w:nsid w:val="1816F8C4"/>
    <w:multiLevelType w:val="hybridMultilevel"/>
    <w:lvl w:ilvl="0">
      <w:lvlJc w:val="left"/>
      <w:lvlText w:val="%1."/>
      <w:numFmt w:val="decimal"/>
      <w:start w:val="15"/>
    </w:lvl>
  </w:abstractNum>
  <w:abstractNum w:abstractNumId="109">
    <w:nsid w:val="37DF2233"/>
    <w:multiLevelType w:val="hybridMultilevel"/>
    <w:lvl w:ilvl="0">
      <w:lvlJc w:val="left"/>
      <w:lvlText w:val="%1."/>
      <w:numFmt w:val="decimal"/>
      <w:start w:val="1"/>
    </w:lvl>
  </w:abstractNum>
  <w:abstractNum w:abstractNumId="110">
    <w:nsid w:val="7AB49DAF"/>
    <w:multiLevelType w:val="hybridMultilevel"/>
    <w:lvl w:ilvl="0">
      <w:lvlJc w:val="left"/>
      <w:lvlText w:val="(%1)"/>
      <w:numFmt w:val="lowerRoman"/>
      <w:start w:val="2"/>
    </w:lvl>
  </w:abstractNum>
  <w:abstractNum w:abstractNumId="111">
    <w:nsid w:val="759F82CD"/>
    <w:multiLevelType w:val="hybridMultilevel"/>
    <w:lvl w:ilvl="0">
      <w:lvlJc w:val="left"/>
      <w:lvlText w:val="(%1)"/>
      <w:numFmt w:val="lowerRoman"/>
      <w:start w:val="1"/>
    </w:lvl>
  </w:abstractNum>
  <w:abstractNum w:abstractNumId="112">
    <w:nsid w:val="61E74EA3"/>
    <w:multiLevelType w:val="hybridMultilevel"/>
    <w:lvl w:ilvl="0">
      <w:lvlJc w:val="left"/>
      <w:lvlText w:val="%1."/>
      <w:numFmt w:val="decimal"/>
      <w:start w:val="2"/>
    </w:lvl>
  </w:abstractNum>
  <w:abstractNum w:abstractNumId="113">
    <w:nsid w:val="597B4D84"/>
    <w:multiLevelType w:val="hybridMultilevel"/>
    <w:lvl w:ilvl="0">
      <w:lvlJc w:val="left"/>
      <w:lvlText w:val="•"/>
      <w:numFmt w:val="bullet"/>
      <w:start w:val="1"/>
    </w:lvl>
  </w:abstractNum>
  <w:abstractNum w:abstractNumId="114">
    <w:nsid w:val="F819E7F"/>
    <w:multiLevelType w:val="hybridMultilevel"/>
    <w:lvl w:ilvl="0">
      <w:lvlJc w:val="left"/>
      <w:lvlText w:val="%1."/>
      <w:numFmt w:val="decimal"/>
      <w:start w:val="3"/>
    </w:lvl>
  </w:abstractNum>
  <w:abstractNum w:abstractNumId="115">
    <w:nsid w:val="57C7D42D"/>
    <w:multiLevelType w:val="hybridMultilevel"/>
    <w:lvl w:ilvl="0">
      <w:lvlJc w:val="left"/>
      <w:lvlText w:val="(%1)"/>
      <w:numFmt w:val="lowerLetter"/>
      <w:start w:val="1"/>
    </w:lvl>
  </w:abstractNum>
  <w:abstractNum w:abstractNumId="116">
    <w:nsid w:val="312167AD"/>
    <w:multiLevelType w:val="hybridMultilevel"/>
    <w:lvl w:ilvl="0">
      <w:lvlJc w:val="left"/>
      <w:lvlText w:val="%1."/>
      <w:numFmt w:val="decimal"/>
      <w:start w:val="3"/>
    </w:lvl>
    <w:lvl w:ilvl="1">
      <w:lvlJc w:val="left"/>
      <w:lvlText w:val="•"/>
      <w:numFmt w:val="bullet"/>
      <w:start w:val="1"/>
    </w:lvl>
  </w:abstractNum>
  <w:abstractNum w:abstractNumId="117">
    <w:nsid w:val="631B64D4"/>
    <w:multiLevelType w:val="hybridMultilevel"/>
    <w:lvl w:ilvl="0">
      <w:lvlJc w:val="left"/>
      <w:lvlText w:val="(%1)"/>
      <w:numFmt w:val="lowerLetter"/>
      <w:start w:val="1"/>
    </w:lvl>
  </w:abstractNum>
  <w:abstractNum w:abstractNumId="118">
    <w:nsid w:val="78B5E776"/>
    <w:multiLevelType w:val="hybridMultilevel"/>
    <w:lvl w:ilvl="0">
      <w:lvlJc w:val="left"/>
      <w:lvlText w:val="%1."/>
      <w:numFmt w:val="decimal"/>
      <w:start w:val="5"/>
    </w:lvl>
  </w:abstractNum>
  <w:abstractNum w:abstractNumId="119">
    <w:nsid w:val="75486E47"/>
    <w:multiLevelType w:val="hybridMultilevel"/>
    <w:lvl w:ilvl="0">
      <w:lvlJc w:val="left"/>
      <w:lvlText w:val="%1."/>
      <w:numFmt w:val="decimal"/>
      <w:start w:val="6"/>
    </w:lvl>
  </w:abstractNum>
  <w:abstractNum w:abstractNumId="120">
    <w:nsid w:val="6E534CDE"/>
    <w:multiLevelType w:val="hybridMultilevel"/>
    <w:lvl w:ilvl="0">
      <w:lvlJc w:val="left"/>
      <w:lvlText w:val="%1."/>
      <w:numFmt w:val="decimal"/>
      <w:start w:val="7"/>
    </w:lvl>
  </w:abstractNum>
  <w:abstractNum w:abstractNumId="121">
    <w:nsid w:val="1A0DDE32"/>
    <w:multiLevelType w:val="hybridMultilevel"/>
    <w:lvl w:ilvl="0">
      <w:lvlJc w:val="left"/>
      <w:lvlText w:val="%1."/>
      <w:numFmt w:val="decimal"/>
      <w:start w:val="8"/>
    </w:lvl>
  </w:abstractNum>
  <w:abstractNum w:abstractNumId="122">
    <w:nsid w:val="65968C1C"/>
    <w:multiLevelType w:val="hybridMultilevel"/>
    <w:lvl w:ilvl="0">
      <w:lvlJc w:val="left"/>
      <w:lvlText w:val="(%1)"/>
      <w:numFmt w:val="lowerRoman"/>
      <w:start w:val="1"/>
    </w:lvl>
  </w:abstractNum>
  <w:abstractNum w:abstractNumId="123">
    <w:nsid w:val="46263DEC"/>
    <w:multiLevelType w:val="hybridMultilevel"/>
    <w:lvl w:ilvl="0">
      <w:lvlJc w:val="left"/>
      <w:lvlText w:val="[***]"/>
      <w:numFmt w:val="bullet"/>
      <w:start w:val="1"/>
    </w:lvl>
  </w:abstractNum>
  <w:abstractNum w:abstractNumId="124">
    <w:nsid w:val="260D8C4A"/>
    <w:multiLevelType w:val="hybridMultilevel"/>
    <w:lvl w:ilvl="0">
      <w:lvlJc w:val="left"/>
      <w:lvlText w:val="%1."/>
      <w:numFmt w:val="decimal"/>
      <w:start w:val="9"/>
    </w:lvl>
  </w:abstractNum>
  <w:abstractNum w:abstractNumId="125">
    <w:nsid w:val="73D4D3C4"/>
    <w:multiLevelType w:val="hybridMultilevel"/>
    <w:lvl w:ilvl="0">
      <w:lvlJc w:val="left"/>
      <w:lvlText w:val="%1."/>
      <w:numFmt w:val="decimal"/>
      <w:start w:val="10"/>
    </w:lvl>
  </w:abstractNum>
  <w:abstractNum w:abstractNumId="126">
    <w:nsid w:val="746F2E30"/>
    <w:multiLevelType w:val="hybridMultilevel"/>
    <w:lvl w:ilvl="0">
      <w:lvlJc w:val="left"/>
      <w:lvlText w:val="%1."/>
      <w:numFmt w:val="decimal"/>
      <w:start w:val="11"/>
    </w:lvl>
  </w:abstractNum>
  <w:abstractNum w:abstractNumId="127">
    <w:nsid w:val="6FDE8AF6"/>
    <w:multiLevelType w:val="hybridMultilevel"/>
    <w:lvl w:ilvl="0">
      <w:lvlJc w:val="left"/>
      <w:lvlText w:val="(%1)"/>
      <w:numFmt w:val="lowerLetter"/>
      <w:start w:val="1"/>
    </w:lvl>
  </w:abstractNum>
  <w:abstractNum w:abstractNumId="128">
    <w:nsid w:val="3FC32E20"/>
    <w:multiLevelType w:val="hybridMultilevel"/>
    <w:lvl w:ilvl="0">
      <w:lvlJc w:val="left"/>
      <w:lvlText w:val="(%1)"/>
      <w:numFmt w:val="lowerLetter"/>
      <w:start w:val="4"/>
    </w:lvl>
  </w:abstractNum>
  <w:abstractNum w:abstractNumId="129">
    <w:nsid w:val="49C0E823"/>
    <w:multiLevelType w:val="hybridMultilevel"/>
    <w:lvl w:ilvl="0">
      <w:lvlJc w:val="left"/>
      <w:lvlText w:val="%1."/>
      <w:numFmt w:val="decimal"/>
      <w:start w:val="12"/>
    </w:lvl>
  </w:abstractNum>
  <w:abstractNum w:abstractNumId="130">
    <w:nsid w:val="14D53685"/>
    <w:multiLevelType w:val="hybridMultilevel"/>
    <w:lvl w:ilvl="0">
      <w:lvlJc w:val="left"/>
      <w:lvlText w:val="%1."/>
      <w:numFmt w:val="decimal"/>
      <w:start w:val="13"/>
    </w:lvl>
  </w:abstractNum>
  <w:abstractNum w:abstractNumId="131">
    <w:nsid w:val="230F856C"/>
    <w:multiLevelType w:val="hybridMultilevel"/>
    <w:lvl w:ilvl="0">
      <w:lvlJc w:val="left"/>
      <w:lvlText w:val="[***]"/>
      <w:numFmt w:val="bullet"/>
      <w:start w:val="1"/>
    </w:lvl>
  </w:abstractNum>
  <w:abstractNum w:abstractNumId="132">
    <w:nsid w:val="6EAA85FB"/>
    <w:multiLevelType w:val="hybridMultilevel"/>
    <w:lvl w:ilvl="0">
      <w:lvlJc w:val="left"/>
      <w:lvlText w:val="%1."/>
      <w:numFmt w:val="decimal"/>
      <w:start w:val="14"/>
    </w:lvl>
  </w:abstractNum>
  <w:abstractNum w:abstractNumId="133">
    <w:nsid w:val="3F06ECB2"/>
    <w:multiLevelType w:val="hybridMultilevel"/>
    <w:lvl w:ilvl="0">
      <w:lvlJc w:val="left"/>
      <w:lvlText w:val="%1."/>
      <w:numFmt w:val="decimal"/>
      <w:start w:val="15"/>
    </w:lvl>
  </w:abstractNum>
  <w:abstractNum w:abstractNumId="134">
    <w:nsid w:val="3B594807"/>
    <w:multiLevelType w:val="hybridMultilevel"/>
    <w:lvl w:ilvl="0">
      <w:lvlJc w:val="left"/>
      <w:lvlText w:val="(%1)"/>
      <w:numFmt w:val="lowerRoman"/>
      <w:start w:val="1"/>
    </w:lvl>
  </w:abstractNum>
  <w:abstractNum w:abstractNumId="135">
    <w:nsid w:val="6CAA2304"/>
    <w:multiLevelType w:val="hybridMultilevel"/>
    <w:lvl w:ilvl="0">
      <w:lvlJc w:val="left"/>
      <w:lvlText w:val="%1."/>
      <w:numFmt w:val="decimal"/>
      <w:start w:val="16"/>
    </w:lvl>
  </w:abstractNum>
  <w:abstractNum w:abstractNumId="136">
    <w:nsid w:val="3F7C2FF4"/>
    <w:multiLevelType w:val="hybridMultilevel"/>
    <w:lvl w:ilvl="0">
      <w:lvlJc w:val="left"/>
      <w:lvlText w:val="%1."/>
      <w:numFmt w:val="decimal"/>
      <w:start w:val="17"/>
    </w:lvl>
  </w:abstractNum>
  <w:abstractNum w:abstractNumId="137">
    <w:nsid w:val="25413BEC"/>
    <w:multiLevelType w:val="hybridMultilevel"/>
    <w:lvl w:ilvl="0">
      <w:lvlJc w:val="left"/>
      <w:lvlText w:val="%1."/>
      <w:numFmt w:val="decimal"/>
      <w:start w:val="4"/>
    </w:lvl>
  </w:abstractNum>
  <w:abstractNum w:abstractNumId="138">
    <w:nsid w:val="17180B0B"/>
    <w:multiLevelType w:val="hybridMultilevel"/>
    <w:lvl w:ilvl="0">
      <w:lvlJc w:val="left"/>
      <w:lvlText w:val="%1."/>
      <w:numFmt w:val="decimal"/>
      <w:start w:val="10"/>
    </w:lvl>
  </w:abstractNum>
  <w:abstractNum w:abstractNumId="139">
    <w:nsid w:val="579328B9"/>
    <w:multiLevelType w:val="hybridMultilevel"/>
    <w:lvl w:ilvl="0">
      <w:lvlJc w:val="left"/>
      <w:lvlText w:val="%1."/>
      <w:numFmt w:val="decimal"/>
      <w:start w:val="14"/>
    </w:lvl>
  </w:abstractNum>
  <w:abstractNum w:abstractNumId="140">
    <w:nsid w:val="5D205E20"/>
    <w:multiLevelType w:val="hybridMultilevel"/>
    <w:lvl w:ilvl="0">
      <w:lvlJc w:val="left"/>
      <w:lvlText w:val="%1."/>
      <w:numFmt w:val="decimal"/>
      <w:start w:val="1"/>
    </w:lvl>
  </w:abstractNum>
  <w:abstractNum w:abstractNumId="141">
    <w:nsid w:val="11CCA8BA"/>
    <w:multiLevelType w:val="hybridMultilevel"/>
    <w:lvl w:ilvl="0">
      <w:lvlJc w:val="left"/>
      <w:lvlText w:val="(%1)"/>
      <w:numFmt w:val="lowerRoman"/>
      <w:start w:val="1"/>
    </w:lvl>
  </w:abstractNum>
  <w:abstractNum w:abstractNumId="142">
    <w:nsid w:val="4D32AB86"/>
    <w:multiLevelType w:val="hybridMultilevel"/>
    <w:lvl w:ilvl="0">
      <w:lvlJc w:val="left"/>
      <w:lvlText w:val="(%1)"/>
      <w:numFmt w:val="upperLetter"/>
      <w:start w:val="3"/>
    </w:lvl>
  </w:abstractNum>
  <w:abstractNum w:abstractNumId="143">
    <w:nsid w:val="3F07ACC3"/>
    <w:multiLevelType w:val="hybridMultilevel"/>
    <w:lvl w:ilvl="0">
      <w:lvlJc w:val="left"/>
      <w:lvlText w:val="%1."/>
      <w:numFmt w:val="decimal"/>
      <w:start w:val="2"/>
    </w:lvl>
  </w:abstractNum>
  <w:abstractNum w:abstractNumId="144">
    <w:nsid w:val="6B47F63E"/>
    <w:multiLevelType w:val="hybridMultilevel"/>
    <w:lvl w:ilvl="0">
      <w:lvlJc w:val="left"/>
      <w:lvlText w:val="%1."/>
      <w:numFmt w:val="decimal"/>
      <w:start w:val="3"/>
    </w:lvl>
  </w:abstractNum>
  <w:abstractNum w:abstractNumId="145">
    <w:nsid w:val="5CB44A05"/>
    <w:multiLevelType w:val="hybridMultilevel"/>
    <w:lvl w:ilvl="0">
      <w:lvlJc w:val="left"/>
      <w:lvlText w:val="%1."/>
      <w:numFmt w:val="decimal"/>
      <w:start w:val="4"/>
    </w:lvl>
  </w:abstractNum>
  <w:abstractNum w:abstractNumId="146">
    <w:nsid w:val="16CF80F1"/>
    <w:multiLevelType w:val="hybridMultilevel"/>
    <w:lvl w:ilvl="0">
      <w:lvlJc w:val="left"/>
      <w:lvlText w:val="%1."/>
      <w:numFmt w:val="decimal"/>
      <w:start w:val="5"/>
    </w:lvl>
  </w:abstractNum>
  <w:abstractNum w:abstractNumId="147">
    <w:nsid w:val="1C695DEC"/>
    <w:multiLevelType w:val="hybridMultilevel"/>
    <w:lvl w:ilvl="0">
      <w:lvlJc w:val="left"/>
      <w:lvlText w:val="(%1)"/>
      <w:numFmt w:val="lowerLetter"/>
      <w:start w:val="2"/>
    </w:lvl>
  </w:abstractNum>
  <w:abstractNum w:abstractNumId="148">
    <w:nsid w:val="3FCFAED9"/>
    <w:multiLevelType w:val="hybridMultilevel"/>
    <w:lvl w:ilvl="0">
      <w:lvlJc w:val="left"/>
      <w:lvlText w:val="%1."/>
      <w:numFmt w:val="decimal"/>
      <w:start w:val="7"/>
    </w:lvl>
  </w:abstractNum>
  <w:abstractNum w:abstractNumId="149">
    <w:nsid w:val="F856867"/>
    <w:multiLevelType w:val="hybridMultilevel"/>
    <w:lvl w:ilvl="0">
      <w:lvlJc w:val="left"/>
      <w:lvlText w:val="%1."/>
      <w:numFmt w:val="decimal"/>
      <w:start w:val="8"/>
    </w:lvl>
    <w:lvl w:ilvl="1">
      <w:lvlJc w:val="left"/>
      <w:lvlText w:val="%2."/>
      <w:numFmt w:val="upperLetter"/>
      <w:start w:val="9"/>
    </w:lvl>
  </w:abstractNum>
  <w:abstractNum w:abstractNumId="150">
    <w:nsid w:val="11B1CC33"/>
    <w:multiLevelType w:val="hybridMultilevel"/>
    <w:lvl w:ilvl="0">
      <w:lvlJc w:val="left"/>
      <w:lvlText w:val="%1."/>
      <w:numFmt w:val="upperLetter"/>
      <w:start w:val="35"/>
    </w:lvl>
  </w:abstractNum>
  <w:abstractNum w:abstractNumId="151">
    <w:nsid w:val="2E22FBB7"/>
    <w:multiLevelType w:val="hybridMultilevel"/>
    <w:lvl w:ilvl="0">
      <w:lvlJc w:val="left"/>
      <w:lvlText w:val="%1."/>
      <w:numFmt w:val="upperLetter"/>
      <w:start w:val="22"/>
    </w:lvl>
  </w:abstractNum>
  <w:abstractNum w:abstractNumId="152">
    <w:nsid w:val="29934699"/>
    <w:multiLevelType w:val="hybridMultilevel"/>
    <w:lvl w:ilvl="0">
      <w:lvlJc w:val="left"/>
      <w:lvlText w:val="%1"/>
      <w:numFmt w:val="decimal"/>
      <w:start w:val="1"/>
    </w:lvl>
    <w:lvl w:ilvl="1">
      <w:lvlJc w:val="left"/>
      <w:lvlText w:val="%2)"/>
      <w:numFmt w:val="lowerLetter"/>
      <w:start w:val="1"/>
    </w:lvl>
  </w:abstractNum>
  <w:abstractNum w:abstractNumId="153">
    <w:nsid w:val="77485850"/>
    <w:multiLevelType w:val="hybridMultilevel"/>
    <w:lvl w:ilvl="0">
      <w:lvlJc w:val="left"/>
      <w:lvlText w:val="%1."/>
      <w:numFmt w:val="decimal"/>
      <w:start w:val="9"/>
    </w:lvl>
    <w:lvl w:ilvl="1">
      <w:lvlJc w:val="left"/>
      <w:lvlText w:val="%2"/>
      <w:numFmt w:val="lowerLetter"/>
      <w:start w:val="1"/>
    </w:lvl>
  </w:abstractNum>
  <w:abstractNum w:abstractNumId="154">
    <w:nsid w:val="744939A3"/>
    <w:multiLevelType w:val="hybridMultilevel"/>
    <w:lvl w:ilvl="0">
      <w:lvlJc w:val="left"/>
      <w:lvlText w:val="(%1)"/>
      <w:numFmt w:val="lowerRoman"/>
      <w:start w:val="1"/>
    </w:lvl>
  </w:abstractNum>
  <w:abstractNum w:abstractNumId="155">
    <w:nsid w:val="4FA0D2E3"/>
    <w:multiLevelType w:val="hybridMultilevel"/>
    <w:lvl w:ilvl="0">
      <w:lvlJc w:val="left"/>
      <w:lvlText w:val="(%1)"/>
      <w:numFmt w:val="lowerRoman"/>
      <w:start w:val="1"/>
    </w:lvl>
  </w:abstractNum>
  <w:abstractNum w:abstractNumId="156">
    <w:nsid w:val="6B1D2C14"/>
    <w:multiLevelType w:val="hybridMultilevel"/>
    <w:lvl w:ilvl="0">
      <w:lvlJc w:val="left"/>
      <w:lvlText w:val="%1."/>
      <w:numFmt w:val="decimal"/>
      <w:start w:val="10"/>
    </w:lvl>
  </w:abstractNum>
  <w:abstractNum w:abstractNumId="157">
    <w:nsid w:val="68B867D3"/>
    <w:multiLevelType w:val="hybridMultilevel"/>
    <w:lvl w:ilvl="0">
      <w:lvlJc w:val="left"/>
      <w:lvlText w:val="%1."/>
      <w:numFmt w:val="decimal"/>
      <w:start w:val="11"/>
    </w:lvl>
  </w:abstractNum>
  <w:abstractNum w:abstractNumId="158">
    <w:nsid w:val="3F7F5DD9"/>
    <w:multiLevelType w:val="hybridMultilevel"/>
    <w:lvl w:ilvl="0">
      <w:lvlJc w:val="left"/>
      <w:lvlText w:val="(%1)"/>
      <w:numFmt w:val="lowerLetter"/>
      <w:start w:val="1"/>
    </w:lvl>
  </w:abstractNum>
  <w:abstractNum w:abstractNumId="159">
    <w:nsid w:val="2AE05A34"/>
    <w:multiLevelType w:val="hybridMultilevel"/>
    <w:lvl w:ilvl="0">
      <w:lvlJc w:val="left"/>
      <w:lvlText w:val="(%1)"/>
      <w:numFmt w:val="lowerLetter"/>
      <w:start w:val="5"/>
    </w:lvl>
  </w:abstractNum>
  <w:abstractNum w:abstractNumId="160">
    <w:nsid w:val="32794FF7"/>
    <w:multiLevelType w:val="hybridMultilevel"/>
    <w:lvl w:ilvl="0">
      <w:lvlJc w:val="left"/>
      <w:lvlText w:val="(%1)"/>
      <w:numFmt w:val="lowerLetter"/>
      <w:start w:val="1"/>
    </w:lvl>
  </w:abstractNum>
  <w:abstractNum w:abstractNumId="161">
    <w:nsid w:val="5454945E"/>
    <w:multiLevelType w:val="hybridMultilevel"/>
    <w:lvl w:ilvl="0">
      <w:lvlJc w:val="left"/>
      <w:lvlText w:val="[***]"/>
      <w:numFmt w:val="bullet"/>
      <w:start w:val="1"/>
    </w:lvl>
  </w:abstractNum>
  <w:abstractNum w:abstractNumId="162">
    <w:nsid w:val="4DEFDFA0"/>
    <w:multiLevelType w:val="hybridMultilevel"/>
    <w:lvl w:ilvl="0">
      <w:lvlJc w:val="left"/>
      <w:lvlText w:val="(%1)"/>
      <w:numFmt w:val="lowerLetter"/>
      <w:start w:val="1"/>
    </w:lvl>
  </w:abstractNum>
  <w:abstractNum w:abstractNumId="163">
    <w:nsid w:val="2123D5F2"/>
    <w:multiLevelType w:val="hybridMultilevel"/>
    <w:lvl w:ilvl="0">
      <w:lvlJc w:val="left"/>
      <w:lvlText w:val="%1."/>
      <w:numFmt w:val="decimal"/>
      <w:start w:val="12"/>
    </w:lvl>
  </w:abstractNum>
  <w:abstractNum w:abstractNumId="164">
    <w:nsid w:val="135B8110"/>
    <w:multiLevelType w:val="hybridMultilevel"/>
    <w:lvl w:ilvl="0">
      <w:lvlJc w:val="left"/>
      <w:lvlText w:val="%1."/>
      <w:numFmt w:val="decimal"/>
      <w:start w:val="14"/>
    </w:lvl>
  </w:abstractNum>
  <w:abstractNum w:abstractNumId="165">
    <w:nsid w:val="94927A8"/>
    <w:multiLevelType w:val="hybridMultilevel"/>
    <w:lvl w:ilvl="0">
      <w:lvlJc w:val="left"/>
      <w:lvlText w:val="%1."/>
      <w:numFmt w:val="decimal"/>
      <w:start w:val="15"/>
    </w:lvl>
  </w:abstractNum>
  <w:abstractNum w:abstractNumId="166">
    <w:nsid w:val="DCDF8F6"/>
    <w:multiLevelType w:val="hybridMultilevel"/>
    <w:lvl w:ilvl="0">
      <w:lvlJc w:val="left"/>
      <w:lvlText w:val="%1."/>
      <w:numFmt w:val="decimal"/>
      <w:start w:val="16"/>
    </w:lvl>
  </w:abstractNum>
  <w:abstractNum w:abstractNumId="167">
    <w:nsid w:val="52D7B105"/>
    <w:multiLevelType w:val="hybridMultilevel"/>
    <w:lvl w:ilvl="0">
      <w:lvlJc w:val="left"/>
      <w:lvlText w:val="%1."/>
      <w:numFmt w:val="decimal"/>
      <w:start w:val="17"/>
    </w:lvl>
  </w:abstractNum>
  <w:abstractNum w:abstractNumId="168">
    <w:nsid w:val="2E8A6394"/>
    <w:multiLevelType w:val="hybridMultilevel"/>
    <w:lvl w:ilvl="0">
      <w:lvlJc w:val="left"/>
      <w:lvlText w:val="%1)"/>
      <w:numFmt w:val="decimal"/>
      <w:start w:val="1"/>
    </w:lvl>
  </w:abstractNum>
  <w:abstractNum w:abstractNumId="169">
    <w:nsid w:val="24E60401"/>
    <w:multiLevelType w:val="hybridMultilevel"/>
    <w:lvl w:ilvl="0">
      <w:lvlJc w:val="left"/>
      <w:lvlText w:val="%1."/>
      <w:numFmt w:val="decimal"/>
      <w:start w:val="1"/>
    </w:lvl>
    <w:lvl w:ilvl="1">
      <w:lvlJc w:val="left"/>
      <w:lvlText w:val="(%2)"/>
      <w:numFmt w:val="lowerLetter"/>
      <w:start w:val="1"/>
    </w:lvl>
  </w:abstractNum>
  <w:abstractNum w:abstractNumId="170">
    <w:nsid w:val="2A6AD9BE"/>
    <w:multiLevelType w:val="hybridMultilevel"/>
    <w:lvl w:ilvl="0">
      <w:lvlJc w:val="left"/>
      <w:lvlText w:val="%1."/>
      <w:numFmt w:val="decimal"/>
      <w:start w:val="1"/>
    </w:lvl>
    <w:lvl w:ilvl="1">
      <w:lvlJc w:val="left"/>
      <w:lvlText w:val="(%2)"/>
      <w:numFmt w:val="lowerLetter"/>
      <w:start w:val="1"/>
    </w:lvl>
  </w:abstractNum>
  <w:abstractNum w:abstractNumId="171">
    <w:nsid w:val="BAAC1B4"/>
    <w:multiLevelType w:val="hybridMultilevel"/>
    <w:lvl w:ilvl="0">
      <w:lvlJc w:val="left"/>
      <w:lvlText w:val="%1."/>
      <w:numFmt w:val="decimal"/>
      <w:start w:val="1"/>
    </w:lvl>
  </w:abstractNum>
  <w:abstractNum w:abstractNumId="172">
    <w:nsid w:val="36B2ACBC"/>
    <w:multiLevelType w:val="hybridMultilevel"/>
    <w:lvl w:ilvl="0">
      <w:lvlJc w:val="left"/>
      <w:lvlText w:val="(%1)"/>
      <w:numFmt w:val="lowerLetter"/>
      <w:start w:val="1"/>
    </w:lvl>
  </w:abstractNum>
  <w:abstractNum w:abstractNumId="173">
    <w:nsid w:val="779D8544"/>
    <w:multiLevelType w:val="hybridMultilevel"/>
    <w:lvl w:ilvl="0">
      <w:lvlJc w:val="left"/>
      <w:lvlText w:val="(%1)"/>
      <w:numFmt w:val="lowerLetter"/>
      <w:start w:val="3"/>
    </w:lvl>
  </w:abstractNum>
  <w:abstractNum w:abstractNumId="174">
    <w:nsid w:val="4AB26E78"/>
    <w:multiLevelType w:val="hybridMultilevel"/>
    <w:lvl w:ilvl="0">
      <w:lvlJc w:val="left"/>
      <w:lvlText w:val="(%1)"/>
      <w:numFmt w:val="lowerLetter"/>
      <w:start w:val="1"/>
    </w:lvl>
  </w:abstractNum>
  <w:abstractNum w:abstractNumId="175">
    <w:nsid w:val="21FAA2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53" Type="http://schemas.openxmlformats.org/officeDocument/2006/relationships/image" Target="media/image326.png"/><Relationship Id="rId354"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33" Type="http://schemas.openxmlformats.org/officeDocument/2006/relationships/hyperlink" Target="https://www.sec.gov/Archives/edgar/data/0001601830/000119312521123764/d149444dex31.htm" TargetMode="External"/><Relationship Id="rId334" Type="http://schemas.openxmlformats.org/officeDocument/2006/relationships/hyperlink" Target="https://www.sec.gov/Archives/edgar/data/1601830/000160183024000009/a1-25x24amendedbylaws.htm" TargetMode="External"/><Relationship Id="rId335" Type="http://schemas.openxmlformats.org/officeDocument/2006/relationships/hyperlink" Target="https://www.sec.gov/Archives/edgar/data/0001601830/000119312521089610/d89478dex42.htm" TargetMode="External"/><Relationship Id="rId336" Type="http://schemas.openxmlformats.org/officeDocument/2006/relationships/hyperlink" Target="https://www.sec.gov/Archives/edgar/data/1601830/000160183023000036/exhibit42-valencexexchange.htm" TargetMode="External"/><Relationship Id="rId337" Type="http://schemas.openxmlformats.org/officeDocument/2006/relationships/hyperlink" Target="https://www.sec.gov/Archives/edgar/data/1601830/000119312522268003/d365090dex102.htm" TargetMode="External"/><Relationship Id="rId338" Type="http://schemas.openxmlformats.org/officeDocument/2006/relationships/hyperlink" Target="https://www.sec.gov/Archives/edgar/data/1601830/000160183023000036/exhibit43-valencexregistra.htm" TargetMode="External"/><Relationship Id="rId339" Type="http://schemas.openxmlformats.org/officeDocument/2006/relationships/hyperlink" Target="https://www.sec.gov/Archives/edgar/data/1601830/000160183023000044/exhibit41registrationagree.htm" TargetMode="External"/><Relationship Id="rId340" Type="http://schemas.openxmlformats.org/officeDocument/2006/relationships/hyperlink" Target="https://www.sec.gov/Archives/edgar/data/1601830/000160183023000050/ex102-rxrxxnvidiaregrights.htm" TargetMode="External"/><Relationship Id="rId341" Type="http://schemas.openxmlformats.org/officeDocument/2006/relationships/hyperlink" Target="https://www.sec.gov/Archives/edgar/data/0001601830/000119312521089610/d89478dex101.htm" TargetMode="External"/><Relationship Id="rId342" Type="http://schemas.openxmlformats.org/officeDocument/2006/relationships/hyperlink" Target="https://www.sec.gov/Archives/edgar/data/1601830/000119312521112364/d89478dex102.htm" TargetMode="External"/><Relationship Id="rId343" Type="http://schemas.openxmlformats.org/officeDocument/2006/relationships/hyperlink" Target="https://www.sec.gov/Archives/edgar/data/1601830/000160183023000010/exhibit103equityincentivep.htm" TargetMode="External"/><Relationship Id="rId344" Type="http://schemas.openxmlformats.org/officeDocument/2006/relationships/hyperlink" Target="https://www.sec.gov/Archives/edgar/data/1601830/000119312521112364/d89478dex104.htm" TargetMode="External"/><Relationship Id="rId345" Type="http://schemas.openxmlformats.org/officeDocument/2006/relationships/hyperlink" Target="https://www.sec.gov/Archives/edgar/data/1601830/000160183023000038/exhibit44-secondamendedand.htm" TargetMode="External"/><Relationship Id="rId346" Type="http://schemas.openxmlformats.org/officeDocument/2006/relationships/hyperlink" Target="https://www.sec.gov/Archives/edgar/data/1601830/000160183023000029/ex44valenceoptionplan.htm" TargetMode="External"/><Relationship Id="rId347" Type="http://schemas.openxmlformats.org/officeDocument/2006/relationships/hyperlink" Target="https://www.sec.gov/Archives/edgar/data/0001601830/000119312521089610/d89478dex1020.htm" TargetMode="External"/><Relationship Id="rId348" Type="http://schemas.openxmlformats.org/officeDocument/2006/relationships/hyperlink" Target="https://www.sec.gov/Archives/edgar/data/0001601830/000119312521089610/d89478dex1021.htm" TargetMode="External"/><Relationship Id="rId349" Type="http://schemas.openxmlformats.org/officeDocument/2006/relationships/hyperlink" Target="https://www.sec.gov/Archives/edgar/data/0001601830/000119312521089610/d89478dex1010.htm" TargetMode="External"/><Relationship Id="rId350" Type="http://schemas.openxmlformats.org/officeDocument/2006/relationships/hyperlink" Target="https://www.sec.gov/Archives/edgar/data/0001601830/000119312521089610/d89478dex1011.htm" TargetMode="External"/><Relationship Id="rId351" Type="http://schemas.openxmlformats.org/officeDocument/2006/relationships/hyperlink" Target="http://www.sec.gov/Archives/edgar/data/0001601830/000119312521089610/d89478dex105.htm" TargetMode="External"/><Relationship Id="rId352" Type="http://schemas.openxmlformats.org/officeDocument/2006/relationships/hyperlink" Target="https://www.sec.gov/Archives/edgar/data/0001601830/000119312521089610/d89478dex107.htm" TargetMode="External"/><Relationship Id="rId355" Type="http://schemas.openxmlformats.org/officeDocument/2006/relationships/hyperlink" Target="https://www.sec.gov/Archives/edgar/data/0001601830/000119312521089610/d89478dex108.htm" TargetMode="External"/><Relationship Id="rId356" Type="http://schemas.openxmlformats.org/officeDocument/2006/relationships/hyperlink" Target="https://www.sec.gov/Archives/edgar/data/0001601830/000160183023000057/exhibit101-cmoofferletter.htm" TargetMode="External"/><Relationship Id="rId357" Type="http://schemas.openxmlformats.org/officeDocument/2006/relationships/hyperlink" Target="http://www.sec.gov/Archives/edgar/data/0001601830/000119312521089610/d89478dex109.htm" TargetMode="External"/><Relationship Id="rId358" Type="http://schemas.openxmlformats.org/officeDocument/2006/relationships/hyperlink" Target="https://www.sec.gov/Archives/edgar/data/1601830/000119312521112364/d89478dex1022.htm" TargetMode="External"/><Relationship Id="rId359" Type="http://schemas.openxmlformats.org/officeDocument/2006/relationships/hyperlink" Target="https://www.sec.gov/Archives/edgar/data/1601830/000119312521112364/d89478dex1023.htm" TargetMode="External"/><Relationship Id="rId360" Type="http://schemas.openxmlformats.org/officeDocument/2006/relationships/hyperlink" Target="https://www.sec.gov/Archives/edgar/data/1601830/000160183023000010/exhibit108-vestarofficel.htm" TargetMode="External"/><Relationship Id="rId361" Type="http://schemas.openxmlformats.org/officeDocument/2006/relationships/hyperlink" Target="https://www.sec.gov/Archives/edgar/data/0001601830/000119312521089610/d89478dex1014.htm" TargetMode="External"/><Relationship Id="rId362" Type="http://schemas.openxmlformats.org/officeDocument/2006/relationships/hyperlink" Target="https://www.sec.gov/Archives/edgar/data/1601830/000160183022000012/exhibit1011-bayercollabora.htm" TargetMode="External"/><Relationship Id="rId363" Type="http://schemas.openxmlformats.org/officeDocument/2006/relationships/hyperlink" Target="https://www.sec.gov/Archives/edgar/data/0001601830/000119312521089610/d89478dex1015.htm" TargetMode="External"/><Relationship Id="rId364" Type="http://schemas.openxmlformats.org/officeDocument/2006/relationships/hyperlink" Target="https://www.sec.gov/Archives/edgar/data/0001601830/000119312521089610/d89478dex1016.htm" TargetMode="External"/><Relationship Id="rId365" Type="http://schemas.openxmlformats.org/officeDocument/2006/relationships/hyperlink" Target="https://www.sec.gov/Archives/edgar/data/0001601830/000119312521089610/d89478dex1017.htm" TargetMode="External"/><Relationship Id="rId366" Type="http://schemas.openxmlformats.org/officeDocument/2006/relationships/hyperlink" Target="https://www.sec.gov/Archives/edgar/data/1601830/000160183022000012/exhibit1025-rochecollabora.htm" TargetMode="External"/><Relationship Id="rId367" Type="http://schemas.openxmlformats.org/officeDocument/2006/relationships/hyperlink" Target="https://www.sec.gov/Archives/edgar/data/0001601830/000160183023000069/exhibit104-masteragreement.htm" TargetMode="External"/><Relationship Id="rId368" Type="http://schemas.openxmlformats.org/officeDocument/2006/relationships/hyperlink" Target="https://www.sec.gov/Archives/edgar/data/1601830/000119312522268003/d365090dex101.htm" TargetMode="External"/><Relationship Id="rId369" Type="http://schemas.openxmlformats.org/officeDocument/2006/relationships/hyperlink" Target="https://www.sec.gov/Archives/edgar/data/1601830/000160183023000050/ex101-rxrxnvidiastockpurch.htm" TargetMode="External"/><Relationship Id="rId370" Type="http://schemas.openxmlformats.org/officeDocument/2006/relationships/hyperlink" Target="https://www.sec.gov/Archives/edgar/data/1601830/000160183023000057/exhibit106-atmsales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2024-02-29T07:56:03Z</dcterms:created>
  <dcterms:modified xsi:type="dcterms:W3CDTF">2024-02-29T07:56:03Z</dcterms:modified>
</cp:coreProperties>
</file>