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100000</w:t>
            </w:r>
          </w:p>
        </w:tc>
        <w:tc>
          <w:tcPr>
            <w:tcW w:w="1377" w:type="dxa"/>
            <w:tcBorders/>
            <w:vAlign w:val="center"/>
          </w:tcPr>
          <w:p>
            <w:pPr>
              <w:pStyle w:val="TableContents"/>
              <w:bidi w:val="0"/>
              <w:spacing w:before="0" w:after="283"/>
              <w:jc w:val="left"/>
              <w:rPr/>
            </w:pPr>
            <w:r>
              <w:rPr/>
              <w:t>330472.68</w:t>
            </w:r>
          </w:p>
        </w:tc>
        <w:tc>
          <w:tcPr>
            <w:tcW w:w="1552" w:type="dxa"/>
            <w:tcBorders/>
            <w:vAlign w:val="center"/>
          </w:tcPr>
          <w:p>
            <w:pPr>
              <w:pStyle w:val="TableContents"/>
              <w:bidi w:val="0"/>
              <w:spacing w:before="0" w:after="283"/>
              <w:jc w:val="left"/>
              <w:rPr/>
            </w:pPr>
            <w:r>
              <w:rPr/>
              <w:t>524677865</w:t>
            </w:r>
          </w:p>
        </w:tc>
        <w:tc>
          <w:tcPr>
            <w:tcW w:w="1567" w:type="dxa"/>
            <w:tcBorders/>
            <w:vAlign w:val="center"/>
          </w:tcPr>
          <w:p>
            <w:pPr>
              <w:pStyle w:val="TableContents"/>
              <w:bidi w:val="0"/>
              <w:spacing w:before="0" w:after="283"/>
              <w:jc w:val="left"/>
              <w:rPr/>
            </w:pPr>
            <w:r>
              <w:rPr/>
              <w:t>07/14/2026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04/20/2021</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100000</w:t>
            </w:r>
          </w:p>
        </w:tc>
        <w:tc>
          <w:tcPr>
            <w:tcW w:w="1070" w:type="dxa"/>
            <w:tcBorders/>
            <w:vAlign w:val="center"/>
          </w:tcPr>
          <w:p>
            <w:pPr>
              <w:pStyle w:val="TableContents"/>
              <w:bidi w:val="0"/>
              <w:spacing w:before="0" w:after="283"/>
              <w:jc w:val="left"/>
              <w:rPr/>
            </w:pPr>
            <w:r>
              <w:rPr/>
              <w:t>04/20/2021</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04/22/2026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144400.00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05/07/2026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134800.00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123200.00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340440</w:t>
            </w:r>
          </w:p>
        </w:tc>
        <w:tc>
          <w:tcPr>
            <w:tcW w:w="1830" w:type="dxa"/>
            <w:tcBorders/>
            <w:vAlign w:val="center"/>
          </w:tcPr>
          <w:p>
            <w:pPr>
              <w:pStyle w:val="TableContents"/>
              <w:bidi w:val="0"/>
              <w:spacing w:before="0" w:after="283"/>
              <w:jc w:val="left"/>
              <w:rPr/>
            </w:pPr>
            <w:r>
              <w:rPr/>
              <w:t>1089541.29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366630.37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07/02/2026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378604.31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387776.14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390028.58</w:t>
            </w:r>
          </w:p>
        </w:tc>
      </w:tr>
      <w:tr>
        <w:trPr/>
        <w:tc>
          <w:tcPr>
            <w:tcW w:w="3000" w:type="dxa"/>
            <w:tcBorders/>
            <w:vAlign w:val="center"/>
          </w:tcPr>
          <w:p>
            <w:pPr>
              <w:pStyle w:val="TableContents"/>
              <w:bidi w:val="0"/>
              <w:spacing w:before="0" w:after="283"/>
              <w:jc w:val="left"/>
              <w:rPr/>
            </w:pPr>
            <w:r>
              <w:rPr/>
              <w:t>Gibson Family Trust</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195014.41</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390028.63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368848.83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368845.25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379621.33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186000</w:t>
            </w:r>
          </w:p>
        </w:tc>
        <w:tc>
          <w:tcPr>
            <w:tcW w:w="1830" w:type="dxa"/>
            <w:tcBorders/>
            <w:vAlign w:val="center"/>
          </w:tcPr>
          <w:p>
            <w:pPr>
              <w:pStyle w:val="TableContents"/>
              <w:bidi w:val="0"/>
              <w:spacing w:before="0" w:after="283"/>
              <w:jc w:val="left"/>
              <w:rPr/>
            </w:pPr>
            <w:r>
              <w:rPr/>
              <w:t>706094.96</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353577.45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343048.10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Sales in the past 3 months include trades from the Lahwran-3 Llc account of which Christopher C. Gibson is an authorized individual and account stakeholder as well as the Gibson Family Trust of which Christopher C. Gibson is a trustee and account stakeholder.</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07/14/2026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 Gary Redman, as a duly authorized representative of Fidelity Brokerage Services LLC, as attorney-in-fact for Christopher C.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951</Words>
  <Characters>4745</Characters>
  <CharactersWithSpaces>5620</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