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Sun Elaine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65" w:lineRule="auto"/>
        <w:rPr>
          <w:sz w:val="20"/>
          <w:szCs w:val="20"/>
          <w:color w:val="auto"/>
        </w:rPr>
      </w:pPr>
      <w:r>
        <w:rPr>
          <w:rFonts w:ascii="Times New Roman" w:cs="Times New Roman" w:eastAsia="Times New Roman" w:hAnsi="Times New Roman"/>
          <w:sz w:val="17"/>
          <w:szCs w:val="17"/>
          <w:color w:val="0000FF"/>
        </w:rPr>
        <w:t>C/O RECURSION PHARMACEUTICALS 41 S. RIO GRANDE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RECURSION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400" w:space="4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88,424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135,981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Golightly,</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339" TargetMode="External"/><Relationship Id="rId14" Type="http://schemas.openxmlformats.org/officeDocument/2006/relationships/hyperlink" Target="http://www.sec.gov/cgi-bin/browse-edgar?action=getcompany&amp;CIK=0001601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2026-06-22T16:07:29Z</dcterms:created>
  <dcterms:modified xsi:type="dcterms:W3CDTF">2026-06-22T16:07:29Z</dcterms:modified>
</cp:coreProperties>
</file>