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0357.xml.htm"/>
      <w:bookmarkStart w:id="1" w:name="kswkform4_17821603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Borgeson Blake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RECURSION PHARMACEUTICALS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S. RIO GRANDE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RECURSION PHARMACEUTICALS, INC.</w:t>
              </w:r>
            </w:hyperlink>
            <w:r>
              <w:rPr/>
              <w:t xml:space="preserve"> [ </w:t>
            </w:r>
            <w:r>
              <w:rPr>
                <w:rFonts w:ascii="Times;serif" w:hAnsi="Times;serif"/>
                <w:color w:val="0000FF"/>
                <w:sz w:val="24"/>
                <w:shd w:fill="FFFFFF" w:val="clear"/>
              </w:rPr>
              <w:t>RXRX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88,424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6,258,287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automatically granted pursuant to the Issuer's Outside Director Compensation Policy. The restricted stock units will vest on the earlier of June 17,2027 or the day prior to the Issuer's 2027 Annual Meeting of Stockholders,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/s/Jonathan Golightly,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094" TargetMode="External"/><Relationship Id="rId5" Type="http://schemas.openxmlformats.org/officeDocument/2006/relationships/hyperlink" Target="http://www.sec.gov/cgi-bin/browse-edgar?action=getcompany&amp;CIK=00016018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3379</Characters>
  <CharactersWithSpaces>3935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