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1E1E1E"/>
        </w:rPr>
        <w:t>UNITED STATES</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1E1E1E"/>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1E1E1E"/>
        </w:rPr>
        <w:t>FORM 10-Q</w:t>
      </w:r>
    </w:p>
    <w:p>
      <w:pPr>
        <w:spacing w:after="0" w:line="283"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ind w:left="20" w:right="360" w:firstLine="351"/>
        <w:spacing w:after="0" w:line="251" w:lineRule="auto"/>
        <w:tabs>
          <w:tab w:leader="none" w:pos="573"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June 30, 2023</w:t>
      </w:r>
    </w:p>
    <w:p>
      <w:pPr>
        <w:jc w:val="center"/>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40" w:firstLine="373"/>
        <w:spacing w:after="0" w:line="298" w:lineRule="auto"/>
        <w:tabs>
          <w:tab w:leader="none" w:pos="596"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Delaware 46-4099738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S Rio Grande Street</w:t>
      </w:r>
    </w:p>
    <w:p>
      <w:pPr>
        <w:jc w:val="center"/>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11" w:lineRule="exact"/>
        <w:rPr>
          <w:sz w:val="24"/>
          <w:szCs w:val="24"/>
          <w:color w:val="auto"/>
        </w:rPr>
      </w:pPr>
    </w:p>
    <w:p>
      <w:pPr>
        <w:ind w:left="20" w:right="60"/>
        <w:spacing w:after="0" w:line="21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8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3" w:lineRule="exact"/>
        <w:rPr>
          <w:sz w:val="24"/>
          <w:szCs w:val="24"/>
          <w:color w:val="auto"/>
        </w:rPr>
      </w:pPr>
    </w:p>
    <w:p>
      <w:pPr>
        <w:ind w:left="20" w:right="200"/>
        <w:spacing w:after="0" w:line="21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8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3" w:lineRule="exact"/>
        <w:rPr>
          <w:sz w:val="24"/>
          <w:szCs w:val="24"/>
          <w:color w:val="auto"/>
        </w:rPr>
      </w:pPr>
    </w:p>
    <w:p>
      <w:pPr>
        <w:jc w:val="both"/>
        <w:ind w:left="20" w:right="18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40"/>
          </w:cols>
          <w:pgMar w:left="1320" w:top="1081" w:right="1339" w:bottom="1440" w:gutter="0" w:footer="0" w:header="0"/>
        </w:sectPr>
      </w:pPr>
    </w:p>
    <w:p>
      <w:pPr>
        <w:spacing w:after="0" w:line="173"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20"/>
            <w:col w:w="4580" w:space="720"/>
            <w:col w:w="2000"/>
          </w:cols>
          <w:pgMar w:left="1320" w:top="1081" w:right="1339" w:bottom="1440" w:gutter="0" w:footer="0" w:header="0"/>
          <w:type w:val="continuous"/>
        </w:sectPr>
      </w:pPr>
    </w:p>
    <w:p>
      <w:pPr>
        <w:spacing w:after="0" w:line="1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3">
            <w:col w:w="1220" w:space="720"/>
            <w:col w:w="4140" w:space="720"/>
            <w:col w:w="2440"/>
          </w:cols>
          <w:pgMar w:left="1320" w:top="1081" w:right="133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40"/>
          </w:cols>
          <w:pgMar w:left="1320" w:top="1081" w:right="1339" w:bottom="1440" w:gutter="0" w:footer="0" w:header="0"/>
          <w:type w:val="continuous"/>
        </w:sectPr>
      </w:pPr>
    </w:p>
    <w:p>
      <w:pPr>
        <w:spacing w:after="0" w:line="200" w:lineRule="exact"/>
        <w:rPr>
          <w:sz w:val="24"/>
          <w:szCs w:val="24"/>
          <w:color w:val="auto"/>
        </w:rPr>
      </w:pPr>
    </w:p>
    <w:p>
      <w:pPr>
        <w:spacing w:after="0" w:line="232" w:lineRule="exact"/>
        <w:rPr>
          <w:sz w:val="24"/>
          <w:szCs w:val="24"/>
          <w:color w:val="auto"/>
        </w:rPr>
      </w:pPr>
    </w:p>
    <w:p>
      <w:pPr>
        <w:ind w:left="20" w:right="6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6"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72" w:lineRule="exact"/>
        <w:rPr>
          <w:sz w:val="24"/>
          <w:szCs w:val="24"/>
          <w:color w:val="auto"/>
        </w:rPr>
      </w:pPr>
    </w:p>
    <w:p>
      <w:pPr>
        <w:ind w:left="20" w:right="40"/>
        <w:spacing w:after="0"/>
        <w:rPr>
          <w:sz w:val="20"/>
          <w:szCs w:val="20"/>
          <w:color w:val="auto"/>
        </w:rPr>
      </w:pPr>
      <w:r>
        <w:rPr>
          <w:rFonts w:ascii="Arial" w:cs="Arial" w:eastAsia="Arial" w:hAnsi="Arial"/>
          <w:sz w:val="16"/>
          <w:szCs w:val="16"/>
          <w:color w:val="auto"/>
        </w:rPr>
        <w:t>As of July 31, 2023, there were 204,038,332, 7,644,871 and 3,905,069 of the registrant’s Class A, B and exchangeable common stock, par value $0.00001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960120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20" w:top="1081" w:right="1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80" w:type="dxa"/>
            <w:vAlign w:val="bottom"/>
            <w:gridSpan w:val="2"/>
          </w:tcPr>
          <w:p>
            <w:pPr>
              <w:spacing w:after="0"/>
              <w:rPr>
                <w:sz w:val="19"/>
                <w:szCs w:val="19"/>
                <w:color w:val="auto"/>
              </w:rPr>
            </w:pPr>
          </w:p>
        </w:tc>
        <w:tc>
          <w:tcPr>
            <w:tcW w:w="922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3"/>
          </w:tcPr>
          <w:p>
            <w:pPr>
              <w:jc w:val="center"/>
              <w:ind w:left="33"/>
              <w:spacing w:after="0"/>
              <w:rPr>
                <w:sz w:val="20"/>
                <w:szCs w:val="20"/>
                <w:color w:val="auto"/>
              </w:rPr>
            </w:pPr>
            <w:r>
              <w:rPr>
                <w:rFonts w:ascii="Arial" w:cs="Arial" w:eastAsia="Arial" w:hAnsi="Arial"/>
                <w:sz w:val="18"/>
                <w:szCs w:val="18"/>
                <w:color w:val="0000EE"/>
                <w:w w:val="99"/>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3"/>
          </w:tcPr>
          <w:p>
            <w:pPr>
              <w:jc w:val="center"/>
              <w:ind w:left="33"/>
              <w:spacing w:after="0"/>
              <w:rPr>
                <w:sz w:val="20"/>
                <w:szCs w:val="20"/>
                <w:color w:val="auto"/>
              </w:rPr>
            </w:pPr>
            <w:r>
              <w:rPr>
                <w:rFonts w:ascii="Arial" w:cs="Arial" w:eastAsia="Arial" w:hAnsi="Arial"/>
                <w:sz w:val="18"/>
                <w:szCs w:val="18"/>
                <w:color w:val="0000EE"/>
                <w:w w:val="99"/>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23</w:t>
            </w:r>
          </w:p>
        </w:tc>
        <w:tc>
          <w:tcPr>
            <w:tcW w:w="80" w:type="dxa"/>
            <w:vAlign w:val="bottom"/>
          </w:tcPr>
          <w:p>
            <w:pPr>
              <w:spacing w:after="0"/>
              <w:rPr>
                <w:sz w:val="18"/>
                <w:szCs w:val="18"/>
                <w:color w:val="auto"/>
              </w:rPr>
            </w:pPr>
          </w:p>
        </w:tc>
      </w:tr>
      <w:tr>
        <w:trPr>
          <w:trHeight w:val="223"/>
        </w:trPr>
        <w:tc>
          <w:tcPr>
            <w:tcW w:w="14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99"/>
              </w:rPr>
              <w:t>32</w:t>
            </w:r>
          </w:p>
        </w:tc>
        <w:tc>
          <w:tcPr>
            <w:tcW w:w="80" w:type="dxa"/>
            <w:vAlign w:val="bottom"/>
          </w:tcPr>
          <w:p>
            <w:pPr>
              <w:spacing w:after="0"/>
              <w:rPr>
                <w:sz w:val="19"/>
                <w:szCs w:val="19"/>
                <w:color w:val="auto"/>
              </w:rPr>
            </w:pPr>
          </w:p>
        </w:tc>
      </w:tr>
      <w:tr>
        <w:trPr>
          <w:trHeight w:val="210"/>
        </w:trPr>
        <w:tc>
          <w:tcPr>
            <w:tcW w:w="14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00" w:type="dxa"/>
            <w:vAlign w:val="bottom"/>
            <w:tcBorders>
              <w:top w:val="single" w:sz="8" w:color="0000EE"/>
            </w:tcBorders>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0000EE"/>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32</w:t>
            </w:r>
          </w:p>
        </w:tc>
        <w:tc>
          <w:tcPr>
            <w:tcW w:w="80" w:type="dxa"/>
            <w:vAlign w:val="bottom"/>
          </w:tcPr>
          <w:p>
            <w:pPr>
              <w:spacing w:after="0"/>
              <w:rPr>
                <w:sz w:val="18"/>
                <w:szCs w:val="18"/>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9220" w:type="dxa"/>
            <w:vAlign w:val="bottom"/>
            <w:gridSpan w:val="11"/>
          </w:tcPr>
          <w:p>
            <w:pPr>
              <w:spacing w:after="0"/>
              <w:rPr>
                <w:sz w:val="20"/>
                <w:szCs w:val="20"/>
                <w:color w:val="auto"/>
              </w:rPr>
            </w:pPr>
            <w:r>
              <w:rPr>
                <w:rFonts w:ascii="Arial" w:cs="Arial" w:eastAsia="Arial" w:hAnsi="Arial"/>
                <w:sz w:val="18"/>
                <w:szCs w:val="18"/>
                <w:b w:val="1"/>
                <w:bCs w:val="1"/>
                <w:color w:val="0000FF"/>
              </w:rPr>
              <w:t>Other Information</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99"/>
              </w:rPr>
              <w:t>34</w:t>
            </w:r>
          </w:p>
        </w:tc>
        <w:tc>
          <w:tcPr>
            <w:tcW w:w="80" w:type="dxa"/>
            <w:vAlign w:val="bottom"/>
          </w:tcPr>
          <w:p>
            <w:pPr>
              <w:spacing w:after="0"/>
              <w:rPr>
                <w:sz w:val="18"/>
                <w:szCs w:val="18"/>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4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Legal Proceedings</w:t>
            </w:r>
          </w:p>
        </w:tc>
        <w:tc>
          <w:tcPr>
            <w:tcW w:w="7700" w:type="dxa"/>
            <w:vAlign w:val="bottom"/>
            <w:gridSpan w:val="7"/>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34</w:t>
            </w:r>
          </w:p>
        </w:tc>
        <w:tc>
          <w:tcPr>
            <w:tcW w:w="80" w:type="dxa"/>
            <w:vAlign w:val="bottom"/>
          </w:tcPr>
          <w:p>
            <w:pPr>
              <w:spacing w:after="0"/>
              <w:rPr>
                <w:sz w:val="19"/>
                <w:szCs w:val="19"/>
                <w:color w:val="auto"/>
              </w:rPr>
            </w:pPr>
          </w:p>
        </w:tc>
      </w:tr>
      <w:tr>
        <w:trPr>
          <w:trHeight w:val="210"/>
        </w:trPr>
        <w:tc>
          <w:tcPr>
            <w:tcW w:w="14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11"/>
          </w:tcPr>
          <w:p>
            <w:pPr>
              <w:spacing w:after="0"/>
              <w:rPr>
                <w:sz w:val="20"/>
                <w:szCs w:val="20"/>
                <w:color w:val="auto"/>
              </w:rPr>
            </w:pPr>
            <w:r>
              <w:rPr>
                <w:rFonts w:ascii="Arial" w:cs="Arial" w:eastAsia="Arial" w:hAnsi="Arial"/>
                <w:sz w:val="18"/>
                <w:szCs w:val="18"/>
                <w:color w:val="0000FF"/>
              </w:rPr>
              <w:t>Risk Factors</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99"/>
              </w:rPr>
              <w:t>34</w:t>
            </w:r>
          </w:p>
        </w:tc>
        <w:tc>
          <w:tcPr>
            <w:tcW w:w="80" w:type="dxa"/>
            <w:vAlign w:val="bottom"/>
          </w:tcPr>
          <w:p>
            <w:pPr>
              <w:spacing w:after="0"/>
              <w:rPr>
                <w:sz w:val="18"/>
                <w:szCs w:val="18"/>
                <w:color w:val="auto"/>
              </w:rPr>
            </w:pPr>
          </w:p>
        </w:tc>
      </w:tr>
      <w:tr>
        <w:trPr>
          <w:trHeight w:val="20"/>
        </w:trPr>
        <w:tc>
          <w:tcPr>
            <w:tcW w:w="144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36</w:t>
            </w:r>
          </w:p>
        </w:tc>
        <w:tc>
          <w:tcPr>
            <w:tcW w:w="80" w:type="dxa"/>
            <w:vAlign w:val="bottom"/>
          </w:tcPr>
          <w:p>
            <w:pPr>
              <w:spacing w:after="0"/>
              <w:rPr>
                <w:sz w:val="18"/>
                <w:szCs w:val="18"/>
                <w:color w:val="auto"/>
              </w:rPr>
            </w:pPr>
          </w:p>
        </w:tc>
      </w:tr>
      <w:tr>
        <w:trPr>
          <w:trHeight w:val="223"/>
        </w:trPr>
        <w:tc>
          <w:tcPr>
            <w:tcW w:w="14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1"/>
          </w:tcPr>
          <w:p>
            <w:pPr>
              <w:spacing w:after="0"/>
              <w:rPr>
                <w:sz w:val="20"/>
                <w:szCs w:val="20"/>
                <w:color w:val="auto"/>
              </w:rPr>
            </w:pPr>
            <w:r>
              <w:rPr>
                <w:rFonts w:ascii="Arial" w:cs="Arial" w:eastAsia="Arial" w:hAnsi="Arial"/>
                <w:sz w:val="18"/>
                <w:szCs w:val="18"/>
                <w:color w:val="0000FF"/>
              </w:rPr>
              <w:t>Other Information</w:t>
            </w:r>
          </w:p>
        </w:tc>
        <w:tc>
          <w:tcPr>
            <w:tcW w:w="260" w:type="dxa"/>
            <w:vAlign w:val="bottom"/>
            <w:gridSpan w:val="4"/>
          </w:tcPr>
          <w:p>
            <w:pPr>
              <w:jc w:val="center"/>
              <w:spacing w:after="0"/>
              <w:rPr>
                <w:sz w:val="20"/>
                <w:szCs w:val="20"/>
                <w:color w:val="auto"/>
              </w:rPr>
            </w:pPr>
            <w:r>
              <w:rPr>
                <w:rFonts w:ascii="Arial" w:cs="Arial" w:eastAsia="Arial" w:hAnsi="Arial"/>
                <w:sz w:val="18"/>
                <w:szCs w:val="18"/>
                <w:color w:val="0000EE"/>
                <w:w w:val="99"/>
              </w:rPr>
              <w:t>36</w:t>
            </w:r>
          </w:p>
        </w:tc>
        <w:tc>
          <w:tcPr>
            <w:tcW w:w="80" w:type="dxa"/>
            <w:vAlign w:val="bottom"/>
          </w:tcPr>
          <w:p>
            <w:pPr>
              <w:spacing w:after="0"/>
              <w:rPr>
                <w:sz w:val="19"/>
                <w:szCs w:val="19"/>
                <w:color w:val="auto"/>
              </w:rPr>
            </w:pPr>
          </w:p>
        </w:tc>
      </w:tr>
      <w:tr>
        <w:trPr>
          <w:trHeight w:val="209"/>
        </w:trPr>
        <w:tc>
          <w:tcPr>
            <w:tcW w:w="14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18"/>
                <w:szCs w:val="18"/>
                <w:color w:val="auto"/>
              </w:rPr>
            </w:pPr>
          </w:p>
        </w:tc>
        <w:tc>
          <w:tcPr>
            <w:tcW w:w="7820" w:type="dxa"/>
            <w:vAlign w:val="bottom"/>
            <w:gridSpan w:val="8"/>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0000EE"/>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40</w:t>
            </w:r>
          </w:p>
        </w:tc>
        <w:tc>
          <w:tcPr>
            <w:tcW w:w="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rPr>
              <w:t>Signatures</w:t>
            </w:r>
          </w:p>
        </w:tc>
        <w:tc>
          <w:tcPr>
            <w:tcW w:w="8220" w:type="dxa"/>
            <w:vAlign w:val="bottom"/>
            <w:gridSpan w:val="9"/>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99"/>
              </w:rPr>
              <w:t>43</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2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21"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drug candidates, and other positive results;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collaborators to continue research and development activities relating to our development candidates and investigational medicines;</w:t>
      </w:r>
    </w:p>
    <w:p>
      <w:pPr>
        <w:ind w:left="340" w:right="2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investigational medicines and any other approved product;</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8"/>
          <w:szCs w:val="18"/>
          <w:color w:val="auto"/>
        </w:rPr>
        <w:t>the timing, scope, or likelihood of foreign regulatory filings and approvals, including our ability to maintain any such approvals;</w:t>
      </w:r>
    </w:p>
    <w:p>
      <w:pPr>
        <w:spacing w:after="0" w:line="9" w:lineRule="exact"/>
        <w:rPr>
          <w:rFonts w:ascii="Arial" w:cs="Arial" w:eastAsia="Arial" w:hAnsi="Arial"/>
          <w:sz w:val="14"/>
          <w:szCs w:val="14"/>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 opportunity for our drug candidates, including our estimates of the number of patients who suffer from the diseases we are targeting and potential annual sales;</w:t>
      </w:r>
    </w:p>
    <w:p>
      <w:pPr>
        <w:ind w:left="340" w:right="3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viable new drug candidates for clinical development and the rate at which we expect to identify such candidates, whether through an inferential approach or otherwise;</w:t>
      </w:r>
    </w:p>
    <w:p>
      <w:pPr>
        <w:ind w:left="340" w:right="3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the assets that will drive the most value for us are those that we will identify in the future using our datasets and tools;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our current drug candidates and programs into, and successfully complete, clinical studies;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the time or cost or increase the likelihood of success of our research and development relative to the traditional drug discovery paradigm;</w:t>
      </w:r>
    </w:p>
    <w:p>
      <w:pPr>
        <w:ind w:left="340" w:right="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and the rate of improvement in, our infrastructure, datasets, biology, technology tools and drug discovery platform, and our ability to realize benefits from such improvements;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performance and benefits of our BioHive supercomputer;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a return on our investment of resources and cash in our drug discovery collaborations;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acquired businesses with our existing programs and platform and realize a return on acquired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like a technology company and to add more programs to our pipeline each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a highly competitive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drug candidates, if approved, including the geographic areas of focus and sales strategy;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drug candidates in combination with other drugs;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current drug candidates, if approved, and other drug candidates we may develop;</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approaches that are or may become available;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that we will enroll in our clinical trials and the timing of their enrollment;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drug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further development of our drug candidates, including additional indications we may pursue;</w:t>
      </w:r>
    </w:p>
    <w:p>
      <w:pPr>
        <w:spacing w:after="0" w:line="9" w:lineRule="exact"/>
        <w:rPr>
          <w:rFonts w:ascii="Arial" w:cs="Arial" w:eastAsia="Arial" w:hAnsi="Arial"/>
          <w:sz w:val="18"/>
          <w:szCs w:val="18"/>
          <w:color w:val="auto"/>
        </w:rPr>
      </w:pPr>
    </w:p>
    <w:p>
      <w:pPr>
        <w:ind w:left="34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right="440"/>
        <w:spacing w:after="0" w:line="257" w:lineRule="auto"/>
        <w:rPr>
          <w:sz w:val="20"/>
          <w:szCs w:val="20"/>
          <w:color w:val="auto"/>
        </w:rPr>
      </w:pPr>
      <w:r>
        <w:rPr>
          <w:rFonts w:ascii="Arial" w:cs="Arial" w:eastAsia="Arial" w:hAnsi="Arial"/>
          <w:sz w:val="18"/>
          <w:szCs w:val="18"/>
          <w:color w:val="auto"/>
        </w:rPr>
        <w:t>protection of our trade secrets, and our ability not to infringe, misappropriate or otherwise violate any third-party intellectual property rights;</w:t>
      </w:r>
    </w:p>
    <w:p>
      <w:pPr>
        <w:spacing w:after="0" w:line="1" w:lineRule="exact"/>
        <w:rPr>
          <w:sz w:val="20"/>
          <w:szCs w:val="20"/>
          <w:color w:val="auto"/>
        </w:rPr>
      </w:pPr>
    </w:p>
    <w:p>
      <w:pPr>
        <w:ind w:left="340" w:right="6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intellectual property disputes and our ability to defend against claims of infringement, misappropriation, or other violations of intellectual property rights;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new technological developments;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third-party open source software and cloud-based infrastructure, on which we are dependent;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policies and the scope of their coverage;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technical operations infrastructure to avoid errors, delays, or cybersecurity breaches;</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drug candidates, and for the manufacture of our drug candidates for preclinical studies and clinical trials;</w:t>
      </w:r>
    </w:p>
    <w:p>
      <w:pPr>
        <w:ind w:left="340" w:right="5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research, develop, manufacture, or commercialize our platform and drug candidates;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current drug candidates and other drug candidates we may develop, if approved;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and cash equivalents will be sufficient to fund our future operating expenses and capital expenditure requirements;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substantial additional funding;</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 our ability to comply with all regulations that we are, or may become, subject to;</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current or future litigation, which may arise during the ordinary course of business and be costly to defend;</w:t>
      </w:r>
    </w:p>
    <w:p>
      <w:pPr>
        <w:spacing w:after="0" w:line="37" w:lineRule="exact"/>
        <w:rPr>
          <w:rFonts w:ascii="Arial" w:cs="Arial" w:eastAsia="Arial" w:hAnsi="Arial"/>
          <w:sz w:val="18"/>
          <w:szCs w:val="18"/>
          <w:color w:val="auto"/>
        </w:rPr>
      </w:pPr>
    </w:p>
    <w:p>
      <w:pPr>
        <w:ind w:left="340" w:right="280" w:hanging="332"/>
        <w:spacing w:after="0" w:line="231"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need to raise additional capital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net proceeds from our initial public offering;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section titled “Risk Factors.”</w:t>
      </w:r>
    </w:p>
    <w:p>
      <w:pPr>
        <w:spacing w:after="0" w:line="2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22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9"/>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549,912</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37"/>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18,774</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15,869</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431,020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569,814</w:t>
            </w:r>
          </w:p>
        </w:tc>
      </w:tr>
      <w:tr>
        <w:trPr>
          <w:trHeight w:val="149"/>
        </w:trPr>
        <w:tc>
          <w:tcPr>
            <w:tcW w:w="8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89,768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88,192</w:t>
            </w:r>
          </w:p>
        </w:tc>
      </w:tr>
      <w:tr>
        <w:trPr>
          <w:trHeight w:val="24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34,899</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42,757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7"/>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assets, non-current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701,288</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32,873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32,904</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56,726</w:t>
            </w:r>
          </w:p>
        </w:tc>
      </w:tr>
      <w:tr>
        <w:trPr>
          <w:trHeight w:val="236"/>
        </w:trPr>
        <w:tc>
          <w:tcPr>
            <w:tcW w:w="85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113,959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100,265</w:t>
            </w:r>
          </w:p>
        </w:tc>
      </w:tr>
      <w:tr>
        <w:trPr>
          <w:trHeight w:val="148"/>
        </w:trPr>
        <w:tc>
          <w:tcPr>
            <w:tcW w:w="8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 non-current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32,436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70,261</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6"/>
        </w:trPr>
        <w:tc>
          <w:tcPr>
            <w:tcW w:w="85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45,850</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44,420</w:t>
            </w:r>
          </w:p>
        </w:tc>
      </w:tr>
      <w:tr>
        <w:trPr>
          <w:trHeight w:val="236"/>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197,736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215,482</w:t>
            </w:r>
          </w:p>
        </w:tc>
      </w:tr>
      <w:tr>
        <w:trPr>
          <w:trHeight w:val="148"/>
        </w:trPr>
        <w:tc>
          <w:tcPr>
            <w:tcW w:w="8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360" w:right="80" w:hanging="215"/>
        <w:spacing w:after="0" w:line="256"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June 30, 2023 and December 31, 2022; 206,737,332 shares (Class A 195,051,012, Class B 7,679,871 and Exchangeable 4,006,449) and 191,022,864 shares (Class A 183,209,655, Class B 7,813,209 and Exchangeable 0) issued and outstanding as of June 30, 2023 and December 31, 2022, respectively</w:t>
      </w:r>
    </w:p>
    <w:p>
      <w:pPr>
        <w:spacing w:after="0" w:line="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00"/>
        <w:spacing w:after="0"/>
        <w:tabs>
          <w:tab w:leader="none" w:pos="202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2</w:t>
      </w:r>
    </w:p>
    <w:p>
      <w:pPr>
        <w:spacing w:after="0" w:line="34"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color w:val="auto"/>
        </w:rPr>
        <w:t>1,250,570</w:t>
      </w:r>
      <w:r>
        <w:rPr>
          <w:sz w:val="20"/>
          <w:szCs w:val="20"/>
          <w:color w:val="auto"/>
        </w:rPr>
        <w:tab/>
      </w:r>
      <w:r>
        <w:rPr>
          <w:rFonts w:ascii="Arial" w:cs="Arial" w:eastAsia="Arial" w:hAnsi="Arial"/>
          <w:sz w:val="17"/>
          <w:szCs w:val="17"/>
          <w:color w:val="auto"/>
        </w:rPr>
        <w:t>1,125,360</w:t>
      </w:r>
    </w:p>
    <w:p>
      <w:pPr>
        <w:spacing w:after="0" w:line="53" w:lineRule="exact"/>
        <w:rPr>
          <w:sz w:val="20"/>
          <w:szCs w:val="20"/>
          <w:color w:val="auto"/>
        </w:rPr>
      </w:pPr>
    </w:p>
    <w:p>
      <w:pPr>
        <w:sectPr>
          <w:pgSz w:w="11900" w:h="16838" w:orient="portrait"/>
          <w:cols w:equalWidth="0" w:num="2">
            <w:col w:w="8300" w:space="720"/>
            <w:col w:w="22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rPr>
              <w:t>(781,609)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rPr>
              <w:t>(639,556)</w:t>
            </w:r>
          </w:p>
        </w:tc>
      </w:tr>
      <w:tr>
        <w:trPr>
          <w:trHeight w:val="223"/>
        </w:trPr>
        <w:tc>
          <w:tcPr>
            <w:tcW w:w="6060" w:type="dxa"/>
            <w:vAlign w:val="bottom"/>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840" w:type="dxa"/>
            <w:vAlign w:val="bottom"/>
          </w:tcPr>
          <w:p>
            <w:pPr>
              <w:spacing w:after="0"/>
              <w:rPr>
                <w:sz w:val="19"/>
                <w:szCs w:val="19"/>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8"/>
              </w:rPr>
              <w:t>468,963</w:t>
            </w:r>
          </w:p>
        </w:tc>
        <w:tc>
          <w:tcPr>
            <w:tcW w:w="340" w:type="dxa"/>
            <w:vAlign w:val="bottom"/>
          </w:tcPr>
          <w:p>
            <w:pPr>
              <w:spacing w:after="0"/>
              <w:rPr>
                <w:sz w:val="19"/>
                <w:szCs w:val="19"/>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8"/>
              </w:rPr>
              <w:t>485,806</w:t>
            </w:r>
          </w:p>
        </w:tc>
      </w:tr>
      <w:tr>
        <w:trPr>
          <w:trHeight w:val="148"/>
        </w:trPr>
        <w:tc>
          <w:tcPr>
            <w:tcW w:w="6060" w:type="dxa"/>
            <w:vAlign w:val="bottom"/>
            <w:tcBorders>
              <w:bottom w:val="single" w:sz="8" w:color="auto"/>
            </w:tcBorders>
            <w:shd w:val="clear" w:color="auto" w:fill="CCEEFF"/>
          </w:tcPr>
          <w:p>
            <w:pPr>
              <w:spacing w:after="0"/>
              <w:rPr>
                <w:sz w:val="12"/>
                <w:szCs w:val="12"/>
                <w:color w:val="auto"/>
              </w:rPr>
            </w:pPr>
          </w:p>
        </w:tc>
        <w:tc>
          <w:tcPr>
            <w:tcW w:w="28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8"/>
              </w:rPr>
              <w:t>666,699</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8"/>
              </w:rPr>
              <w:t>701,288</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1E1E1E"/>
                <w:w w:val="99"/>
              </w:rPr>
              <w:t>Recursion Pharmaceuticals, Inc.</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40" w:type="dxa"/>
            <w:vAlign w:val="bottom"/>
            <w:gridSpan w:val="8"/>
          </w:tcPr>
          <w:p>
            <w:pPr>
              <w:jc w:val="center"/>
              <w:ind w:left="1450"/>
              <w:spacing w:after="0"/>
              <w:rPr>
                <w:sz w:val="20"/>
                <w:szCs w:val="20"/>
                <w:color w:val="auto"/>
              </w:rPr>
            </w:pPr>
            <w:r>
              <w:rPr>
                <w:rFonts w:ascii="Arial" w:cs="Arial" w:eastAsia="Arial" w:hAnsi="Arial"/>
                <w:sz w:val="18"/>
                <w:szCs w:val="18"/>
                <w:b w:val="1"/>
                <w:bCs w:val="1"/>
                <w:color w:val="1E1E1E"/>
                <w:w w:val="99"/>
              </w:rPr>
              <w:t>Condensed Consolidated Statements of Operations (unaudited)</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1"/>
                <w:szCs w:val="21"/>
                <w:color w:val="auto"/>
              </w:rPr>
            </w:pPr>
          </w:p>
        </w:tc>
        <w:tc>
          <w:tcPr>
            <w:tcW w:w="6760" w:type="dxa"/>
            <w:vAlign w:val="bottom"/>
            <w:gridSpan w:val="7"/>
          </w:tcPr>
          <w:p>
            <w:pPr>
              <w:jc w:val="center"/>
              <w:ind w:left="183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28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43"/>
        </w:trPr>
        <w:tc>
          <w:tcPr>
            <w:tcW w:w="41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9,382</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14,227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21,829</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22,026</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38,439</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101,737</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70,880</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28,290</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21,199</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51,165</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42,273</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92,732</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73,865</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135,179</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(81,715)</w:t>
            </w: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(151,580)</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(122,172)</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(65,560)</w:t>
            </w:r>
          </w:p>
        </w:tc>
        <w:tc>
          <w:tcPr>
            <w:tcW w:w="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720" w:type="dxa"/>
            <w:vAlign w:val="bottom"/>
            <w:gridSpan w:val="4"/>
          </w:tcPr>
          <w:p>
            <w:pPr>
              <w:ind w:left="20"/>
              <w:spacing w:after="0" w:line="173" w:lineRule="exact"/>
              <w:rPr>
                <w:sz w:val="20"/>
                <w:szCs w:val="20"/>
                <w:color w:val="auto"/>
              </w:rPr>
            </w:pPr>
            <w:r>
              <w:rPr>
                <w:rFonts w:ascii="Arial" w:cs="Arial" w:eastAsia="Arial" w:hAnsi="Arial"/>
                <w:sz w:val="18"/>
                <w:szCs w:val="18"/>
                <w:b w:val="1"/>
                <w:bCs w:val="1"/>
                <w:color w:val="auto"/>
              </w:rPr>
              <w:t>Net loss per share of Class A, B and Exchangeable</w:t>
            </w: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common stock, basic and diluted</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201,415,475</w:t>
            </w:r>
          </w:p>
        </w:tc>
        <w:tc>
          <w:tcPr>
            <w:tcW w:w="3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172,212,390</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198,957,804</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171,455,595</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Exchangeable) outstanding,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2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264"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1E1E1E"/>
                <w:w w:val="99"/>
              </w:rPr>
              <w:t>Recursion Pharmaceuticals, Inc.</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240" w:type="dxa"/>
            <w:vAlign w:val="bottom"/>
            <w:gridSpan w:val="8"/>
          </w:tcPr>
          <w:p>
            <w:pPr>
              <w:jc w:val="center"/>
              <w:ind w:left="350"/>
              <w:spacing w:after="0"/>
              <w:rPr>
                <w:sz w:val="20"/>
                <w:szCs w:val="20"/>
                <w:color w:val="auto"/>
              </w:rPr>
            </w:pPr>
            <w:r>
              <w:rPr>
                <w:rFonts w:ascii="Arial" w:cs="Arial" w:eastAsia="Arial" w:hAnsi="Arial"/>
                <w:sz w:val="18"/>
                <w:szCs w:val="18"/>
                <w:b w:val="1"/>
                <w:bCs w:val="1"/>
                <w:color w:val="1E1E1E"/>
              </w:rPr>
              <w:t>Condensed Consolidated Statements of Comprehensive Loss (unaudited)</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2"/>
          </w:tcPr>
          <w:p>
            <w:pPr>
              <w:jc w:val="center"/>
              <w:ind w:left="5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(76,726)</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(65,560)</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(121,539)</w:t>
            </w:r>
          </w:p>
        </w:tc>
        <w:tc>
          <w:tcPr>
            <w:tcW w:w="0" w:type="dxa"/>
            <w:vAlign w:val="bottom"/>
          </w:tcPr>
          <w:p>
            <w:pPr>
              <w:spacing w:after="0"/>
              <w:rPr>
                <w:sz w:val="1"/>
                <w:szCs w:val="1"/>
                <w:color w:val="auto"/>
              </w:rPr>
            </w:pPr>
          </w:p>
        </w:tc>
      </w:tr>
      <w:tr>
        <w:trPr>
          <w:trHeight w:val="270"/>
        </w:trPr>
        <w:tc>
          <w:tcPr>
            <w:tcW w:w="412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 (loss) on investments</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6"/>
        </w:trPr>
        <w:tc>
          <w:tcPr>
            <w:tcW w:w="4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realized loss on investments reclassified into</w:t>
            </w:r>
          </w:p>
        </w:tc>
        <w:tc>
          <w:tcPr>
            <w:tcW w:w="120" w:type="dxa"/>
            <w:vAlign w:val="bottom"/>
          </w:tcPr>
          <w:p>
            <w:pPr>
              <w:spacing w:after="0"/>
              <w:rPr>
                <w:sz w:val="15"/>
                <w:szCs w:val="15"/>
                <w:color w:val="auto"/>
              </w:rPr>
            </w:pPr>
          </w:p>
        </w:tc>
        <w:tc>
          <w:tcPr>
            <w:tcW w:w="1580" w:type="dxa"/>
            <w:vAlign w:val="bottom"/>
            <w:vMerge w:val="restart"/>
          </w:tcPr>
          <w:p>
            <w:pPr>
              <w:ind w:left="1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(76,726)</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(65,448)</w:t>
            </w: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(142,053)</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(121,610)</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2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2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Exchangeable)</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7"/>
                <w:szCs w:val="17"/>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Deficit</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192,230,854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(704,883)</w:t>
            </w:r>
          </w:p>
        </w:tc>
        <w:tc>
          <w:tcPr>
            <w:tcW w:w="68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430,175</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(76,726)</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(76,726)</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2,394,131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11,811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11,811</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Class A shares and stock options issued for</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6,878,653</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68,499</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68,499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Exchangeable shares issued for acquisitions</w:t>
            </w:r>
          </w:p>
        </w:tc>
        <w:tc>
          <w:tcPr>
            <w:tcW w:w="1180" w:type="dxa"/>
            <w:vAlign w:val="bottom"/>
          </w:tcPr>
          <w:p>
            <w:pPr>
              <w:jc w:val="right"/>
              <w:spacing w:after="0"/>
              <w:rPr>
                <w:sz w:val="20"/>
                <w:szCs w:val="20"/>
                <w:color w:val="auto"/>
              </w:rPr>
            </w:pPr>
            <w:r>
              <w:rPr>
                <w:rFonts w:ascii="Arial" w:cs="Arial" w:eastAsia="Arial" w:hAnsi="Arial"/>
                <w:sz w:val="16"/>
                <w:szCs w:val="16"/>
                <w:color w:val="auto"/>
              </w:rPr>
              <w:t>5,233,694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30,292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30,292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shares issued for exchangeable shares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1,227,245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Exchangeable shares redeemed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(1,227,245)</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206,737,332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68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3920" w:type="dxa"/>
            <w:vAlign w:val="bottom"/>
          </w:tcPr>
          <w:p>
            <w:pPr>
              <w:spacing w:after="0"/>
              <w:rPr>
                <w:sz w:val="24"/>
                <w:szCs w:val="24"/>
                <w:color w:val="auto"/>
              </w:rPr>
            </w:pPr>
          </w:p>
        </w:tc>
        <w:tc>
          <w:tcPr>
            <w:tcW w:w="2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202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20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Exchangeable)</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8"/>
                <w:szCs w:val="18"/>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3920" w:type="dxa"/>
            <w:vAlign w:val="bottom"/>
          </w:tcPr>
          <w:p>
            <w:pPr>
              <w:spacing w:after="0"/>
              <w:rPr>
                <w:sz w:val="2"/>
                <w:szCs w:val="2"/>
                <w:color w:val="auto"/>
              </w:rPr>
            </w:pPr>
          </w:p>
        </w:tc>
        <w:tc>
          <w:tcPr>
            <w:tcW w:w="118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191,022,864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68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(142,053)</w:t>
            </w:r>
          </w:p>
        </w:tc>
        <w:tc>
          <w:tcPr>
            <w:tcW w:w="6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(142,053)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3,602,121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20,625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20,625</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Class A shares and stock options issued for</w:t>
            </w: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6,878,653</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68,499</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68,499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1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Exchangeable shares issued for acquisitions</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5,233,694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30,292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30,292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shares issued for exchangeable shares</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1,227,245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Exchangeable shares redeemed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(1,227,245)</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206,737,332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(781,609)</w:t>
            </w:r>
          </w:p>
        </w:tc>
        <w:tc>
          <w:tcPr>
            <w:tcW w:w="68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20"/>
          </w:cols>
          <w:pgMar w:left="320" w:top="125" w:right="359" w:bottom="4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413"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Exchangeable)</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8"/>
                <w:szCs w:val="18"/>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8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9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171,078,088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(456,059)</w:t>
            </w:r>
          </w:p>
        </w:tc>
        <w:tc>
          <w:tcPr>
            <w:tcW w:w="58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493,566</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(65,560)</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(65,560)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gain</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tcPr>
          <w:p>
            <w:pPr>
              <w:jc w:val="right"/>
              <w:spacing w:after="0"/>
              <w:rPr>
                <w:sz w:val="20"/>
                <w:szCs w:val="20"/>
                <w:color w:val="auto"/>
              </w:rPr>
            </w:pPr>
            <w:r>
              <w:rPr>
                <w:rFonts w:ascii="Arial" w:cs="Arial" w:eastAsia="Arial" w:hAnsi="Arial"/>
                <w:sz w:val="16"/>
                <w:szCs w:val="16"/>
                <w:color w:val="auto"/>
              </w:rPr>
              <w:t>1,737,321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3,787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0" w:type="dxa"/>
            <w:vAlign w:val="bottom"/>
          </w:tcPr>
          <w:p>
            <w:pPr>
              <w:spacing w:after="0"/>
              <w:rPr>
                <w:sz w:val="1"/>
                <w:szCs w:val="1"/>
                <w:color w:val="auto"/>
              </w:rPr>
            </w:pPr>
          </w:p>
        </w:tc>
      </w:tr>
      <w:tr>
        <w:trPr>
          <w:trHeight w:val="21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172,815,409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959,393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(521,619)</w:t>
            </w:r>
          </w:p>
        </w:tc>
        <w:tc>
          <w:tcPr>
            <w:tcW w:w="58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437,579</w:t>
            </w:r>
          </w:p>
        </w:tc>
        <w:tc>
          <w:tcPr>
            <w:tcW w:w="0" w:type="dxa"/>
            <w:vAlign w:val="bottom"/>
          </w:tcPr>
          <w:p>
            <w:pPr>
              <w:spacing w:after="0"/>
              <w:rPr>
                <w:sz w:val="1"/>
                <w:szCs w:val="1"/>
                <w:color w:val="auto"/>
              </w:rPr>
            </w:pP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3920" w:type="dxa"/>
            <w:vAlign w:val="bottom"/>
          </w:tcPr>
          <w:p>
            <w:pPr>
              <w:spacing w:after="0"/>
              <w:rPr>
                <w:sz w:val="24"/>
                <w:szCs w:val="24"/>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Exchangeable)</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8"/>
                <w:szCs w:val="18"/>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18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9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comprehensive loss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170,272,462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(400,080)</w:t>
            </w:r>
          </w:p>
        </w:tc>
        <w:tc>
          <w:tcPr>
            <w:tcW w:w="580" w:type="dxa"/>
            <w:vAlign w:val="bottom"/>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542,938</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(121,539)</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(121,539)</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180" w:type="dxa"/>
            <w:vAlign w:val="bottom"/>
          </w:tcPr>
          <w:p>
            <w:pPr>
              <w:jc w:val="right"/>
              <w:spacing w:after="0"/>
              <w:rPr>
                <w:sz w:val="20"/>
                <w:szCs w:val="20"/>
                <w:color w:val="auto"/>
              </w:rPr>
            </w:pPr>
            <w:r>
              <w:rPr>
                <w:rFonts w:ascii="Arial" w:cs="Arial" w:eastAsia="Arial" w:hAnsi="Arial"/>
                <w:sz w:val="16"/>
                <w:szCs w:val="16"/>
                <w:color w:val="auto"/>
              </w:rPr>
              <w:t>2,542,947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11,307</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11,307</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172,815,409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959,393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(521,619)</w:t>
            </w:r>
          </w:p>
        </w:tc>
        <w:tc>
          <w:tcPr>
            <w:tcW w:w="58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20"/>
          </w:cols>
          <w:pgMar w:left="320" w:top="125" w:right="359" w:bottom="145"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0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color w:val="1E1E1E"/>
                <w:w w:val="99"/>
              </w:rPr>
              <w:t>Recursion Pharmaceuticals, Inc.</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1E1E1E"/>
                <w:w w:val="99"/>
              </w:rPr>
              <w:t>Condensed Consolidated Statements of Cash Flows (unaudited)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1"/>
                <w:szCs w:val="21"/>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1280" w:type="dxa"/>
            <w:vAlign w:val="bottom"/>
            <w:tcBorders>
              <w:bottom w:val="single" w:sz="8" w:color="auto"/>
            </w:tcBorders>
          </w:tcPr>
          <w:p>
            <w:pPr>
              <w:spacing w:after="0"/>
              <w:rPr>
                <w:sz w:val="22"/>
                <w:szCs w:val="22"/>
                <w:color w:val="auto"/>
              </w:rPr>
            </w:pPr>
          </w:p>
        </w:tc>
        <w:tc>
          <w:tcPr>
            <w:tcW w:w="6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(121,539)</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36"/>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20,625</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11,307</w:t>
            </w: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asset impairment</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Lease expense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3,991</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receivables and assets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0" w:type="dxa"/>
            <w:vAlign w:val="bottom"/>
          </w:tcPr>
          <w:p>
            <w:pPr>
              <w:spacing w:after="0"/>
              <w:rPr>
                <w:sz w:val="1"/>
                <w:szCs w:val="1"/>
                <w:color w:val="auto"/>
              </w:rPr>
            </w:pPr>
          </w:p>
        </w:tc>
      </w:tr>
      <w:tr>
        <w:trPr>
          <w:trHeight w:val="23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Unearned revenue</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(23,200)</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137,048</w:t>
            </w: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development expense</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1,747</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(140,783)</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Net cash and restricted cash acquired in the acquisition of a business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1,915</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Purchase of an intangible asset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and maturities of investments</w:t>
            </w: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169,061</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(7,393)</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148,244</w:t>
            </w:r>
          </w:p>
        </w:tc>
        <w:tc>
          <w:tcPr>
            <w:tcW w:w="0" w:type="dxa"/>
            <w:vAlign w:val="bottom"/>
          </w:tcPr>
          <w:p>
            <w:pPr>
              <w:spacing w:after="0"/>
              <w:rPr>
                <w:sz w:val="1"/>
                <w:szCs w:val="1"/>
                <w:color w:val="auto"/>
              </w:rPr>
            </w:pPr>
          </w:p>
        </w:tc>
      </w:tr>
      <w:tr>
        <w:trPr>
          <w:trHeight w:val="149"/>
        </w:trPr>
        <w:tc>
          <w:tcPr>
            <w:tcW w:w="7520" w:type="dxa"/>
            <w:vAlign w:val="bottom"/>
            <w:gridSpan w:val="2"/>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equity incentive plans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Repayment of long-term debt</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7520" w:type="dxa"/>
            <w:vAlign w:val="bottom"/>
            <w:tcBorders>
              <w:bottom w:val="single" w:sz="8" w:color="auto"/>
            </w:tcBorders>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42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(142,288)</w:t>
            </w:r>
          </w:p>
        </w:tc>
        <w:tc>
          <w:tcPr>
            <w:tcW w:w="42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168,761</w:t>
            </w:r>
          </w:p>
        </w:tc>
        <w:tc>
          <w:tcPr>
            <w:tcW w:w="0" w:type="dxa"/>
            <w:vAlign w:val="bottom"/>
          </w:tcPr>
          <w:p>
            <w:pPr>
              <w:spacing w:after="0"/>
              <w:rPr>
                <w:sz w:val="1"/>
                <w:szCs w:val="1"/>
                <w:color w:val="auto"/>
              </w:rPr>
            </w:pPr>
          </w:p>
        </w:tc>
      </w:tr>
      <w:tr>
        <w:trPr>
          <w:trHeight w:val="69"/>
        </w:trPr>
        <w:tc>
          <w:tcPr>
            <w:tcW w:w="1280" w:type="dxa"/>
            <w:vAlign w:val="bottom"/>
            <w:shd w:val="clear" w:color="auto" w:fill="CCEEFF"/>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559,112</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295,349</w:t>
            </w:r>
          </w:p>
        </w:tc>
        <w:tc>
          <w:tcPr>
            <w:tcW w:w="0" w:type="dxa"/>
            <w:vAlign w:val="bottom"/>
          </w:tcPr>
          <w:p>
            <w:pPr>
              <w:spacing w:after="0"/>
              <w:rPr>
                <w:sz w:val="1"/>
                <w:szCs w:val="1"/>
                <w:color w:val="auto"/>
              </w:rPr>
            </w:pPr>
          </w:p>
        </w:tc>
      </w:tr>
      <w:tr>
        <w:trPr>
          <w:trHeight w:val="262"/>
        </w:trPr>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416,824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464,110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280" w:type="dxa"/>
            <w:vAlign w:val="bottom"/>
          </w:tcPr>
          <w:p>
            <w:pPr>
              <w:spacing w:after="0"/>
              <w:rPr>
                <w:sz w:val="7"/>
                <w:szCs w:val="7"/>
                <w:color w:val="auto"/>
              </w:rPr>
            </w:pPr>
          </w:p>
        </w:tc>
        <w:tc>
          <w:tcPr>
            <w:tcW w:w="6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Issuance of shares for the acquisitions of businesses</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98,791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property and equipment</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36"/>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Right-of-use asset additions and modifications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4,160</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6"/>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Financed equipment purchase</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7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Cash paid for operating leases</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5,442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Recursion Pharmaceuticals, Inc. (Recursion, the Company, we or our) was originally formed as a limited liability</w:t>
      </w:r>
    </w:p>
    <w:p>
      <w:pPr>
        <w:spacing w:after="0" w:line="2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company on November 4, 2013 under the name Recursion Pharmaceuticals, LLC. In September 2016, the Company converted to a Delaware corporation and changed its name to Recursion Pharmaceuticals, Inc.</w:t>
      </w:r>
    </w:p>
    <w:p>
      <w:pPr>
        <w:spacing w:after="0" w:line="2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June 30, 2023, the Company had an accumulated deficit of $781.6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2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The Company has funded its operations to date primarily through the issuance of convertible preferred stock and the issuance of Class A common stock (see Note 8, “Common Stock” for additional details). Additionally, we have received payments of $180.0 million from our strategic partnerships (see Note 9, “Collaborative Development Contracts” for additional details). Recursion will likely be required to raise additional capital. As of June 30, 2023, the Company did not have any unconditional outstanding commitments for additional funding. </w:t>
      </w:r>
      <w:r>
        <w:rPr>
          <w:rFonts w:ascii="Arial" w:cs="Arial" w:eastAsia="Arial" w:hAnsi="Arial"/>
          <w:sz w:val="18"/>
          <w:szCs w:val="18"/>
          <w:color w:val="1E1E1E"/>
        </w:rPr>
        <w:t xml:space="preserve">Subsequent to June 30, 2023, Recursion entered into a private placement with NVIDIA Corporation (see Note 14, “Subsequent Events” for additional details). </w:t>
      </w:r>
      <w:r>
        <w:rPr>
          <w:rFonts w:ascii="Arial" w:cs="Arial" w:eastAsia="Arial" w:hAnsi="Arial"/>
          <w:sz w:val="18"/>
          <w:szCs w:val="18"/>
          <w:color w:val="000000"/>
        </w:rPr>
        <w:t>If the Company is unable to access additional funds when needed, it may not be able to continue the development of its</w:t>
      </w:r>
      <w:r>
        <w:rPr>
          <w:rFonts w:ascii="Arial" w:cs="Arial" w:eastAsia="Arial" w:hAnsi="Arial"/>
          <w:sz w:val="18"/>
          <w:szCs w:val="18"/>
          <w:color w:val="1E1E1E"/>
        </w:rPr>
        <w:t xml:space="preserve"> </w:t>
      </w:r>
      <w:r>
        <w:rPr>
          <w:rFonts w:ascii="Arial" w:cs="Arial" w:eastAsia="Arial" w:hAnsi="Arial"/>
          <w:sz w:val="18"/>
          <w:szCs w:val="18"/>
          <w:color w:val="000000"/>
        </w:rPr>
        <w:t>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2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2022.</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1E1E1E"/>
        </w:rPr>
        <w:t>It is management’s opinion that these condensed consolidated financial statements include all normal and recurring adjustments necessary for a fair presentation of the Company’s financial statements. Revenue and net loss for any interim period are not necessarily indicative of future or annual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New accounting pronouncements are routinely issued by the Financial Accounting Standards Board (FASB) or other standard setting bodies and adopted by Recursion as of the specified effective date. The Company does not expect the impact of recently issued standards that are not yet effective will have a material impact on its condensed consolidated financial statements and disclosures.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900" w:type="dxa"/>
            <w:vAlign w:val="bottom"/>
          </w:tcPr>
          <w:p>
            <w:pPr>
              <w:spacing w:after="0"/>
              <w:rPr>
                <w:sz w:val="20"/>
                <w:szCs w:val="20"/>
                <w:color w:val="auto"/>
              </w:rPr>
            </w:pPr>
            <w:r>
              <w:rPr>
                <w:rFonts w:ascii="Arial" w:cs="Arial" w:eastAsia="Arial" w:hAnsi="Arial"/>
                <w:sz w:val="18"/>
                <w:szCs w:val="18"/>
                <w:b w:val="1"/>
                <w:bCs w:val="1"/>
                <w:color w:val="auto"/>
              </w:rPr>
              <w:t>Note 3.Supplemental Financial Information</w:t>
            </w:r>
          </w:p>
        </w:tc>
        <w:tc>
          <w:tcPr>
            <w:tcW w:w="2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8"/>
        </w:trPr>
        <w:tc>
          <w:tcPr>
            <w:tcW w:w="5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5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4"/>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46,714</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41,872</w:t>
            </w: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20,164</w:t>
            </w:r>
          </w:p>
        </w:tc>
      </w:tr>
      <w:tr>
        <w:trPr>
          <w:trHeight w:val="229"/>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118,307</w:t>
            </w:r>
          </w:p>
        </w:tc>
      </w:tr>
      <w:tr>
        <w:trPr>
          <w:trHeight w:val="23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(37,600)</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(30,115)</w:t>
            </w:r>
          </w:p>
        </w:tc>
      </w:tr>
      <w:tr>
        <w:trPr>
          <w:trHeight w:val="254"/>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 xml:space="preserve">Depreciation expense on property and equipment was $4.0 million and $7.5 million during the three and six months ended June 30, 2023, </w:t>
      </w:r>
      <w:r>
        <w:rPr>
          <w:rFonts w:ascii="Arial" w:cs="Arial" w:eastAsia="Arial" w:hAnsi="Arial"/>
          <w:sz w:val="18"/>
          <w:szCs w:val="18"/>
          <w:color w:val="1E1E1E"/>
        </w:rPr>
        <w:t xml:space="preserve">respectively, and </w:t>
      </w:r>
      <w:r>
        <w:rPr>
          <w:rFonts w:ascii="Arial" w:cs="Arial" w:eastAsia="Arial" w:hAnsi="Arial"/>
          <w:sz w:val="18"/>
          <w:szCs w:val="18"/>
          <w:color w:val="000000"/>
        </w:rPr>
        <w:t>$2.7 million</w:t>
      </w:r>
      <w:r>
        <w:rPr>
          <w:rFonts w:ascii="Arial" w:cs="Arial" w:eastAsia="Arial" w:hAnsi="Arial"/>
          <w:sz w:val="18"/>
          <w:szCs w:val="18"/>
          <w:color w:val="1E1E1E"/>
        </w:rPr>
        <w:t xml:space="preserve"> and </w:t>
      </w:r>
      <w:r>
        <w:rPr>
          <w:rFonts w:ascii="Arial" w:cs="Arial" w:eastAsia="Arial" w:hAnsi="Arial"/>
          <w:sz w:val="18"/>
          <w:szCs w:val="18"/>
          <w:color w:val="000000"/>
        </w:rPr>
        <w:t>$5.4 million</w:t>
      </w:r>
      <w:r>
        <w:rPr>
          <w:rFonts w:ascii="Arial" w:cs="Arial" w:eastAsia="Arial" w:hAnsi="Arial"/>
          <w:sz w:val="18"/>
          <w:szCs w:val="18"/>
          <w:color w:val="1E1E1E"/>
        </w:rPr>
        <w:t xml:space="preserve"> during the three and </w:t>
      </w:r>
      <w:r>
        <w:rPr>
          <w:rFonts w:ascii="Arial" w:cs="Arial" w:eastAsia="Arial" w:hAnsi="Arial"/>
          <w:sz w:val="18"/>
          <w:szCs w:val="18"/>
          <w:color w:val="000000"/>
        </w:rPr>
        <w:t>six months ended June 30, 2022, respectively</w:t>
      </w:r>
      <w:r>
        <w:rPr>
          <w:rFonts w:ascii="Arial" w:cs="Arial" w:eastAsia="Arial" w:hAnsi="Arial"/>
          <w:sz w:val="18"/>
          <w:szCs w:val="18"/>
          <w:color w:val="1E1E1E"/>
        </w:rPr>
        <w:t xml:space="preserve">. The Company recorded an impairment of </w:t>
      </w:r>
      <w:r>
        <w:rPr>
          <w:rFonts w:ascii="Arial" w:cs="Arial" w:eastAsia="Arial" w:hAnsi="Arial"/>
          <w:sz w:val="18"/>
          <w:szCs w:val="18"/>
          <w:color w:val="000000"/>
        </w:rPr>
        <w:t>$1.2 million</w:t>
      </w:r>
      <w:r>
        <w:rPr>
          <w:rFonts w:ascii="Arial" w:cs="Arial" w:eastAsia="Arial" w:hAnsi="Arial"/>
          <w:sz w:val="18"/>
          <w:szCs w:val="18"/>
          <w:color w:val="1E1E1E"/>
        </w:rPr>
        <w:t xml:space="preserve"> and </w:t>
      </w:r>
      <w:r>
        <w:rPr>
          <w:rFonts w:ascii="Arial" w:cs="Arial" w:eastAsia="Arial" w:hAnsi="Arial"/>
          <w:sz w:val="18"/>
          <w:szCs w:val="18"/>
          <w:color w:val="000000"/>
        </w:rPr>
        <w:t>$2.8 million</w:t>
      </w:r>
      <w:r>
        <w:rPr>
          <w:rFonts w:ascii="Arial" w:cs="Arial" w:eastAsia="Arial" w:hAnsi="Arial"/>
          <w:sz w:val="18"/>
          <w:szCs w:val="18"/>
          <w:color w:val="1E1E1E"/>
        </w:rPr>
        <w:t xml:space="preserve"> during the </w:t>
      </w:r>
      <w:r>
        <w:rPr>
          <w:rFonts w:ascii="Arial" w:cs="Arial" w:eastAsia="Arial" w:hAnsi="Arial"/>
          <w:sz w:val="18"/>
          <w:szCs w:val="18"/>
          <w:color w:val="000000"/>
        </w:rPr>
        <w:t>six months ended June 30, 2023 and 2022, respectively,</w:t>
      </w:r>
      <w:r>
        <w:rPr>
          <w:rFonts w:ascii="Arial" w:cs="Arial" w:eastAsia="Arial" w:hAnsi="Arial"/>
          <w:sz w:val="18"/>
          <w:szCs w:val="18"/>
          <w:color w:val="1E1E1E"/>
        </w:rPr>
        <w:t xml:space="preserve"> related to construction projects for leasehold improvements as the Company no longer intended to use them. The impairments were recorded in “General and Administrative” in the Condensed Consolidated Statements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six months ended June 30, 2023, the</w:t>
      </w:r>
      <w:r>
        <w:rPr>
          <w:rFonts w:ascii="Arial" w:cs="Arial" w:eastAsia="Arial" w:hAnsi="Arial"/>
          <w:sz w:val="18"/>
          <w:szCs w:val="18"/>
          <w:color w:val="1E1E1E"/>
        </w:rPr>
        <w:t xml:space="preserve"> Company initiated and completed a project to upgrade the BioHive supercomputer for</w:t>
      </w:r>
    </w:p>
    <w:p>
      <w:pPr>
        <w:spacing w:after="0" w:line="2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$1.7 million</w:t>
      </w:r>
      <w:r>
        <w:rPr>
          <w:rFonts w:ascii="Arial" w:cs="Arial" w:eastAsia="Arial" w:hAnsi="Arial"/>
          <w:sz w:val="18"/>
          <w:szCs w:val="18"/>
          <w:color w:val="1E1E1E"/>
        </w:rPr>
        <w:t>. The supercomputer was classified as office equipment in the above table. The increase in lab equipment from the prior year was</w:t>
      </w:r>
      <w:r>
        <w:rPr>
          <w:rFonts w:ascii="Arial" w:cs="Arial" w:eastAsia="Arial" w:hAnsi="Arial"/>
          <w:sz w:val="18"/>
          <w:szCs w:val="18"/>
          <w:color w:val="auto"/>
        </w:rPr>
        <w:t xml:space="preserve"> </w:t>
      </w:r>
      <w:r>
        <w:rPr>
          <w:rFonts w:ascii="Arial" w:cs="Arial" w:eastAsia="Arial" w:hAnsi="Arial"/>
          <w:sz w:val="18"/>
          <w:szCs w:val="18"/>
          <w:color w:val="1E1E1E"/>
        </w:rPr>
        <w:t>driven by the completion of several labs in the headquarters expansion. The majority of the balance was included in construction in progress in the prior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92"/>
        </w:trPr>
        <w:tc>
          <w:tcPr>
            <w:tcW w:w="5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20,433</w:t>
            </w:r>
          </w:p>
        </w:tc>
      </w:tr>
      <w:tr>
        <w:trPr>
          <w:trHeight w:val="236"/>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5,119</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3,372</w:t>
            </w:r>
          </w:p>
        </w:tc>
      </w:tr>
      <w:tr>
        <w:trPr>
          <w:trHeight w:val="23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5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2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37"/>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5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the Company entered into a financing agreement for borrowing $1.9 million as part of the supercomputer upgrade project.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debt will be repaid over a three-year period at a 7% interest rate. As of June 30, 2023, the outstanding balance was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In 2018, the Company borrowed $992 thousand, which was available as part of a lease agreement for use on tenant improvements. The note will be repaid over a 10-year period at an 8% interest rate. As of June 30, 2023, the outstanding balance was $585 thousand.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433"/>
        </w:trPr>
        <w:tc>
          <w:tcPr>
            <w:tcW w:w="4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4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r>
      <w:tr>
        <w:trPr>
          <w:trHeight w:val="23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55"/>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For the three and six months ended June 30, 2023 and 2022, interest income primarily related to earnings on cash and cash equivalents in money market funds. Interest income was included in “Other income, net” on the Condensed Consolidated Statements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acquisition of Valence was accounted for as a business combination using the acquisition method of accounting. The aggregate upfront consideration for the acquisition of Valence consisted of 2,168,020 shares of Recursion Class A common stock, 5,904,827 shares of a subsidiary of Recursion, exchangeable for shares of Recursion’s Class A common stock, 792,011 shares issued upon exercise of stock options held by Valence equity award holders and deferred liabilities for additional consideration. An immaterial amount of the aforementioned share consideration had not yet been issued as of June 30, 2023. Additionally, the final number of shares to be issued had not yet been finalized and so are subject to 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5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Fair value of Exchangeable stock</w:t>
            </w:r>
          </w:p>
        </w:tc>
        <w:tc>
          <w:tcPr>
            <w:tcW w:w="2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30,292</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Valance equity award holders</w:t>
            </w:r>
          </w:p>
        </w:tc>
        <w:tc>
          <w:tcPr>
            <w:tcW w:w="25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29"/>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48"/>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5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 technology</w:t>
            </w:r>
          </w:p>
        </w:tc>
        <w:tc>
          <w:tcPr>
            <w:tcW w:w="34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37"/>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4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w:t>
            </w: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27,749</w:t>
            </w:r>
          </w:p>
        </w:tc>
      </w:tr>
      <w:tr>
        <w:trPr>
          <w:trHeight w:val="255"/>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w:t>
            </w:r>
          </w:p>
        </w:tc>
      </w:tr>
      <w:tr>
        <w:trPr>
          <w:trHeight w:val="20"/>
        </w:trPr>
        <w:tc>
          <w:tcPr>
            <w:tcW w:w="6160" w:type="dxa"/>
            <w:vAlign w:val="bottom"/>
            <w:tcBorders>
              <w:top w:val="single" w:sz="8" w:color="CCEEFF"/>
              <w:bottom w:val="single" w:sz="8" w:color="auto"/>
            </w:tcBorders>
          </w:tcPr>
          <w:p>
            <w:pPr>
              <w:spacing w:after="0" w:line="20" w:lineRule="exact"/>
              <w:rPr>
                <w:sz w:val="1"/>
                <w:szCs w:val="1"/>
                <w:color w:val="auto"/>
              </w:rPr>
            </w:pPr>
          </w:p>
        </w:tc>
        <w:tc>
          <w:tcPr>
            <w:tcW w:w="3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intangible asset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four-year useful life.</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Recursion’s condensed consolidated statement of operations included no net revenue and an immaterial operating loss associated with Valence’s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r>
        <w:rPr>
          <w:rFonts w:ascii="Arial" w:cs="Arial" w:eastAsia="Arial" w:hAnsi="Arial"/>
          <w:sz w:val="18"/>
          <w:szCs w:val="18"/>
          <w:b w:val="1"/>
          <w:bCs w:val="1"/>
          <w:color w:val="auto"/>
        </w:rPr>
        <w:t>.</w:t>
      </w:r>
    </w:p>
    <w:p>
      <w:pPr>
        <w:spacing w:after="0" w:line="249"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1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acquisition of Cyclica was accounted for as a business combination using the acquisition method of accounting. The aggregate upfront consideration for the acquisition of Cyclica consisted of 5,706,089 shares of Recursion Class A common stock, cash payments, 1,000,873 shares issuable upon exercise of stock options held by Cyclica equity award holders and deferred liabilities for additional consideration. Approximately 753 thousand of the aforementioned shares of Class A common stock consideration had not yet been issued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60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49,415</w:t>
            </w:r>
          </w:p>
        </w:tc>
      </w:tr>
      <w:tr>
        <w:trPr>
          <w:trHeight w:val="236"/>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26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6,434</w:t>
            </w:r>
          </w:p>
        </w:tc>
      </w:tr>
      <w:tr>
        <w:trPr>
          <w:trHeight w:val="23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Cyclica equity award holders</w:t>
            </w:r>
          </w:p>
        </w:tc>
        <w:tc>
          <w:tcPr>
            <w:tcW w:w="26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r>
      <w:tr>
        <w:trPr>
          <w:trHeight w:val="22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62"/>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60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62,220</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Intangible assets - technology</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3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Other liabilities, current</w:t>
            </w:r>
          </w:p>
        </w:tc>
        <w:tc>
          <w:tcPr>
            <w:tcW w:w="3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30,255</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31,965</w:t>
            </w:r>
          </w:p>
        </w:tc>
      </w:tr>
      <w:tr>
        <w:trPr>
          <w:trHeight w:val="23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62,220</w:t>
            </w:r>
          </w:p>
        </w:tc>
      </w:tr>
      <w:tr>
        <w:trPr>
          <w:trHeight w:val="27"/>
        </w:trPr>
        <w:tc>
          <w:tcPr>
            <w:tcW w:w="61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intangible assets are related to Cyclica’s digital chemistry platforms. The estimated fair value of the intangible assets were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 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Recursion’s condensed consolidated statement of operations included immaterial net revenue and an immaterial operating loss associated with Cyclica’s operations. As the acquisition occurred in May 2023, the Company is still finalizing the allocation of the purchase price to the individual assets acquired and liabilities assumed. The allocation of the purchase price included in the current period balance sheet is based on the best estimate of management and is preliminary and subject to change. The primary areas subject to change relate to the valuation of the intangible assets, other receivables and deferred taxes. To assist management in the allocation, the Company engaged external specialists. The Company will finalize the amounts recognized as the information necessary to complete the analysis is obtained. The Company expects to finalize these amounts as soon as possible but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table presents the unaudited pro forma combined results of operations of Recursion, Valence and Cyclica as if the acquisitions had occurred on January 1,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(79,586)</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(71,447)</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(153,037)</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(138,213)</w:t>
            </w:r>
          </w:p>
        </w:tc>
      </w:tr>
    </w:tbl>
    <w:p>
      <w:pPr>
        <w:spacing w:after="0" w:line="3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Recursion, Valence and Cyclica. In order to reflect the occurrence of the acquisition on January 1, 2022 as required, the unaudited pro forma financial information includes adjustments to reflect the incremental amortization expense to be incurred based on the fair values of the identifiable intangible assets acquired, the additional stock compensation expense associated with the issuance of equity compensation related to the acquisitions and the reclassification of acquisition costs incurred during the six months ended June 30, 2023 to the six months ended June 30, 2022. The unaudited pro forma financial information is not necessarily indicative of what the consolidated results of operations would have been had the acquisition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Leases</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 has entered into various long-term real estate leases primarily related to office, research and development and operating activities. The Company’s leases have remaining terms from under 1 year to 9 years and some of those leases include options that provide Recursion with the ability to extend the lease term for five years. The options are included in the lease term when it is reasonably certain that the option will be exercised.</w:t>
      </w:r>
    </w:p>
    <w:p>
      <w:pPr>
        <w:spacing w:after="0" w:line="21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For the six months ended June 30, 2023, Recursion entered into lease modifications resulting in an increase to the right-of-use asset and lease liability of $3.4 million. The modifications had no impact to the Condensed Consolidated Statements of Operations.</w:t>
      </w:r>
    </w:p>
    <w:p>
      <w:pPr>
        <w:spacing w:after="0" w:line="20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May 2022, the Company entered into a lease agreement for laboratory and office space in Toronto, Ontario with approximately 28,110 square feet (the “Toronto Lease”). This lease was separated into multiple lease components based on the intended use of the portions of the space. For some of those components, the right of use began May 2022 when the control of the assets was obtained. The right of use for the remaining component began June 2023 when the control of the asset was obtained. The Toronto Lease terms for each component are ten years with a five-year renewal option. The Toronto Lease includes provisions for escalating rent payments and a tenant improvement allowance of up to $1.6 million. Total fixed payments are expected to be approximately $11.1 million with additional variable expenses, including building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Note 7, “Commitments and Contingencies” for information on the Industry lease.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The components of the lease cost are as follows:</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99"/>
        </w:trPr>
        <w:tc>
          <w:tcPr>
            <w:tcW w:w="4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Six months ended June 30, 2023</w:t>
            </w:r>
          </w:p>
        </w:tc>
      </w:tr>
      <w:tr>
        <w:trPr>
          <w:trHeight w:val="23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499</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1,157</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w:t>
            </w: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Lease term and discount rates as of June 30, 2023 were: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June 30, 2023</w:t>
            </w:r>
          </w:p>
        </w:tc>
      </w:tr>
      <w:tr>
        <w:trPr>
          <w:trHeight w:val="23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00" w:type="dxa"/>
            <w:vAlign w:val="bottom"/>
          </w:tcPr>
          <w:p>
            <w:pPr>
              <w:spacing w:after="0"/>
              <w:rPr>
                <w:sz w:val="19"/>
                <w:szCs w:val="19"/>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rPr>
              <w:t>7.2</w:t>
            </w: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7.8 %</w:t>
            </w:r>
          </w:p>
        </w:tc>
      </w:tr>
      <w:tr>
        <w:trPr>
          <w:trHeight w:val="547"/>
        </w:trPr>
        <w:tc>
          <w:tcPr>
            <w:tcW w:w="758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2023 were:</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r>
      <w:tr>
        <w:trPr>
          <w:trHeight w:val="236"/>
        </w:trPr>
        <w:tc>
          <w:tcPr>
            <w:tcW w:w="7580" w:type="dxa"/>
            <w:vAlign w:val="bottom"/>
          </w:tcPr>
          <w:p>
            <w:pPr>
              <w:ind w:left="20"/>
              <w:spacing w:after="0"/>
              <w:rPr>
                <w:sz w:val="20"/>
                <w:szCs w:val="20"/>
                <w:color w:val="auto"/>
              </w:rPr>
            </w:pPr>
            <w:r>
              <w:rPr>
                <w:rFonts w:ascii="Arial" w:cs="Arial" w:eastAsia="Arial" w:hAnsi="Arial"/>
                <w:sz w:val="18"/>
                <w:szCs w:val="18"/>
                <w:color w:val="auto"/>
              </w:rPr>
              <w:t>2024</w:t>
            </w:r>
          </w:p>
        </w:tc>
        <w:tc>
          <w:tcPr>
            <w:tcW w:w="2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9,934</w:t>
            </w:r>
          </w:p>
        </w:tc>
      </w:tr>
      <w:tr>
        <w:trPr>
          <w:trHeight w:val="23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2026</w:t>
            </w:r>
          </w:p>
        </w:tc>
        <w:tc>
          <w:tcPr>
            <w:tcW w:w="2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10,349</w:t>
            </w:r>
          </w:p>
        </w:tc>
      </w:tr>
      <w:tr>
        <w:trPr>
          <w:trHeight w:val="24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2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w:t>
            </w:r>
          </w:p>
        </w:tc>
      </w:tr>
      <w:tr>
        <w:trPr>
          <w:trHeight w:val="237"/>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2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w:t>
            </w:r>
          </w:p>
        </w:tc>
      </w:tr>
      <w:tr>
        <w:trPr>
          <w:trHeight w:val="254"/>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51,069</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758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7"/>
        </w:trPr>
        <w:tc>
          <w:tcPr>
            <w:tcW w:w="7580" w:type="dxa"/>
            <w:vAlign w:val="bottom"/>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2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3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Additions from acquisitions</w:t>
            </w:r>
          </w:p>
        </w:tc>
        <w:tc>
          <w:tcPr>
            <w:tcW w:w="2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59,715</w:t>
            </w:r>
          </w:p>
        </w:tc>
      </w:tr>
      <w:tr>
        <w:trPr>
          <w:trHeight w:val="248"/>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60,516</w:t>
            </w: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additions to goodwill relate to the acquisition of Cyclica and Valence during the three months ended June 30, 2023. See Note 4, “Acquisitions” for additional details. No goodwill impairment was recorded during the three and six months ended June 30, 2023 and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2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200" w:type="dxa"/>
            <w:vAlign w:val="bottom"/>
          </w:tcPr>
          <w:p>
            <w:pPr>
              <w:jc w:val="center"/>
              <w:ind w:right="79"/>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00" w:type="dxa"/>
            <w:vAlign w:val="bottom"/>
          </w:tcPr>
          <w:p>
            <w:pPr>
              <w:jc w:val="right"/>
              <w:ind w:right="197"/>
              <w:spacing w:after="0" w:line="143" w:lineRule="exact"/>
              <w:rPr>
                <w:sz w:val="20"/>
                <w:szCs w:val="20"/>
                <w:color w:val="auto"/>
              </w:rPr>
            </w:pPr>
            <w:r>
              <w:rPr>
                <w:rFonts w:ascii="Arial" w:cs="Arial" w:eastAsia="Arial" w:hAnsi="Arial"/>
                <w:sz w:val="14"/>
                <w:szCs w:val="14"/>
                <w:b w:val="1"/>
                <w:bCs w:val="1"/>
                <w:color w:val="auto"/>
              </w:rPr>
              <w:t>Net carrying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ind w:right="97"/>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420" w:type="dxa"/>
            <w:vAlign w:val="bottom"/>
          </w:tcPr>
          <w:p>
            <w:pPr>
              <w:jc w:val="center"/>
              <w:ind w:right="39"/>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tcPr>
          <w:p>
            <w:pPr>
              <w:jc w:val="right"/>
              <w:ind w:right="217"/>
              <w:spacing w:after="0" w:line="14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Definite-lived intangible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41,853</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42,757</w:t>
            </w: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The definite-lived intangible assets balance increased during the three and six months ended June 30, 2023 due to the Company’s acquisitions. See Note 4, “Acquisitions” for additional details on the intangible assets acquired.</w:t>
      </w:r>
    </w:p>
    <w:p>
      <w:pPr>
        <w:spacing w:after="0" w:line="20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Amortization expense was $1.6 million and $1.7 million during the three and six months ended June 30, 2023, respectively. Amortization expense was $76 thousand and $152 thousand during the three and six months ended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June 30, 2022, respectively. Amortization expense was included in research and development in the Condensed Consolidated Statements of Operations.</w:t>
      </w:r>
    </w:p>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indefinite-lived intangible asset represents the Recursion domain name that the Company purchased. No indefinite-lived intangible asset impairment charges were recorded during the three and six months ended June 30, 2023 and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62"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6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June 30, 2023 and December 31, 2022, as no amounts were probable.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62" w:lineRule="exact"/>
        <w:rPr>
          <w:sz w:val="20"/>
          <w:szCs w:val="20"/>
          <w:color w:val="auto"/>
        </w:rPr>
      </w:pPr>
    </w:p>
    <w:p>
      <w:pPr>
        <w:jc w:val="both"/>
        <w:ind w:right="40"/>
        <w:spacing w:after="0" w:line="306"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49" w:lineRule="exact"/>
        <w:rPr>
          <w:sz w:val="20"/>
          <w:szCs w:val="20"/>
          <w:color w:val="auto"/>
        </w:rPr>
      </w:pPr>
    </w:p>
    <w:p>
      <w:pPr>
        <w:spacing w:after="0" w:line="237" w:lineRule="auto"/>
        <w:rPr>
          <w:sz w:val="20"/>
          <w:szCs w:val="20"/>
          <w:color w:val="auto"/>
        </w:rPr>
      </w:pPr>
      <w:r>
        <w:rPr>
          <w:rFonts w:ascii="Arial" w:cs="Arial" w:eastAsia="Arial" w:hAnsi="Arial"/>
          <w:sz w:val="18"/>
          <w:szCs w:val="18"/>
          <w:color w:val="1E1E1E"/>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w:t>
      </w:r>
      <w:r>
        <w:rPr>
          <w:rFonts w:ascii="Arial" w:cs="Arial" w:eastAsia="Arial" w:hAnsi="Arial"/>
          <w:sz w:val="18"/>
          <w:szCs w:val="18"/>
          <w:i w:val="1"/>
          <w:iCs w:val="1"/>
          <w:color w:val="1E1E1E"/>
        </w:rPr>
        <w:t>Industry Office SLC, LLC v. Recursion Pharmaceuticals, Inc.</w:t>
      </w:r>
      <w:r>
        <w:rPr>
          <w:rFonts w:ascii="Arial" w:cs="Arial" w:eastAsia="Arial" w:hAnsi="Arial"/>
          <w:sz w:val="18"/>
          <w:szCs w:val="18"/>
          <w:color w:val="1E1E1E"/>
        </w:rPr>
        <w:t>, Case No. 230904627) in the Third District Court for Salt Lake County, State of Utah, alleging anticipatory repudiation and breach of contract. The Plaintiff seeks monetary damages and attorney’s fees. In July 2023, the Company filed a motion to dismiss. The Company is unable to estimate the</w:t>
      </w:r>
    </w:p>
    <w:p>
      <w:pPr>
        <w:spacing w:after="0" w:line="1"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1E1E1E"/>
        </w:rPr>
        <w:t xml:space="preserve">possible damages or range of damages associated with the Landlord’s complaint. </w:t>
      </w:r>
      <w:r>
        <w:rPr>
          <w:rFonts w:ascii="Arial" w:cs="Arial" w:eastAsia="Arial" w:hAnsi="Arial"/>
          <w:sz w:val="18"/>
          <w:szCs w:val="18"/>
          <w:color w:val="000000"/>
        </w:rPr>
        <w:t>As of</w:t>
      </w:r>
      <w:r>
        <w:rPr>
          <w:rFonts w:ascii="Arial" w:cs="Arial" w:eastAsia="Arial" w:hAnsi="Arial"/>
          <w:sz w:val="18"/>
          <w:szCs w:val="18"/>
          <w:color w:val="1E1E1E"/>
        </w:rPr>
        <w:t xml:space="preserve"> June 30, 2023, the Company had no liability recorded for these events as an unfavorable outcome was not probable.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June 30, 2023 and December 31, 2022, no dividends had been declared.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Valence Acquisition Exchangeable Shares</w:t>
      </w:r>
    </w:p>
    <w:p>
      <w:pPr>
        <w:spacing w:after="0" w:line="2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5,904,827 shares of Class A common stock (the “Exchange Shares”), that may be issued upon exchange, retraction or redemption of exchangeable shares of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14998685 Canada Inc., a corporation governed by the laws of Canada and an indirect wholly-owned subsidiary of Recursion. Each exchangeable share of a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The Company’s calculation of weighted-average shares outstanding includes the exchangeable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Private Placement</w:t>
      </w:r>
    </w:p>
    <w:p>
      <w:pPr>
        <w:spacing w:after="0" w:line="26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October 2022</w:t>
      </w:r>
      <w:r>
        <w:rPr>
          <w:rFonts w:ascii="Arial" w:cs="Arial" w:eastAsia="Arial" w:hAnsi="Arial"/>
          <w:sz w:val="18"/>
          <w:szCs w:val="18"/>
          <w:color w:val="1E1E1E"/>
        </w:rPr>
        <w:t>, Recursion issued 15,336,734 shares of the Company’s Class A common stock (the Shares) at a purchase price of $9.80 per share in a private placement (the 2022 Private Placement) to qualified institutional buyers and institutional accredited investors (the Purchasers) for net proceeds of $143.7 million, after deducting fees and offering costs of $6.6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resale shares by the Sellers. The agreement must remain effective for a period of not less than three years.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 in connection with the acquisition of Cylica,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June 2023</w:t>
      </w:r>
      <w:r>
        <w:rPr>
          <w:rFonts w:ascii="Arial" w:cs="Arial" w:eastAsia="Arial" w:hAnsi="Arial"/>
          <w:sz w:val="18"/>
          <w:szCs w:val="18"/>
          <w:color w:val="auto"/>
        </w:rPr>
        <w:t xml:space="preserve"> to register the resale shares by the Sellers. The agreement must be continuously effective until the earlier of the date that all shares have been sold thereunder or are able to be publicly sold by relying on Rule 144 of the Securities Act without registration.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Placement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 xml:space="preserve">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1.0% of the aggregate purchase price paid by the holder without limit until the agreement is cured. As of June 30, 2023, there was no accrued liability related to this agreement, as it was not probable that a payment would be required.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June 30, 2023, Dr. Gibson and his affiliates held outstanding shares of Class B common stock representing approximately 28%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June 30, 2023, Dr. Gibson and his affiliates would hold approximately 31%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million for 16 accepted Phenomaps. In addition, for a period of time after Roche’s acceptance of certain Phenomaps, Roche will have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Accounting Standards Codification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70"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9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costs. A significant change in these estimates could have a material effect on the timing and amount of revenue recognized in future periods.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Recursion has estimated the completion of the performance obligations by 2025.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its proprietary library and Bayer contributed compounds from its proprietary library and will contribute scientific expertise throughout the collaboration. Under each research project, the Company will work with Bayer to identify potential candidates for development. Under the agreement, Bayer has the first option for licenses to potential candidates.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9"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October 2020, the Company received a $30.0 million non-refundable upfront payment. Each such license could potentially result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it has one performance obligation under the agreement, which is to perform research and development</w:t>
      </w:r>
    </w:p>
    <w:p>
      <w:pPr>
        <w:ind w:right="160"/>
        <w:spacing w:after="0"/>
        <w:rPr>
          <w:sz w:val="20"/>
          <w:szCs w:val="20"/>
          <w:color w:val="auto"/>
        </w:rPr>
      </w:pPr>
      <w:r>
        <w:rPr>
          <w:rFonts w:ascii="Arial" w:cs="Arial" w:eastAsia="Arial" w:hAnsi="Arial"/>
          <w:sz w:val="17"/>
          <w:szCs w:val="17"/>
          <w:color w:val="auto"/>
        </w:rPr>
        <w:t>services for Bayer. Recursion determined the transaction price to be $30.0 million, comprised of the upfront payment. The Company allocated the amount to the single performance obligation. The Company is recognizing revenue over time by measuring progress towards</w:t>
      </w:r>
    </w:p>
    <w:p>
      <w:pPr>
        <w:spacing w:after="0" w:line="235" w:lineRule="auto"/>
        <w:rPr>
          <w:sz w:val="20"/>
          <w:szCs w:val="20"/>
          <w:color w:val="auto"/>
        </w:rPr>
      </w:pPr>
      <w:r>
        <w:rPr>
          <w:rFonts w:ascii="Arial" w:cs="Arial" w:eastAsia="Arial" w:hAnsi="Arial"/>
          <w:sz w:val="18"/>
          <w:szCs w:val="18"/>
          <w:color w:val="auto"/>
        </w:rPr>
        <w:t>completion of the performance obligation. This method of recognizing revenue requires the Company to make estimates of the total time to</w:t>
      </w:r>
    </w:p>
    <w:p>
      <w:pPr>
        <w:spacing w:after="0" w:line="235" w:lineRule="auto"/>
        <w:rPr>
          <w:sz w:val="20"/>
          <w:szCs w:val="20"/>
          <w:color w:val="auto"/>
        </w:rPr>
      </w:pPr>
      <w:r>
        <w:rPr>
          <w:rFonts w:ascii="Arial" w:cs="Arial" w:eastAsia="Arial" w:hAnsi="Arial"/>
          <w:sz w:val="18"/>
          <w:szCs w:val="18"/>
          <w:color w:val="auto"/>
        </w:rPr>
        <w:t>provide the services required under the performance obligation. A significant change in these estimates could have a material effect on the</w:t>
      </w:r>
    </w:p>
    <w:p>
      <w:pPr>
        <w:spacing w:after="0"/>
        <w:rPr>
          <w:sz w:val="20"/>
          <w:szCs w:val="20"/>
          <w:color w:val="auto"/>
        </w:rPr>
      </w:pPr>
      <w:r>
        <w:rPr>
          <w:rFonts w:ascii="Arial" w:cs="Arial" w:eastAsia="Arial" w:hAnsi="Arial"/>
          <w:sz w:val="18"/>
          <w:szCs w:val="18"/>
          <w:color w:val="auto"/>
        </w:rPr>
        <w:t>timing and amount of revenue recognized in future periods. Recursion has estimated the completion of the performance obligation by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Recursion recognized $11.0 million and $23.1 million of operating revenue during the three and six months ended June 30, 2023, respectively, primarily all of which was included in the unearned revenue balance as of December 31, 2022. Of the revenue recognized during the three and six months ended June 30, 2022, $ 2.5 million and $5.0 million, respectively, were included in the unearned revenue balance as of December 31, 2021. Revenue recognized was from upfront payments received at the inception of the related contracts, which decreased the initial unearned revenue recognized. As of June 30, 2023, the Company had $7.1 million of costs incurred to fulfill a contract on its Condensed Consolidated Balance Sheet within “Other current assets.”</w:t>
      </w:r>
    </w:p>
    <w:p>
      <w:pPr>
        <w:spacing w:after="0" w:line="22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6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previous 2016 Plan. The Company may grant stock options, restricted stock units (RSUs), stock appreciation rights, restricted stock awards and other forms of stock-based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7,218,696 shares of Class A common stock were available for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following table presents the classification of stock-based compensation expense for stock options and RSUs for employees and non-employees within the Condensed Consolidated Statements of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4,329</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7,012</w:t>
            </w:r>
          </w:p>
        </w:tc>
        <w:tc>
          <w:tcPr>
            <w:tcW w:w="4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3,729</w:t>
            </w:r>
          </w:p>
        </w:tc>
      </w:tr>
      <w:tr>
        <w:trPr>
          <w:trHeight w:val="236"/>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6,288</w:t>
            </w: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10,845</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62"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six months ended June 30, 2023 was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w:t>
            </w:r>
          </w:p>
        </w:tc>
        <w:tc>
          <w:tcPr>
            <w:tcW w:w="2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100" w:type="dxa"/>
            <w:vAlign w:val="bottom"/>
          </w:tcPr>
          <w:p>
            <w:pPr>
              <w:jc w:val="center"/>
              <w:ind w:left="359"/>
              <w:spacing w:after="0" w:line="135" w:lineRule="exact"/>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Contractual Life</w:t>
            </w:r>
          </w:p>
        </w:tc>
        <w:tc>
          <w:tcPr>
            <w:tcW w:w="1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04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99"/>
              </w:rPr>
              <w:t>Price</w:t>
            </w:r>
          </w:p>
        </w:tc>
        <w:tc>
          <w:tcPr>
            <w:tcW w:w="4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16,154,924</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5.10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Granted</w:t>
            </w:r>
          </w:p>
        </w:tc>
        <w:tc>
          <w:tcPr>
            <w:tcW w:w="2020" w:type="dxa"/>
            <w:vAlign w:val="bottom"/>
          </w:tcPr>
          <w:p>
            <w:pPr>
              <w:jc w:val="right"/>
              <w:spacing w:after="0"/>
              <w:rPr>
                <w:sz w:val="20"/>
                <w:szCs w:val="20"/>
                <w:color w:val="auto"/>
              </w:rPr>
            </w:pPr>
            <w:r>
              <w:rPr>
                <w:rFonts w:ascii="Arial" w:cs="Arial" w:eastAsia="Arial" w:hAnsi="Arial"/>
                <w:sz w:val="18"/>
                <w:szCs w:val="18"/>
                <w:color w:val="auto"/>
              </w:rPr>
              <w:t>5,083,268</w:t>
            </w:r>
          </w:p>
        </w:tc>
        <w:tc>
          <w:tcPr>
            <w:tcW w:w="110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6.23</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(769,263)</w:t>
            </w: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8.50</w:t>
            </w:r>
          </w:p>
        </w:tc>
        <w:tc>
          <w:tcPr>
            <w:tcW w:w="2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(1,974,737)</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2.18</w:t>
            </w:r>
          </w:p>
        </w:tc>
        <w:tc>
          <w:tcPr>
            <w:tcW w:w="2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18,494,192</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5.59</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as of June 30, 2023</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10,429,518</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4.22</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six months ended June 30, 2023 and 2022 were $5.55 and $6.57,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8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Six months ended June 30,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Borders>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6"/>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66 %</w:t>
            </w:r>
          </w:p>
        </w:tc>
        <w:tc>
          <w:tcPr>
            <w:tcW w:w="18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3.6 %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bl>
    <w:p>
      <w:pPr>
        <w:spacing w:after="0" w:line="3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June 30, 2023, $37.6 million of unrecognized compensation cost related to stock options is expected to be recognized as expense over approximately the next three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six months ended June 30,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7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6,894,525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13,306,404</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(1,235,509)</w:t>
            </w: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(473,167)</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18,492,253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fair market value of RSUs vested was $9.8 million during the six months ended June 30, 2023. As of June 30, 2023, $150.1 million of unrecognized compensation cost related to RSUs is expected to be recognized as expense over approximately the next four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76" w:lineRule="exact"/>
        <w:rPr>
          <w:sz w:val="20"/>
          <w:szCs w:val="20"/>
          <w:color w:val="auto"/>
        </w:rPr>
      </w:pPr>
    </w:p>
    <w:p>
      <w:pPr>
        <w:ind w:right="220"/>
        <w:spacing w:after="0" w:line="286" w:lineRule="auto"/>
        <w:rPr>
          <w:sz w:val="20"/>
          <w:szCs w:val="20"/>
          <w:color w:val="auto"/>
        </w:rPr>
      </w:pPr>
      <w:r>
        <w:rPr>
          <w:rFonts w:ascii="Arial" w:cs="Arial" w:eastAsia="Arial" w:hAnsi="Arial"/>
          <w:sz w:val="18"/>
          <w:szCs w:val="18"/>
          <w:color w:val="auto"/>
        </w:rPr>
        <w:t>The Company did not record any U.S. income tax expense during the three and six months ended June 30, 2023 and 2022. The Company has historically incurred operating losses and maintains a full valuation allowance against its net deferred tax assets. Foreign taxes were insignificant during the three and six months ended June 30, 2023 and 2022.</w:t>
      </w:r>
    </w:p>
    <w:p>
      <w:pPr>
        <w:spacing w:after="0" w:line="2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have occurred previously or that could occur in the future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ownership has occurred or whether there have been multiple ownership changes since inception due to the significant complexity and cost associated with such a study. If the Company has experienced a change of ownership,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22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files income tax returns in the United States, Canada, United Kingdom, Utah, California and Massachusetts. The Company is not currently under examination in any of these jurisdictions. The Company is subject to income tax examinations on all federal returns since the 2016 tax return.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12. Net Loss Per Share</w:t>
      </w:r>
    </w:p>
    <w:p>
      <w:pPr>
        <w:spacing w:after="0" w:line="27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For the three and six months ended June 30, 2023 and 2022, Recursion calculated net loss per share of Class A, Class B and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six months ended June 30, 2023 and 2022</w:t>
      </w:r>
      <w:r>
        <w:rPr>
          <w:rFonts w:ascii="Arial" w:cs="Arial" w:eastAsia="Arial" w:hAnsi="Arial"/>
          <w:sz w:val="18"/>
          <w:szCs w:val="18"/>
          <w:color w:val="1E1E1E"/>
        </w:rPr>
        <w:t>, the Company reported a net loss and therefore basic and diluted</w:t>
      </w:r>
      <w:r>
        <w:rPr>
          <w:rFonts w:ascii="Arial" w:cs="Arial" w:eastAsia="Arial" w:hAnsi="Arial"/>
          <w:sz w:val="18"/>
          <w:szCs w:val="18"/>
          <w:color w:val="auto"/>
        </w:rPr>
        <w:t xml:space="preserve"> </w:t>
      </w:r>
      <w:r>
        <w:rPr>
          <w:rFonts w:ascii="Arial" w:cs="Arial" w:eastAsia="Arial" w:hAnsi="Arial"/>
          <w:sz w:val="18"/>
          <w:szCs w:val="18"/>
          <w:color w:val="1E1E1E"/>
        </w:rPr>
        <w:t>loss per share were the same.</w:t>
      </w:r>
    </w:p>
    <w:p>
      <w:pPr>
        <w:spacing w:after="0" w:line="270"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Exchangeable common stock are substantially identical, except with respect to voting. As a result, the undistributed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earnings for each period are allocated based on the contractual participation rights of the Class A, Class B and Exchangeable common shares as if the earnings for the period had been distributed. As the liquidation and dividend rights are identical, the undistributed earnings are allocated on a proportionate basis and the resulting amount per share for Class A, Class B and Exchangeable common stock was the same during the three and six months ended June 30, 2023 and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4"/>
          </w:tcPr>
          <w:p>
            <w:pPr>
              <w:jc w:val="center"/>
              <w:ind w:left="937"/>
              <w:spacing w:after="0"/>
              <w:rPr>
                <w:sz w:val="20"/>
                <w:szCs w:val="20"/>
                <w:color w:val="auto"/>
              </w:rPr>
            </w:pPr>
            <w:r>
              <w:rPr>
                <w:rFonts w:ascii="Arial" w:cs="Arial" w:eastAsia="Arial" w:hAnsi="Arial"/>
                <w:sz w:val="18"/>
                <w:szCs w:val="18"/>
                <w:b w:val="1"/>
                <w:bCs w:val="1"/>
                <w:color w:val="auto"/>
              </w:rPr>
              <w:t>Three months ended</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4"/>
          </w:tcPr>
          <w:p>
            <w:pPr>
              <w:jc w:val="center"/>
              <w:ind w:left="977"/>
              <w:spacing w:after="0"/>
              <w:rPr>
                <w:sz w:val="20"/>
                <w:szCs w:val="20"/>
                <w:color w:val="auto"/>
              </w:rPr>
            </w:pPr>
            <w:r>
              <w:rPr>
                <w:rFonts w:ascii="Arial" w:cs="Arial" w:eastAsia="Arial" w:hAnsi="Arial"/>
                <w:sz w:val="18"/>
                <w:szCs w:val="18"/>
                <w:b w:val="1"/>
                <w:bCs w:val="1"/>
                <w:color w:val="auto"/>
                <w:w w:val="99"/>
              </w:rPr>
              <w:t>Six months ended</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3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right"/>
              <w:ind w:right="337"/>
              <w:spacing w:after="0"/>
              <w:rPr>
                <w:sz w:val="20"/>
                <w:szCs w:val="20"/>
                <w:color w:val="auto"/>
              </w:rPr>
            </w:pPr>
            <w:r>
              <w:rPr>
                <w:rFonts w:ascii="Arial" w:cs="Arial" w:eastAsia="Arial" w:hAnsi="Arial"/>
                <w:sz w:val="16"/>
                <w:szCs w:val="16"/>
                <w:b w:val="1"/>
                <w:bCs w:val="1"/>
                <w:color w:val="auto"/>
              </w:rPr>
              <w:t>Class A</w:t>
            </w:r>
          </w:p>
        </w:tc>
        <w:tc>
          <w:tcPr>
            <w:tcW w:w="120" w:type="dxa"/>
            <w:vAlign w:val="bottom"/>
          </w:tcPr>
          <w:p>
            <w:pPr>
              <w:spacing w:after="0"/>
              <w:rPr>
                <w:sz w:val="11"/>
                <w:szCs w:val="11"/>
                <w:color w:val="auto"/>
              </w:rPr>
            </w:pPr>
          </w:p>
        </w:tc>
        <w:tc>
          <w:tcPr>
            <w:tcW w:w="1300" w:type="dxa"/>
            <w:vAlign w:val="bottom"/>
            <w:vMerge w:val="restart"/>
          </w:tcPr>
          <w:p>
            <w:pPr>
              <w:jc w:val="center"/>
              <w:ind w:right="17"/>
              <w:spacing w:after="0"/>
              <w:rPr>
                <w:sz w:val="20"/>
                <w:szCs w:val="20"/>
                <w:color w:val="auto"/>
              </w:rPr>
            </w:pPr>
            <w:r>
              <w:rPr>
                <w:rFonts w:ascii="Arial" w:cs="Arial" w:eastAsia="Arial" w:hAnsi="Arial"/>
                <w:sz w:val="16"/>
                <w:szCs w:val="16"/>
                <w:b w:val="1"/>
                <w:bCs w:val="1"/>
                <w:color w:val="auto"/>
              </w:rPr>
              <w:t>Class B</w:t>
            </w:r>
          </w:p>
        </w:tc>
        <w:tc>
          <w:tcPr>
            <w:tcW w:w="200" w:type="dxa"/>
            <w:vAlign w:val="bottom"/>
          </w:tcPr>
          <w:p>
            <w:pPr>
              <w:spacing w:after="0"/>
              <w:rPr>
                <w:sz w:val="11"/>
                <w:szCs w:val="11"/>
                <w:color w:val="auto"/>
              </w:rPr>
            </w:pPr>
          </w:p>
        </w:tc>
        <w:tc>
          <w:tcPr>
            <w:tcW w:w="1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Exchangeable</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ind w:right="337"/>
              <w:spacing w:after="0"/>
              <w:rPr>
                <w:sz w:val="20"/>
                <w:szCs w:val="20"/>
                <w:color w:val="auto"/>
              </w:rPr>
            </w:pPr>
            <w:r>
              <w:rPr>
                <w:rFonts w:ascii="Arial" w:cs="Arial" w:eastAsia="Arial" w:hAnsi="Arial"/>
                <w:sz w:val="16"/>
                <w:szCs w:val="16"/>
                <w:b w:val="1"/>
                <w:bCs w:val="1"/>
                <w:color w:val="auto"/>
              </w:rPr>
              <w:t>Class A</w:t>
            </w:r>
          </w:p>
        </w:tc>
        <w:tc>
          <w:tcPr>
            <w:tcW w:w="140" w:type="dxa"/>
            <w:vAlign w:val="bottom"/>
          </w:tcPr>
          <w:p>
            <w:pPr>
              <w:spacing w:after="0"/>
              <w:rPr>
                <w:sz w:val="11"/>
                <w:szCs w:val="11"/>
                <w:color w:val="auto"/>
              </w:rPr>
            </w:pPr>
          </w:p>
        </w:tc>
        <w:tc>
          <w:tcPr>
            <w:tcW w:w="130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98"/>
              </w:rPr>
              <w:t>Class B</w:t>
            </w:r>
          </w:p>
        </w:tc>
        <w:tc>
          <w:tcPr>
            <w:tcW w:w="160" w:type="dxa"/>
            <w:vAlign w:val="bottom"/>
          </w:tcPr>
          <w:p>
            <w:pPr>
              <w:spacing w:after="0"/>
              <w:rPr>
                <w:sz w:val="11"/>
                <w:szCs w:val="11"/>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Exchangeable</w:t>
            </w:r>
          </w:p>
        </w:tc>
        <w:tc>
          <w:tcPr>
            <w:tcW w:w="0" w:type="dxa"/>
            <w:vAlign w:val="bottom"/>
          </w:tcPr>
          <w:p>
            <w:pPr>
              <w:spacing w:after="0"/>
              <w:rPr>
                <w:sz w:val="1"/>
                <w:szCs w:val="1"/>
                <w:color w:val="auto"/>
              </w:rPr>
            </w:pPr>
          </w:p>
        </w:tc>
      </w:tr>
      <w:tr>
        <w:trPr>
          <w:trHeight w:val="202"/>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4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Allocation of undistributed</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(71,945)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(133,067)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w:t>
            </w:r>
          </w:p>
        </w:tc>
        <w:tc>
          <w:tcPr>
            <w:tcW w:w="2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34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Weighted average common</w:t>
            </w: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188,863,596</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7,697,294</w:t>
            </w:r>
          </w:p>
        </w:tc>
        <w:tc>
          <w:tcPr>
            <w:tcW w:w="2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4,854,585</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186,371,442</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7,731,777</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4,854,585</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shares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20"/>
              <w:spacing w:after="0" w:line="162" w:lineRule="exact"/>
              <w:rPr>
                <w:sz w:val="20"/>
                <w:szCs w:val="20"/>
                <w:color w:val="auto"/>
              </w:rPr>
            </w:pPr>
            <w:r>
              <w:rPr>
                <w:rFonts w:ascii="Arial" w:cs="Arial" w:eastAsia="Arial" w:hAnsi="Arial"/>
                <w:sz w:val="16"/>
                <w:szCs w:val="16"/>
                <w:color w:val="auto"/>
              </w:rPr>
              <w:t>Net loss per share, basic and</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(0.71)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(0.71)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June 30, 2022</w:t>
            </w:r>
          </w:p>
        </w:tc>
      </w:tr>
      <w:tr>
        <w:trPr>
          <w:trHeight w:val="27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w:t>
            </w:r>
            <w:r>
              <w:rPr>
                <w:rFonts w:ascii="Arial" w:cs="Arial" w:eastAsia="Arial" w:hAnsi="Arial"/>
                <w:sz w:val="14"/>
                <w:szCs w:val="14"/>
                <w:b w:val="1"/>
                <w:bCs w:val="1"/>
                <w:color w:val="1E1E1E"/>
              </w:rPr>
              <w:t>except share amounts</w:t>
            </w: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Class A</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Class B</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Allocation of undistributed earnings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(115,476)</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5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164,116,317</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8,096,073</w:t>
            </w:r>
          </w:p>
        </w:tc>
        <w:tc>
          <w:tcPr>
            <w:tcW w:w="2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162,901,989</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8,553,606</w:t>
            </w:r>
          </w:p>
        </w:tc>
      </w:tr>
      <w:tr>
        <w:trPr>
          <w:trHeight w:val="22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45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Three months ended June 30,</w:t>
            </w:r>
          </w:p>
        </w:tc>
        <w:tc>
          <w:tcPr>
            <w:tcW w:w="32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39"/>
        </w:trPr>
        <w:tc>
          <w:tcPr>
            <w:tcW w:w="35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1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5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7,719,063</w:t>
            </w: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8,229,000</w:t>
            </w:r>
          </w:p>
        </w:tc>
        <w:tc>
          <w:tcPr>
            <w:tcW w:w="1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7,996,333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10,481,602</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21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Morgan, which was obtained to secure certain Company obligations relating to tenant improvements. Recursion also holds restricted cash related to a Bill and Melinda Gates Foundation grant.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0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3</w:t>
            </w:r>
          </w:p>
        </w:tc>
      </w:tr>
      <w:tr>
        <w:trPr>
          <w:trHeight w:val="224"/>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10,954</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10,954</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55"/>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374,499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374,499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gridSpan w:val="4"/>
          </w:tcPr>
          <w:p>
            <w:pPr>
              <w:spacing w:after="0" w:line="20" w:lineRule="exact"/>
              <w:rPr>
                <w:sz w:val="1"/>
                <w:szCs w:val="1"/>
                <w:color w:val="auto"/>
              </w:rPr>
            </w:pPr>
          </w:p>
        </w:tc>
      </w:tr>
      <w:tr>
        <w:trPr>
          <w:trHeight w:val="305"/>
        </w:trPr>
        <w:tc>
          <w:tcPr>
            <w:tcW w:w="3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0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3</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55"/>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413,813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jc w:val="right"/>
              <w:ind w:right="1412"/>
              <w:spacing w:after="0"/>
              <w:rPr>
                <w:sz w:val="20"/>
                <w:szCs w:val="20"/>
                <w:color w:val="auto"/>
              </w:rPr>
            </w:pPr>
            <w:r>
              <w:rPr>
                <w:rFonts w:ascii="Arial" w:cs="Arial" w:eastAsia="Arial" w:hAnsi="Arial"/>
                <w:sz w:val="16"/>
                <w:szCs w:val="16"/>
                <w:b w:val="1"/>
                <w:bCs w:val="1"/>
                <w:color w:val="auto"/>
              </w:rPr>
              <w:t>Book values</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jc w:val="right"/>
              <w:ind w:right="1452"/>
              <w:spacing w:after="0"/>
              <w:rPr>
                <w:sz w:val="20"/>
                <w:szCs w:val="20"/>
                <w:color w:val="auto"/>
              </w:rPr>
            </w:pPr>
            <w:r>
              <w:rPr>
                <w:rFonts w:ascii="Arial" w:cs="Arial" w:eastAsia="Arial" w:hAnsi="Arial"/>
                <w:sz w:val="16"/>
                <w:szCs w:val="16"/>
                <w:b w:val="1"/>
                <w:bCs w:val="1"/>
                <w:color w:val="auto"/>
              </w:rPr>
              <w:t>Fair values</w:t>
            </w: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2022</w:t>
            </w: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Notes payable, net of current portion</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54"/>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2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July 11, 2023, Recursion entered into a Stock Purchase Agreement for a private placement with NVIDIA Corporation (2023 Private Placement), pursuant to which the Company sold an aggregate of 7,706,363 shares of the Company’s Class A common stock at a price of $6.49 per share for gross proceeds of approximately $50.0 million, before deducting expenses. As of the time of the closing of the 2023 Private Placement, the shares issued were not registered under the Securities Act of 1933, as amended. In connection with the 2023 Private Placement, the Company and the purchasers entered into a Registration Rights Agreement providing for the registration for resale of the shares. The Company is required to use commercially reasonable efforts to prepare and file a registration statement (or a prospectus supplement within 30 days after the closing date of the 2023 Private Placement, and to use commercially reasonable efforts to have the registration statement declared effective as soon as practicable and in any event within 90 days following the closing date). After the registration, the Company has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agreed to use commercially reasonable efforts to keep the registration statement continuously effective until such date that all Registrable Securities (as such term is defined in the Registration Rights Agreement) covered by the registration statement or prospectus supplement have been sold.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8, 2023, the Company entered into an Open Market Sales agreement (the “Sales Agreement”) with Jefferies LLC, whereby the Company may issue shares of Class A common stock, representing an aggregate offering price of up to $300.0 million, from time to time, through an “at the market offering” program under which Jefferies acts as the sales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2022.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Annual Report on Form 10-K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1E1E1E"/>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Recursion is a clinical stage TechBio company leading this burgeoning space by decoding biology and chemistry to industrialize drug discovery. Central to our mission is the Recursion Operating System (OS), a platform built across diverse technologies that enables us to map and navigate trillions of biological and chemical relationships within the Recursion Data Universe, one of the world’s largest proprietary biological and chemical datasets. We frame this integration of the physical and digital components as iterative loops of atoms and bits. Scaled ‘wet-lab’ biology and chemistry data built in-house (atoms) are organized into virtuous cycles with ‘dry-lab’ computational tools (bits)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 Our focus on mapping and navigating the complexities of biology and chemistry beyond the published literature and in a target-agnostic way differentiates us from other companies in our space and leads us to confront a fundamental cause of failure for the majority of clinical-stage programs - the wrong target is chosen due to an incomplete and reductionist view of biology. Our balanced team of life scientists and computational and technical experts creates an environment where empirical data, statistical rigor and creative thinking are brought to bear on our decisions.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leverage our Recursion OS to enable three key value drivers:</w:t>
      </w:r>
    </w:p>
    <w:p>
      <w:pPr>
        <w:spacing w:after="0" w:line="21" w:lineRule="exact"/>
        <w:rPr>
          <w:sz w:val="20"/>
          <w:szCs w:val="20"/>
          <w:color w:val="auto"/>
        </w:rPr>
      </w:pPr>
    </w:p>
    <w:p>
      <w:pPr>
        <w:ind w:left="660" w:right="40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An expansive </w:t>
      </w:r>
      <w:r>
        <w:rPr>
          <w:rFonts w:ascii="Arial" w:cs="Arial" w:eastAsia="Arial" w:hAnsi="Arial"/>
          <w:sz w:val="17"/>
          <w:szCs w:val="17"/>
          <w:b w:val="1"/>
          <w:bCs w:val="1"/>
          <w:color w:val="auto"/>
        </w:rPr>
        <w:t>pipeline</w:t>
      </w:r>
      <w:r>
        <w:rPr>
          <w:rFonts w:ascii="Arial" w:cs="Arial" w:eastAsia="Arial" w:hAnsi="Arial"/>
          <w:sz w:val="17"/>
          <w:szCs w:val="17"/>
          <w:color w:val="auto"/>
        </w:rPr>
        <w:t xml:space="preserve"> of internally-developed clinical and preclinical programs focused on genetically-driven rare diseases and oncology with significant unmet need and market opportunities in some cases potentially in excess of $1 billion in annual sales</w:t>
      </w:r>
    </w:p>
    <w:p>
      <w:pPr>
        <w:ind w:left="660" w:right="20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Transformational </w:t>
      </w:r>
      <w:r>
        <w:rPr>
          <w:rFonts w:ascii="Arial" w:cs="Arial" w:eastAsia="Arial" w:hAnsi="Arial"/>
          <w:sz w:val="17"/>
          <w:szCs w:val="17"/>
          <w:b w:val="1"/>
          <w:bCs w:val="1"/>
          <w:color w:val="auto"/>
        </w:rPr>
        <w:t>partnerships</w:t>
      </w:r>
      <w:r>
        <w:rPr>
          <w:rFonts w:ascii="Arial" w:cs="Arial" w:eastAsia="Arial" w:hAnsi="Arial"/>
          <w:sz w:val="17"/>
          <w:szCs w:val="17"/>
          <w:color w:val="auto"/>
        </w:rPr>
        <w:t xml:space="preserve"> with leading biopharma companies to map and navigate intractable areas of biology, identify novel targets and develop potential new medicines that are further developed in resource-heavy clinical trials overseen by our partners</w:t>
      </w:r>
    </w:p>
    <w:p>
      <w:pPr>
        <w:ind w:left="660" w:right="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Development of one of the largest fit-for-purpose proprietary biological and chemical </w:t>
      </w:r>
      <w:r>
        <w:rPr>
          <w:rFonts w:ascii="Arial" w:cs="Arial" w:eastAsia="Arial" w:hAnsi="Arial"/>
          <w:sz w:val="18"/>
          <w:szCs w:val="18"/>
          <w:b w:val="1"/>
          <w:bCs w:val="1"/>
          <w:color w:val="auto"/>
        </w:rPr>
        <w:t>datasets</w:t>
      </w:r>
      <w:r>
        <w:rPr>
          <w:rFonts w:ascii="Arial" w:cs="Arial" w:eastAsia="Arial" w:hAnsi="Arial"/>
          <w:sz w:val="18"/>
          <w:szCs w:val="18"/>
          <w:color w:val="auto"/>
        </w:rPr>
        <w:t xml:space="preserve"> in the world at a time when advances in AI paired with the right training data are creating disruptive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391795</wp:posOffset>
            </wp:positionV>
            <wp:extent cx="5863590" cy="29057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Recursion has a portfolio of clinical-stage, preclinical and discovery programs and continues scaling its Recursion OS with more than 200 million total phenomics experiments, the initiation of multi-timepoint live-cell microscopy, transcriptomics, proteomics, inVivomics, data related to multi-target compound interactions and physicochemical properties, as well as large language model derived disease relevance and target-compound relationships. The total size of the proprietary Recursion Data Universe is over 25 petabytes and the number of predicted biological and chemical relationships is approximately 4 trillion. Data have been generated by the Recursion OS across 50 human cell types, an in-house chemical library of approximately 1.7 million compounds, and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over 1 trillion small molecules, by a team of over 550 Recursionauts that is balanced between life scientists and computational and technical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148590</wp:posOffset>
            </wp:positionV>
            <wp:extent cx="5863590" cy="2280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66" w:lineRule="exact"/>
        <w:rPr>
          <w:sz w:val="20"/>
          <w:szCs w:val="20"/>
          <w:color w:val="auto"/>
        </w:rPr>
      </w:pPr>
    </w:p>
    <w:p>
      <w:pPr>
        <w:ind w:left="660" w:right="140" w:hanging="328"/>
        <w:spacing w:after="0" w:line="262" w:lineRule="auto"/>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Our Phase 2 SYCAMORE clinical trial is a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exploratory efficacy study of this drug candidate in participants with CCM. This study was fully enrolled as of June 2023 with 62 participants and all participants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260"/>
        <w:spacing w:after="0" w:line="255" w:lineRule="auto"/>
        <w:rPr>
          <w:sz w:val="20"/>
          <w:szCs w:val="20"/>
          <w:color w:val="auto"/>
        </w:rPr>
      </w:pPr>
      <w:r>
        <w:rPr>
          <w:rFonts w:ascii="Arial" w:cs="Arial" w:eastAsia="Arial" w:hAnsi="Arial"/>
          <w:sz w:val="18"/>
          <w:szCs w:val="18"/>
          <w:color w:val="auto"/>
        </w:rPr>
        <w:t>who have thus far finished their first year of treatment have enrolled in the long-term extension study. We expect to share Phase 2 proof-of-concept data in H2 2024.</w:t>
      </w:r>
    </w:p>
    <w:p>
      <w:pPr>
        <w:spacing w:after="0" w:line="1" w:lineRule="exact"/>
        <w:rPr>
          <w:sz w:val="20"/>
          <w:szCs w:val="20"/>
          <w:color w:val="auto"/>
        </w:rPr>
      </w:pPr>
    </w:p>
    <w:p>
      <w:pPr>
        <w:ind w:left="660" w:right="20" w:hanging="328"/>
        <w:spacing w:after="0" w:line="270"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7"/>
          <w:szCs w:val="17"/>
          <w:b w:val="1"/>
          <w:bCs w:val="1"/>
          <w:color w:val="auto"/>
        </w:rPr>
        <w:t xml:space="preserve">Neurofibromatosis Type 2 (NF2) (REC-2282): </w:t>
      </w:r>
      <w:r>
        <w:rPr>
          <w:rFonts w:ascii="Arial" w:cs="Arial" w:eastAsia="Arial" w:hAnsi="Arial"/>
          <w:sz w:val="17"/>
          <w:szCs w:val="17"/>
          <w:color w:val="auto"/>
        </w:rPr>
        <w:t>Our Phase 2/3 POPLAR clinical trial is a two part study of REC-2282 in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with progressive NF2-mutated meningiomas. Part A of the study is ongoing and is exploring two doses of REC-2282 in approximately 23 adults and 9 adolescents. We expect to share Phase 2 safety, tolerability, pharmacokinetics and preliminary efficacy in H2 2024.</w:t>
      </w:r>
    </w:p>
    <w:p>
      <w:pPr>
        <w:spacing w:after="0" w:line="10" w:lineRule="exact"/>
        <w:rPr>
          <w:rFonts w:ascii="Arial" w:cs="Arial" w:eastAsia="Arial" w:hAnsi="Arial"/>
          <w:sz w:val="19"/>
          <w:szCs w:val="19"/>
          <w:color w:val="auto"/>
        </w:rPr>
      </w:pPr>
    </w:p>
    <w:p>
      <w:pPr>
        <w:jc w:val="both"/>
        <w:ind w:left="660" w:right="340" w:hanging="328"/>
        <w:spacing w:after="0" w:line="25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We have enrolled multiple participants in our TUPELO clinical trial which</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evaluates REC-4881 in patients with FAP. We are now providing guidance on a data readout and expect to share Phase 2 safety, tolerability, pharmacokinetics and preliminary efficacy in H1 2025.</w:t>
      </w:r>
    </w:p>
    <w:p>
      <w:pPr>
        <w:ind w:left="660" w:hanging="328"/>
        <w:spacing w:after="0" w:line="25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AXIN1 or APC Mutant Cancers (REC-4881): </w:t>
      </w:r>
      <w:r>
        <w:rPr>
          <w:rFonts w:ascii="Arial" w:cs="Arial" w:eastAsia="Arial" w:hAnsi="Arial"/>
          <w:sz w:val="18"/>
          <w:szCs w:val="18"/>
          <w:color w:val="auto"/>
        </w:rPr>
        <w:t>We will evaluate REC-4881 in a Phase 2 biomarker enriched study in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unresectable, locally advanced or metastatic cancer with AXIN1 or APC mutations. The IND was accepted by the FDA and we expect to initiate this Phase 2 study in Q4 2023.</w:t>
      </w:r>
    </w:p>
    <w:p>
      <w:pPr>
        <w:spacing w:after="0" w:line="1" w:lineRule="exact"/>
        <w:rPr>
          <w:rFonts w:ascii="Arial" w:cs="Arial" w:eastAsia="Arial" w:hAnsi="Arial"/>
          <w:sz w:val="20"/>
          <w:szCs w:val="20"/>
          <w:color w:val="auto"/>
        </w:rPr>
      </w:pPr>
    </w:p>
    <w:p>
      <w:pPr>
        <w:ind w:left="660" w:right="260" w:hanging="328"/>
        <w:spacing w:after="0" w:line="251"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Infection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Phase 1 clinical trial is a first-in-human protocol evaluating single and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doses of REC-3964 in healthy volunteers and will assess the safety, tolerability and pharmacokinetic profile of REC-3964. Single ascending dose and multiple ascending dose studies are now complete. REC-3964 has been well tolerated and no safety issues have been identified to date. We expect to share Phase 1 safety and pharmacokinetics data in Q3 2023</w:t>
      </w:r>
      <w:r>
        <w:rPr>
          <w:rFonts w:ascii="Arial" w:cs="Arial" w:eastAsia="Arial" w:hAnsi="Arial"/>
          <w:sz w:val="21"/>
          <w:szCs w:val="21"/>
          <w:color w:val="auto"/>
        </w:rPr>
        <w:t>.</w:t>
      </w:r>
    </w:p>
    <w:p>
      <w:pPr>
        <w:spacing w:after="0" w:line="1" w:lineRule="exact"/>
        <w:rPr>
          <w:rFonts w:ascii="Arial" w:cs="Arial" w:eastAsia="Arial" w:hAnsi="Arial"/>
          <w:sz w:val="20"/>
          <w:szCs w:val="20"/>
          <w:color w:val="auto"/>
        </w:rPr>
      </w:pPr>
    </w:p>
    <w:p>
      <w:pPr>
        <w:ind w:left="660" w:right="50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RBM39 HR-Proficient Ovarian Cancer: </w:t>
      </w:r>
      <w:r>
        <w:rPr>
          <w:rFonts w:ascii="Arial" w:cs="Arial" w:eastAsia="Arial" w:hAnsi="Arial"/>
          <w:sz w:val="17"/>
          <w:szCs w:val="17"/>
          <w:color w:val="auto"/>
        </w:rPr>
        <w:t>RBM39 (previously identified as Target Gamma) is a novel CDK12-adjacent target</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identified by the Recursion OS. We believe we can modulate this target to produce a therapeutic effect in HR-proficient ovarian cancer and potentially in other tumor types. This program is in the preclinical stage and IND-enabling studies are progressing.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266" w:lineRule="exact"/>
        <w:rPr>
          <w:sz w:val="20"/>
          <w:szCs w:val="20"/>
          <w:color w:val="auto"/>
        </w:rPr>
      </w:pPr>
    </w:p>
    <w:p>
      <w:pPr>
        <w:ind w:left="660" w:right="20" w:hanging="328"/>
        <w:spacing w:after="0" w:line="250"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 xml:space="preserve">NVIDIA: </w:t>
      </w:r>
      <w:r>
        <w:rPr>
          <w:rFonts w:ascii="Arial" w:cs="Arial" w:eastAsia="Arial" w:hAnsi="Arial"/>
          <w:sz w:val="18"/>
          <w:szCs w:val="18"/>
          <w:color w:val="auto"/>
        </w:rPr>
        <w:t>In July 2023, we announced a $50 million investment and collaboration with NVIDIA. We will continue to build our own</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models for biology and chemistry and NVIDIA will assist in optimizing these models, provide priority access to computational resources on NVIDIA’s cloud service DGX Cloud, and potentially host commercially-licensable machine learning and foundation models developed by Recursion on BioNeMo, NVIDIA’s marketplace for generative AI in drug discovery. In this partnership, we will maintain control of our proprietary data and models as well as how and where we could host our technology tools as we expand our business strategy of data as a value driver. Since the announcement in July, we have already deployed our digital chemistry technology together with NVIDIA’s computational resources to predict the ligand-protein interactions for approximately 36 billion compounds in the Enamine REAL Space, reported to be the world’s largest searchable chemical library, where we evaluated 2.8 quadrillion target-compound pairs.</w:t>
      </w:r>
    </w:p>
    <w:p>
      <w:pPr>
        <w:spacing w:after="0" w:line="1" w:lineRule="exact"/>
        <w:rPr>
          <w:rFonts w:ascii="Arial" w:cs="Arial" w:eastAsia="Arial" w:hAnsi="Arial"/>
          <w:sz w:val="20"/>
          <w:szCs w:val="20"/>
          <w:color w:val="auto"/>
        </w:rPr>
      </w:pPr>
    </w:p>
    <w:p>
      <w:pPr>
        <w:ind w:left="660" w:right="14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Roche-Genentech and Bayer: </w:t>
      </w:r>
      <w:r>
        <w:rPr>
          <w:rFonts w:ascii="Arial" w:cs="Arial" w:eastAsia="Arial" w:hAnsi="Arial"/>
          <w:sz w:val="18"/>
          <w:szCs w:val="18"/>
          <w:color w:val="auto"/>
        </w:rPr>
        <w:t>We continue to advance our collaborations to discover potential new therapeutics with our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Roche-Genentech and Bayer. In the near-term, there is the potential for option exercises associated with partnership programs or option exercises associated with map building initiatives or data sharing.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52" w:lineRule="exact"/>
        <w:rPr>
          <w:sz w:val="20"/>
          <w:szCs w:val="20"/>
          <w:color w:val="auto"/>
        </w:rPr>
      </w:pPr>
    </w:p>
    <w:p>
      <w:pPr>
        <w:ind w:left="660" w:right="180" w:hanging="328"/>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Chemistry and Generative AI Capabilities: </w:t>
      </w:r>
      <w:r>
        <w:rPr>
          <w:rFonts w:ascii="Arial" w:cs="Arial" w:eastAsia="Arial" w:hAnsi="Arial"/>
          <w:sz w:val="18"/>
          <w:szCs w:val="18"/>
          <w:color w:val="auto"/>
        </w:rPr>
        <w:t>In May 2023, we acquired Cyclica and Valence Discovery to bolster our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chemistry and generative AI capabilities and drive value across our pipeline, partnerships and platform. Shortly after closing these acquisitions, we used Cyclica’s digital chemistry tools to predict the protein-ligand interactions for the over 1 million compounds in our internal, non-partnered chemical library. Now, less than one quarter after the closing of these acquisitions, we worked with our partners at NVIDIA to predict the protein-ligand interactions of approximately 36 billion compounds in the Enamine REAL Space, reported to be the world’s largest searchable chemical library. As part of the Cyclica acquisition, Recursion acquired four platform patent families, which includes four pending U.S. patent applications directed to our platform with expiration, upon issuance, expected to be no earlier than 2035.</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580"/>
        <w:spacing w:after="0" w:line="257" w:lineRule="auto"/>
        <w:rPr>
          <w:sz w:val="20"/>
          <w:szCs w:val="20"/>
          <w:color w:val="auto"/>
        </w:rPr>
      </w:pPr>
      <w:r>
        <w:rPr>
          <w:rFonts w:ascii="Arial" w:cs="Arial" w:eastAsia="Arial" w:hAnsi="Arial"/>
          <w:sz w:val="18"/>
          <w:szCs w:val="18"/>
          <w:color w:val="auto"/>
        </w:rPr>
        <w:t>This brings the total number of patent families related to the Recursion Platform to at least 25, and includes patents that, upon issuance, are expected to expire as late as 2042.</w:t>
      </w:r>
    </w:p>
    <w:p>
      <w:pPr>
        <w:spacing w:after="0" w:line="1" w:lineRule="exact"/>
        <w:rPr>
          <w:sz w:val="20"/>
          <w:szCs w:val="20"/>
          <w:color w:val="auto"/>
        </w:rPr>
      </w:pPr>
    </w:p>
    <w:p>
      <w:pPr>
        <w:ind w:left="660" w:right="3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Accelerating Pipeline and Partnership Value: </w:t>
      </w:r>
      <w:r>
        <w:rPr>
          <w:rFonts w:ascii="Arial" w:cs="Arial" w:eastAsia="Arial" w:hAnsi="Arial"/>
          <w:sz w:val="18"/>
          <w:szCs w:val="18"/>
          <w:color w:val="auto"/>
        </w:rPr>
        <w:t>For our internal pipeline, we have used our digital chemistry tools to deconvolve</w:t>
      </w:r>
      <w:r>
        <w:rPr>
          <w:rFonts w:ascii="Arial" w:cs="Arial" w:eastAsia="Arial" w:hAnsi="Arial"/>
          <w:sz w:val="18"/>
          <w:szCs w:val="18"/>
          <w:b w:val="1"/>
          <w:bCs w:val="1"/>
          <w:color w:val="auto"/>
        </w:rPr>
        <w:t xml:space="preserve"> </w:t>
      </w:r>
      <w:r>
        <w:rPr>
          <w:rFonts w:ascii="Arial" w:cs="Arial" w:eastAsia="Arial" w:hAnsi="Arial"/>
          <w:sz w:val="18"/>
          <w:szCs w:val="18"/>
          <w:color w:val="auto"/>
        </w:rPr>
        <w:t>proteome-wide biological targets to confirm that certain compounds operate through a novel mechanism of action which was previously predicted by our functional phenomics maps. Such proteomic mapping capabilities provide an additional data layer to efficiently identify the most promising novel chemical series.</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Foundation Model Construction: </w:t>
      </w:r>
      <w:r>
        <w:rPr>
          <w:rFonts w:ascii="Arial" w:cs="Arial" w:eastAsia="Arial" w:hAnsi="Arial"/>
          <w:sz w:val="17"/>
          <w:szCs w:val="17"/>
          <w:color w:val="auto"/>
        </w:rPr>
        <w:t>We continue to use our supercomputer, BioHive-1, to train a proprietary phenomics foundation</w:t>
      </w:r>
      <w:r>
        <w:rPr>
          <w:rFonts w:ascii="Arial" w:cs="Arial" w:eastAsia="Arial" w:hAnsi="Arial"/>
          <w:sz w:val="17"/>
          <w:szCs w:val="17"/>
          <w:b w:val="1"/>
          <w:bCs w:val="1"/>
          <w:color w:val="auto"/>
        </w:rPr>
        <w:t xml:space="preserve"> </w:t>
      </w:r>
      <w:r>
        <w:rPr>
          <w:rFonts w:ascii="Arial" w:cs="Arial" w:eastAsia="Arial" w:hAnsi="Arial"/>
          <w:sz w:val="17"/>
          <w:szCs w:val="17"/>
          <w:color w:val="auto"/>
        </w:rPr>
        <w:t>model. As we have trained on larger quantities of our proprietary data, emergent properties have arisen out of the models and we have seen significant improvements over previous deep learning production models. We are also in the early stages of exploring more powerful and broadly useful foundation models based on our large-scale proprietary multi-omics data, which includes phenomics across 50 human cell types and approximately 1.7 million compounds, multi-timepoint live-cell microscopy, transcriptomics, proteomics, inVivomics, multi-target compound interactions, physicochemical properties, as well as predicted protein-ligand relationships. We may explore commercial licensing of some of our models in collaboration with NVIDIA and their BioNeMo platform in the coming year, though our state-of-the-art models will only be available to our team and close partners.</w:t>
      </w:r>
    </w:p>
    <w:p>
      <w:pPr>
        <w:spacing w:after="0" w:line="1"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Large Language Models: </w:t>
      </w:r>
      <w:r>
        <w:rPr>
          <w:rFonts w:ascii="Arial" w:cs="Arial" w:eastAsia="Arial" w:hAnsi="Arial"/>
          <w:sz w:val="18"/>
          <w:szCs w:val="18"/>
          <w:color w:val="auto"/>
        </w:rPr>
        <w:t>One year ago, more than 40 employees were dedicated to exploring our maps of biology and chemistry to</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 programs at Recursion. Today, those same employees have been redeployed and our newest internal programs are being initiated autonomously. This efficiency and scale is through the deployment of large language models to map scientific literature in conjunction with our internally derived proprietary maps to identify opportunities for scientific arbitrage in areas of unmet need. These opportunities are then automatically prioritized for confirmation and validation in our highly-automated wetlabs. This is a significant step towards our vision of autonomous drug discovery and biological exploration.</w:t>
      </w:r>
    </w:p>
    <w:p>
      <w:pPr>
        <w:spacing w:after="0" w:line="2" w:lineRule="exact"/>
        <w:rPr>
          <w:rFonts w:ascii="Arial" w:cs="Arial" w:eastAsia="Arial" w:hAnsi="Arial"/>
          <w:sz w:val="18"/>
          <w:szCs w:val="18"/>
          <w:color w:val="auto"/>
        </w:rPr>
      </w:pPr>
    </w:p>
    <w:p>
      <w:pPr>
        <w:ind w:left="660" w:right="200" w:hanging="328"/>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Valence Labs - Powered by Recursion: </w:t>
      </w:r>
      <w:r>
        <w:rPr>
          <w:rFonts w:ascii="Arial" w:cs="Arial" w:eastAsia="Arial" w:hAnsi="Arial"/>
          <w:sz w:val="18"/>
          <w:szCs w:val="18"/>
          <w:color w:val="auto"/>
        </w:rPr>
        <w:t>In July 2023 at the International Conference for Machine Learning, we launched Valence</w:t>
      </w:r>
      <w:r>
        <w:rPr>
          <w:rFonts w:ascii="Arial" w:cs="Arial" w:eastAsia="Arial" w:hAnsi="Arial"/>
          <w:sz w:val="18"/>
          <w:szCs w:val="18"/>
          <w:b w:val="1"/>
          <w:bCs w:val="1"/>
          <w:color w:val="auto"/>
        </w:rPr>
        <w:t xml:space="preserve"> </w:t>
      </w:r>
      <w:r>
        <w:rPr>
          <w:rFonts w:ascii="Arial" w:cs="Arial" w:eastAsia="Arial" w:hAnsi="Arial"/>
          <w:sz w:val="18"/>
          <w:szCs w:val="18"/>
          <w:color w:val="auto"/>
        </w:rPr>
        <w:t>Labs, Recursion’s cutting-edge machine learning research center for biology and chemistry in Montréal that aims to promote open-science and academic research. Recursion’s commitment to open-science helps us recruit and retain the best talent in the field of generative AI, allows us to design and set the standards by which ML and AI are deployed in drug discovery, and may drive additional biopharma companies to consider partnering with Recursion to get access to our proprietary state-of-the-art tools, technology, datasets and programs.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Corporate Updates</w:t>
      </w:r>
    </w:p>
    <w:p>
      <w:pPr>
        <w:spacing w:after="0" w:line="252" w:lineRule="exact"/>
        <w:rPr>
          <w:sz w:val="20"/>
          <w:szCs w:val="20"/>
          <w:color w:val="auto"/>
        </w:rPr>
      </w:pPr>
    </w:p>
    <w:p>
      <w:pPr>
        <w:ind w:left="660" w:right="100" w:hanging="328"/>
        <w:spacing w:after="0" w:line="258"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Chief Medical Officer: </w:t>
      </w:r>
      <w:r>
        <w:rPr>
          <w:rFonts w:ascii="Arial" w:cs="Arial" w:eastAsia="Arial" w:hAnsi="Arial"/>
          <w:sz w:val="18"/>
          <w:szCs w:val="18"/>
          <w:color w:val="auto"/>
        </w:rPr>
        <w:t>In May 2023, David Mauro, M.D., Ph.D. joined Recursion as its Chief Medical Officer. Dr. Mauro has over 20</w:t>
      </w:r>
      <w:r>
        <w:rPr>
          <w:rFonts w:ascii="Arial" w:cs="Arial" w:eastAsia="Arial" w:hAnsi="Arial"/>
          <w:sz w:val="18"/>
          <w:szCs w:val="18"/>
          <w:b w:val="1"/>
          <w:bCs w:val="1"/>
          <w:color w:val="auto"/>
        </w:rPr>
        <w:t xml:space="preserve"> </w:t>
      </w:r>
      <w:r>
        <w:rPr>
          <w:rFonts w:ascii="Arial" w:cs="Arial" w:eastAsia="Arial" w:hAnsi="Arial"/>
          <w:sz w:val="18"/>
          <w:szCs w:val="18"/>
          <w:color w:val="auto"/>
        </w:rPr>
        <w:t>years experience in oncology drug development and has guided more than 25 Investigational New Drug candidates through the translational, preliminary and later stages of development at various companies.</w:t>
      </w:r>
    </w:p>
    <w:p>
      <w:pPr>
        <w:spacing w:after="0" w:line="2" w:lineRule="exact"/>
        <w:rPr>
          <w:rFonts w:ascii="Arial" w:cs="Arial" w:eastAsia="Arial" w:hAnsi="Arial"/>
          <w:sz w:val="18"/>
          <w:szCs w:val="18"/>
          <w:b w:val="1"/>
          <w:bCs w:val="1"/>
          <w:color w:val="auto"/>
        </w:rPr>
      </w:pPr>
    </w:p>
    <w:p>
      <w:pPr>
        <w:ind w:left="660" w:right="1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Chief Legal Officer: </w:t>
      </w:r>
      <w:r>
        <w:rPr>
          <w:rFonts w:ascii="Arial" w:cs="Arial" w:eastAsia="Arial" w:hAnsi="Arial"/>
          <w:sz w:val="18"/>
          <w:szCs w:val="18"/>
          <w:color w:val="auto"/>
        </w:rPr>
        <w:t>In July 2023, Recursion named Nathan Hatfield, J.D., M.B.A. as Chief Legal Officer. Mr. Hatfield has worked at</w:t>
      </w:r>
      <w:r>
        <w:rPr>
          <w:rFonts w:ascii="Arial" w:cs="Arial" w:eastAsia="Arial" w:hAnsi="Arial"/>
          <w:sz w:val="18"/>
          <w:szCs w:val="18"/>
          <w:b w:val="1"/>
          <w:bCs w:val="1"/>
          <w:color w:val="auto"/>
        </w:rPr>
        <w:t xml:space="preserve"> </w:t>
      </w:r>
      <w:r>
        <w:rPr>
          <w:rFonts w:ascii="Arial" w:cs="Arial" w:eastAsia="Arial" w:hAnsi="Arial"/>
          <w:sz w:val="18"/>
          <w:szCs w:val="18"/>
          <w:color w:val="auto"/>
        </w:rPr>
        <w:t>Recursion for over 6 years, previously serving as SVP and Head of Legal. Prior to Recursion, Mr. Hatfield was a securities attorney at the law firm Wilson Sonsini Goodrich &amp; Rosati.</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Toronto Office: </w:t>
      </w:r>
      <w:r>
        <w:rPr>
          <w:rFonts w:ascii="Arial" w:cs="Arial" w:eastAsia="Arial" w:hAnsi="Arial"/>
          <w:sz w:val="18"/>
          <w:szCs w:val="18"/>
          <w:color w:val="auto"/>
        </w:rPr>
        <w:t>In June 2023, we celebrated the opening of our Canadian Headquarters in Toronto with government officials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members of the technology and biotechnology communities.</w:t>
      </w:r>
    </w:p>
    <w:p>
      <w:pPr>
        <w:jc w:val="both"/>
        <w:ind w:left="660" w:right="4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ESG Reporting: </w:t>
      </w:r>
      <w:r>
        <w:rPr>
          <w:rFonts w:ascii="Arial" w:cs="Arial" w:eastAsia="Arial" w:hAnsi="Arial"/>
          <w:sz w:val="18"/>
          <w:szCs w:val="18"/>
          <w:color w:val="auto"/>
        </w:rPr>
        <w:t>In June 2023, Recursion received a favorable ESG Risk Rating from Morningstar Sustainalytics which ranked</w:t>
      </w:r>
      <w:r>
        <w:rPr>
          <w:rFonts w:ascii="Arial" w:cs="Arial" w:eastAsia="Arial" w:hAnsi="Arial"/>
          <w:sz w:val="18"/>
          <w:szCs w:val="18"/>
          <w:b w:val="1"/>
          <w:bCs w:val="1"/>
          <w:color w:val="auto"/>
        </w:rPr>
        <w:t xml:space="preserve"> </w:t>
      </w:r>
      <w:r>
        <w:rPr>
          <w:rFonts w:ascii="Arial" w:cs="Arial" w:eastAsia="Arial" w:hAnsi="Arial"/>
          <w:sz w:val="18"/>
          <w:szCs w:val="18"/>
          <w:color w:val="auto"/>
        </w:rPr>
        <w:t>Recursion as the #1 biotechnology company out of approximately 400 companies and the #14 pharmaceuticals company out of approximately 900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6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We were incorporated in November 2013. On April 20, 2021, we closed our Initial Public Offering (IPO) and issued 27,878,787 shares of Class A common stock at a price of $18.00 per share, raising net proceeds of </w:t>
      </w:r>
      <w:r>
        <w:rPr>
          <w:rFonts w:ascii="Arial" w:cs="Arial" w:eastAsia="Arial" w:hAnsi="Arial"/>
          <w:sz w:val="18"/>
          <w:szCs w:val="18"/>
          <w:color w:val="1E1E1E"/>
        </w:rPr>
        <w:t>$462.4 million.</w:t>
      </w:r>
      <w:r>
        <w:rPr>
          <w:rFonts w:ascii="Arial" w:cs="Arial" w:eastAsia="Arial" w:hAnsi="Arial"/>
          <w:sz w:val="18"/>
          <w:szCs w:val="18"/>
          <w:color w:val="auto"/>
        </w:rPr>
        <w:t xml:space="preserve"> Prior to our IPO, we had raised approximately </w:t>
      </w:r>
      <w:r>
        <w:rPr>
          <w:rFonts w:ascii="Arial" w:cs="Arial" w:eastAsia="Arial" w:hAnsi="Arial"/>
          <w:sz w:val="18"/>
          <w:szCs w:val="18"/>
          <w:color w:val="1E1E1E"/>
        </w:rPr>
        <w:t xml:space="preserve">$448.9 million </w:t>
      </w:r>
      <w:r>
        <w:rPr>
          <w:rFonts w:ascii="Arial" w:cs="Arial" w:eastAsia="Arial" w:hAnsi="Arial"/>
          <w:sz w:val="18"/>
          <w:szCs w:val="18"/>
          <w:color w:val="000000"/>
        </w:rPr>
        <w:t>in equity financing from investors in addition to</w:t>
      </w:r>
      <w:r>
        <w:rPr>
          <w:rFonts w:ascii="Arial" w:cs="Arial" w:eastAsia="Arial" w:hAnsi="Arial"/>
          <w:sz w:val="18"/>
          <w:szCs w:val="18"/>
          <w:color w:val="1E1E1E"/>
        </w:rPr>
        <w:t xml:space="preserve"> $30.0 million </w:t>
      </w:r>
      <w:r>
        <w:rPr>
          <w:rFonts w:ascii="Arial" w:cs="Arial" w:eastAsia="Arial" w:hAnsi="Arial"/>
          <w:sz w:val="18"/>
          <w:szCs w:val="18"/>
          <w:color w:val="000000"/>
        </w:rPr>
        <w:t>in an upfront payment from our collaboration with Bayer AG</w:t>
      </w:r>
      <w:r>
        <w:rPr>
          <w:rFonts w:ascii="Arial" w:cs="Arial" w:eastAsia="Arial" w:hAnsi="Arial"/>
          <w:sz w:val="18"/>
          <w:szCs w:val="18"/>
          <w:color w:val="1E1E1E"/>
        </w:rPr>
        <w:t xml:space="preserve"> </w:t>
      </w:r>
      <w:r>
        <w:rPr>
          <w:rFonts w:ascii="Arial" w:cs="Arial" w:eastAsia="Arial" w:hAnsi="Arial"/>
          <w:sz w:val="18"/>
          <w:szCs w:val="18"/>
          <w:color w:val="000000"/>
        </w:rPr>
        <w:t xml:space="preserve">(Bayer). In </w:t>
      </w:r>
      <w:r>
        <w:rPr>
          <w:rFonts w:ascii="Arial" w:cs="Arial" w:eastAsia="Arial" w:hAnsi="Arial"/>
          <w:sz w:val="18"/>
          <w:szCs w:val="18"/>
          <w:color w:val="1E1E1E"/>
        </w:rPr>
        <w:t>January 2022</w:t>
      </w:r>
      <w:r>
        <w:rPr>
          <w:rFonts w:ascii="Arial" w:cs="Arial" w:eastAsia="Arial" w:hAnsi="Arial"/>
          <w:sz w:val="18"/>
          <w:szCs w:val="18"/>
          <w:color w:val="000000"/>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000000"/>
        </w:rPr>
        <w:t xml:space="preserve"> from our collaboration with Roche. </w:t>
      </w:r>
      <w:r>
        <w:rPr>
          <w:rFonts w:ascii="Arial" w:cs="Arial" w:eastAsia="Arial" w:hAnsi="Arial"/>
          <w:sz w:val="18"/>
          <w:szCs w:val="18"/>
          <w:color w:val="1E1E1E"/>
        </w:rPr>
        <w:t>See Note 9, “Collaborative</w:t>
      </w:r>
      <w:r>
        <w:rPr>
          <w:rFonts w:ascii="Arial" w:cs="Arial" w:eastAsia="Arial" w:hAnsi="Arial"/>
          <w:sz w:val="18"/>
          <w:szCs w:val="18"/>
          <w:color w:val="000000"/>
        </w:rPr>
        <w:t xml:space="preserve"> </w:t>
      </w:r>
      <w:r>
        <w:rPr>
          <w:rFonts w:ascii="Arial" w:cs="Arial" w:eastAsia="Arial" w:hAnsi="Arial"/>
          <w:sz w:val="18"/>
          <w:szCs w:val="18"/>
          <w:color w:val="1E1E1E"/>
        </w:rPr>
        <w:t xml:space="preserve">Development Contracts” to the Condensed Consolidated Financial Statements for additional information on the collaborations. </w:t>
      </w:r>
      <w:r>
        <w:rPr>
          <w:rFonts w:ascii="Arial" w:cs="Arial" w:eastAsia="Arial" w:hAnsi="Arial"/>
          <w:sz w:val="18"/>
          <w:szCs w:val="18"/>
          <w:color w:val="000000"/>
        </w:rPr>
        <w:t>In October</w:t>
      </w:r>
      <w:r>
        <w:rPr>
          <w:rFonts w:ascii="Arial" w:cs="Arial" w:eastAsia="Arial" w:hAnsi="Arial"/>
          <w:sz w:val="18"/>
          <w:szCs w:val="18"/>
          <w:color w:val="1E1E1E"/>
        </w:rPr>
        <w:t xml:space="preserve"> </w:t>
      </w:r>
      <w:r>
        <w:rPr>
          <w:rFonts w:ascii="Arial" w:cs="Arial" w:eastAsia="Arial" w:hAnsi="Arial"/>
          <w:sz w:val="18"/>
          <w:szCs w:val="18"/>
          <w:color w:val="000000"/>
        </w:rPr>
        <w:t xml:space="preserve">2022, we issued 15,336,734 shares of our Class A common stock at a purchase price of $9.80 per share in the 2022 Private Placement to qualified institutional buyers and </w:t>
      </w:r>
      <w:r>
        <w:rPr>
          <w:rFonts w:ascii="Arial" w:cs="Arial" w:eastAsia="Arial" w:hAnsi="Arial"/>
          <w:sz w:val="18"/>
          <w:szCs w:val="18"/>
          <w:color w:val="1E1E1E"/>
        </w:rPr>
        <w:t>institutional accredited investors (the Purchasers) for net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1E1E1E"/>
        </w:rPr>
        <w:t>proceeds of $143.7 million, after deducting fees and offering costs of $6.6 million. On July 11, 2023, we issued an aggregate of 7,706,363 shares of the Company’s Class A common stock at a purchase price of $6.49 per share for gross proceeds of approximately $ 50.0 million, before deducting expenses in the 2023 Private Placement with NVIDIA Corporation. See Note 14, “Subsequent Events” to the Condensed Consolidated Financial Statements for additional information on the 2023 Private Placement.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use the capital we have raised to fund operations and investing activities across platform research operations, drug discovery, clinical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digital and other infrastructure, creation of our portfolio of intellectual property and administrative support. We do not have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products approved for commercial sale and have not generated any revenues from product sales. </w:t>
      </w:r>
      <w:r>
        <w:rPr>
          <w:rFonts w:ascii="Arial" w:cs="Arial" w:eastAsia="Arial" w:hAnsi="Arial"/>
          <w:sz w:val="18"/>
          <w:szCs w:val="18"/>
          <w:color w:val="1E1E1E"/>
        </w:rPr>
        <w:t>We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$405.9 million as of June 30, 2023. </w:t>
      </w:r>
      <w:r>
        <w:rPr>
          <w:rFonts w:ascii="Arial" w:cs="Arial" w:eastAsia="Arial" w:hAnsi="Arial"/>
          <w:sz w:val="18"/>
          <w:szCs w:val="18"/>
          <w:color w:val="000000"/>
        </w:rPr>
        <w:t>Based on our current operating plan, we believe that our cash and cash equivalents will be sufficient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our operations for at least the next twelve months.</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E1E1E"/>
        </w:rPr>
        <w:t xml:space="preserve">Since inception, we have incurred significant operating losses. Our net losses were $76.7 million and $142.1 million during the three and </w:t>
      </w:r>
      <w:r>
        <w:rPr>
          <w:rFonts w:ascii="Arial" w:cs="Arial" w:eastAsia="Arial" w:hAnsi="Arial"/>
          <w:sz w:val="18"/>
          <w:szCs w:val="18"/>
          <w:color w:val="000000"/>
        </w:rPr>
        <w:t>six</w:t>
      </w:r>
      <w:r>
        <w:rPr>
          <w:rFonts w:ascii="Arial" w:cs="Arial" w:eastAsia="Arial" w:hAnsi="Arial"/>
          <w:sz w:val="18"/>
          <w:szCs w:val="18"/>
          <w:color w:val="1E1E1E"/>
        </w:rPr>
        <w:t xml:space="preserve"> </w:t>
      </w:r>
      <w:r>
        <w:rPr>
          <w:rFonts w:ascii="Arial" w:cs="Arial" w:eastAsia="Arial" w:hAnsi="Arial"/>
          <w:sz w:val="18"/>
          <w:szCs w:val="18"/>
          <w:color w:val="000000"/>
        </w:rPr>
        <w:t>months ended June 30, 2023</w:t>
      </w:r>
      <w:r>
        <w:rPr>
          <w:rFonts w:ascii="Arial" w:cs="Arial" w:eastAsia="Arial" w:hAnsi="Arial"/>
          <w:sz w:val="18"/>
          <w:szCs w:val="18"/>
          <w:color w:val="1E1E1E"/>
        </w:rPr>
        <w:t>, respectively. Our net losses were $65.6 million and $121.5 million during the three and</w:t>
      </w:r>
      <w:r>
        <w:rPr>
          <w:rFonts w:ascii="Arial" w:cs="Arial" w:eastAsia="Arial" w:hAnsi="Arial"/>
          <w:sz w:val="18"/>
          <w:szCs w:val="18"/>
          <w:color w:val="000000"/>
        </w:rPr>
        <w:t xml:space="preserve"> six months ended June 30, 2022</w:t>
      </w:r>
      <w:r>
        <w:rPr>
          <w:rFonts w:ascii="Arial" w:cs="Arial" w:eastAsia="Arial" w:hAnsi="Arial"/>
          <w:sz w:val="18"/>
          <w:szCs w:val="18"/>
          <w:color w:val="1E1E1E"/>
        </w:rPr>
        <w:t>, respectively. As of June 30, 2023, our accumulated deficit was $781.6 million.</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Components of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1E1E1E"/>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1E1E1E"/>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20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costs to develop and operate our platform;</w:t>
      </w:r>
    </w:p>
    <w:p>
      <w:pPr>
        <w:spacing w:after="0" w:line="21" w:lineRule="exact"/>
        <w:rPr>
          <w:rFonts w:ascii="Arial" w:cs="Arial" w:eastAsia="Arial" w:hAnsi="Arial"/>
          <w:sz w:val="14"/>
          <w:szCs w:val="14"/>
          <w:color w:val="1E1E1E"/>
        </w:rPr>
      </w:pPr>
    </w:p>
    <w:p>
      <w:pPr>
        <w:ind w:left="980" w:hanging="324"/>
        <w:spacing w:after="0"/>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4"/>
          <w:szCs w:val="14"/>
          <w:color w:val="1E1E1E"/>
        </w:rPr>
      </w:pPr>
    </w:p>
    <w:p>
      <w:pPr>
        <w:ind w:left="980" w:hanging="324"/>
        <w:spacing w:after="0"/>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4"/>
          <w:szCs w:val="14"/>
          <w:color w:val="1E1E1E"/>
        </w:rPr>
      </w:pPr>
    </w:p>
    <w:p>
      <w:pPr>
        <w:ind w:left="980" w:right="160" w:hanging="324"/>
        <w:spacing w:after="0" w:line="250" w:lineRule="auto"/>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340" w:hanging="324"/>
        <w:spacing w:after="0" w:line="250" w:lineRule="auto"/>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costs associated with operating our digital infrastructure; and</w:t>
      </w:r>
    </w:p>
    <w:p>
      <w:pPr>
        <w:spacing w:after="0" w:line="9" w:lineRule="exact"/>
        <w:rPr>
          <w:rFonts w:ascii="Arial" w:cs="Arial" w:eastAsia="Arial" w:hAnsi="Arial"/>
          <w:sz w:val="14"/>
          <w:szCs w:val="14"/>
          <w:color w:val="1E1E1E"/>
        </w:rPr>
      </w:pPr>
    </w:p>
    <w:p>
      <w:pPr>
        <w:ind w:left="980" w:right="380" w:hanging="324"/>
        <w:spacing w:after="0" w:line="261" w:lineRule="auto"/>
        <w:tabs>
          <w:tab w:leader="none" w:pos="980" w:val="left"/>
        </w:tabs>
        <w:numPr>
          <w:ilvl w:val="0"/>
          <w:numId w:val="13"/>
        </w:numPr>
        <w:rPr>
          <w:rFonts w:ascii="Arial" w:cs="Arial" w:eastAsia="Arial" w:hAnsi="Arial"/>
          <w:sz w:val="14"/>
          <w:szCs w:val="14"/>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1E1E1E"/>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w:t>
      </w:r>
    </w:p>
    <w:p>
      <w:pPr>
        <w:spacing w:after="0" w:line="2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Other income, net consists primarily of interest earned on cash and cash equivalents.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results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9"/>
        </w:trPr>
        <w:tc>
          <w:tcPr>
            <w:tcW w:w="3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216"/>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09"/>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3,364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10,198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3"/>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(55)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3,344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10,143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56"/>
        </w:trPr>
        <w:tc>
          <w:tcPr>
            <w:tcW w:w="3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3"/>
        </w:trPr>
        <w:tc>
          <w:tcPr>
            <w:tcW w:w="336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14,227</w:t>
            </w:r>
          </w:p>
        </w:tc>
        <w:tc>
          <w:tcPr>
            <w:tcW w:w="200" w:type="dxa"/>
            <w:vAlign w:val="bottom"/>
          </w:tcPr>
          <w:p>
            <w:pPr>
              <w:spacing w:after="0"/>
              <w:rPr>
                <w:sz w:val="18"/>
                <w:szCs w:val="18"/>
                <w:color w:val="auto"/>
              </w:rPr>
            </w:pPr>
          </w:p>
        </w:tc>
        <w:tc>
          <w:tcPr>
            <w:tcW w:w="1080" w:type="dxa"/>
            <w:vAlign w:val="bottom"/>
          </w:tcPr>
          <w:p>
            <w:pPr>
              <w:jc w:val="right"/>
              <w:ind w:right="301"/>
              <w:spacing w:after="0"/>
              <w:rPr>
                <w:sz w:val="20"/>
                <w:szCs w:val="20"/>
                <w:color w:val="auto"/>
              </w:rPr>
            </w:pPr>
            <w:r>
              <w:rPr>
                <w:rFonts w:ascii="Arial" w:cs="Arial" w:eastAsia="Arial" w:hAnsi="Arial"/>
                <w:sz w:val="16"/>
                <w:szCs w:val="16"/>
                <w:color w:val="auto"/>
              </w:rPr>
              <w:t>(4,845)</w:t>
            </w: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21,829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22,026</w:t>
            </w:r>
          </w:p>
        </w:tc>
        <w:tc>
          <w:tcPr>
            <w:tcW w:w="220" w:type="dxa"/>
            <w:vAlign w:val="bottom"/>
          </w:tcPr>
          <w:p>
            <w:pPr>
              <w:spacing w:after="0"/>
              <w:rPr>
                <w:sz w:val="18"/>
                <w:szCs w:val="18"/>
                <w:color w:val="auto"/>
              </w:rPr>
            </w:pPr>
          </w:p>
        </w:tc>
        <w:tc>
          <w:tcPr>
            <w:tcW w:w="1080" w:type="dxa"/>
            <w:vAlign w:val="bottom"/>
          </w:tcPr>
          <w:p>
            <w:pPr>
              <w:jc w:val="right"/>
              <w:ind w:right="321"/>
              <w:spacing w:after="0"/>
              <w:rPr>
                <w:sz w:val="20"/>
                <w:szCs w:val="20"/>
                <w:color w:val="auto"/>
              </w:rPr>
            </w:pPr>
            <w:r>
              <w:rPr>
                <w:rFonts w:ascii="Arial" w:cs="Arial" w:eastAsia="Arial" w:hAnsi="Arial"/>
                <w:sz w:val="16"/>
                <w:szCs w:val="16"/>
                <w:color w:val="auto"/>
              </w:rPr>
              <w:t>(196)</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38,439</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16,621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70,880</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30,858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13"/>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28,290</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7,091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8,892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92,732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18,867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174,731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135,179</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39,554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43"/>
        </w:trPr>
        <w:tc>
          <w:tcPr>
            <w:tcW w:w="3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(15,523)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(151,580)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(122,172)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(29,411)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33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4,358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8,893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8"/>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(76,726)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(11,165)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(121,539)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(20,518)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62"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color w:val="1E1E1E"/>
        </w:rPr>
        <w:t xml:space="preserve">Our financial performance during the three and </w:t>
      </w:r>
      <w:r>
        <w:rPr>
          <w:rFonts w:ascii="Arial" w:cs="Arial" w:eastAsia="Arial" w:hAnsi="Arial"/>
          <w:sz w:val="18"/>
          <w:szCs w:val="18"/>
          <w:color w:val="000000"/>
        </w:rPr>
        <w:t>six months ended June 30, 2023 compared to the prior periods included; (i) an increase in</w:t>
      </w:r>
      <w:r>
        <w:rPr>
          <w:rFonts w:ascii="Arial" w:cs="Arial" w:eastAsia="Arial" w:hAnsi="Arial"/>
          <w:sz w:val="18"/>
          <w:szCs w:val="18"/>
          <w:color w:val="1E1E1E"/>
        </w:rPr>
        <w:t xml:space="preserve"> </w:t>
      </w:r>
      <w:r>
        <w:rPr>
          <w:rFonts w:ascii="Arial" w:cs="Arial" w:eastAsia="Arial" w:hAnsi="Arial"/>
          <w:sz w:val="18"/>
          <w:szCs w:val="18"/>
          <w:color w:val="000000"/>
        </w:rPr>
        <w:t xml:space="preserve">research and development costs due to increased platform costs as we have expanded and upgraded our capabilities, additionally </w:t>
      </w:r>
      <w:r>
        <w:rPr>
          <w:rFonts w:ascii="Arial" w:cs="Arial" w:eastAsia="Arial" w:hAnsi="Arial"/>
          <w:sz w:val="18"/>
          <w:szCs w:val="18"/>
          <w:color w:val="1E1E1E"/>
        </w:rPr>
        <w:t>for the</w:t>
      </w:r>
      <w:r>
        <w:rPr>
          <w:rFonts w:ascii="Arial" w:cs="Arial" w:eastAsia="Arial" w:hAnsi="Arial"/>
          <w:sz w:val="18"/>
          <w:szCs w:val="18"/>
          <w:color w:val="000000"/>
        </w:rPr>
        <w:t xml:space="preserve"> </w:t>
      </w:r>
      <w:r>
        <w:rPr>
          <w:rFonts w:ascii="Arial" w:cs="Arial" w:eastAsia="Arial" w:hAnsi="Arial"/>
          <w:sz w:val="18"/>
          <w:szCs w:val="18"/>
          <w:color w:val="1E1E1E"/>
        </w:rPr>
        <w:t xml:space="preserve">three and </w:t>
      </w:r>
      <w:r>
        <w:rPr>
          <w:rFonts w:ascii="Arial" w:cs="Arial" w:eastAsia="Arial" w:hAnsi="Arial"/>
          <w:sz w:val="18"/>
          <w:szCs w:val="18"/>
          <w:color w:val="000000"/>
        </w:rPr>
        <w:t>six months ended June 30, 2022 platform costs decreased due to a reallocation of spending to cost of revenue for our strategic</w:t>
      </w:r>
      <w:r>
        <w:rPr>
          <w:rFonts w:ascii="Arial" w:cs="Arial" w:eastAsia="Arial" w:hAnsi="Arial"/>
          <w:sz w:val="18"/>
          <w:szCs w:val="18"/>
          <w:color w:val="1E1E1E"/>
        </w:rPr>
        <w:t xml:space="preserve"> </w:t>
      </w:r>
      <w:r>
        <w:rPr>
          <w:rFonts w:ascii="Arial" w:cs="Arial" w:eastAsia="Arial" w:hAnsi="Arial"/>
          <w:sz w:val="18"/>
          <w:szCs w:val="18"/>
          <w:color w:val="000000"/>
        </w:rPr>
        <w:t xml:space="preserve">partnerships and </w:t>
      </w:r>
      <w:r>
        <w:rPr>
          <w:rFonts w:ascii="Arial" w:cs="Arial" w:eastAsia="Arial" w:hAnsi="Arial"/>
          <w:sz w:val="18"/>
          <w:szCs w:val="18"/>
          <w:color w:val="1E1E1E"/>
        </w:rPr>
        <w:t>(ii) an increase in revenue recognized due to progression on our strategic partnership with Roche.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9"/>
        </w:trPr>
        <w:tc>
          <w:tcPr>
            <w:tcW w:w="3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r>
      <w:tr>
        <w:trPr>
          <w:trHeight w:val="21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07"/>
        </w:trPr>
        <w:tc>
          <w:tcPr>
            <w:tcW w:w="3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3,364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23,150</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10,198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3"/>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(55)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35"/>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7,674</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3,344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4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10,143</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3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2023</w:t>
      </w:r>
      <w:r>
        <w:rPr>
          <w:rFonts w:ascii="Arial" w:cs="Arial" w:eastAsia="Arial" w:hAnsi="Arial"/>
          <w:sz w:val="18"/>
          <w:szCs w:val="18"/>
          <w:color w:val="1E1E1E"/>
        </w:rPr>
        <w:t>, the increase in revenue compared to prior period was due to revenue recognized from our strategic partnership with Roche, which has progressed from primarily cell type evaluation work to inference based Phenomap building and additional cell type evaluation work.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4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9"/>
        </w:trPr>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b w:val="1"/>
                <w:bCs w:val="1"/>
                <w:color w:val="auto"/>
                <w:w w:val="99"/>
              </w:rPr>
              <w:t>June 30,</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8"/>
                <w:szCs w:val="18"/>
                <w:color w:val="auto"/>
              </w:rPr>
            </w:pPr>
          </w:p>
        </w:tc>
      </w:tr>
      <w:tr>
        <w:trPr>
          <w:trHeight w:val="23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r>
      <w:tr>
        <w:trPr>
          <w:trHeight w:val="232"/>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9,382 $</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14,227</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6"/>
                <w:szCs w:val="16"/>
                <w:color w:val="auto"/>
              </w:rPr>
              <w:t>(4,845)</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(34)%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(197)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1E1E1E"/>
        </w:rPr>
        <w:t>For the three months ended June 30, 2023, the decrease in cost of revenue compared to prior period was due to our strategic partnership with Bayer, for which less brute-force work was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9"/>
        </w:trPr>
        <w:tc>
          <w:tcPr>
            <w:tcW w:w="3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30,</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21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07"/>
        </w:trPr>
        <w:tc>
          <w:tcPr>
            <w:tcW w:w="36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21,514</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10,828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24,006</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366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16,449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12,398</w:t>
            </w:r>
          </w:p>
        </w:tc>
        <w:tc>
          <w:tcPr>
            <w:tcW w:w="260" w:type="dxa"/>
            <w:vAlign w:val="bottom"/>
          </w:tcPr>
          <w:p>
            <w:pPr>
              <w:spacing w:after="0"/>
              <w:rPr>
                <w:sz w:val="18"/>
                <w:szCs w:val="18"/>
                <w:color w:val="auto"/>
              </w:rPr>
            </w:pPr>
          </w:p>
        </w:tc>
        <w:tc>
          <w:tcPr>
            <w:tcW w:w="1040" w:type="dxa"/>
            <w:vAlign w:val="bottom"/>
          </w:tcPr>
          <w:p>
            <w:pPr>
              <w:jc w:val="right"/>
              <w:ind w:right="341"/>
              <w:spacing w:after="0"/>
              <w:rPr>
                <w:sz w:val="20"/>
                <w:szCs w:val="20"/>
                <w:color w:val="auto"/>
              </w:rPr>
            </w:pPr>
            <w:r>
              <w:rPr>
                <w:rFonts w:ascii="Arial" w:cs="Arial" w:eastAsia="Arial" w:hAnsi="Arial"/>
                <w:sz w:val="16"/>
                <w:szCs w:val="16"/>
                <w:color w:val="auto"/>
              </w:rPr>
              <w:t>4,051</w:t>
            </w:r>
          </w:p>
        </w:tc>
        <w:tc>
          <w:tcPr>
            <w:tcW w:w="600" w:type="dxa"/>
            <w:vAlign w:val="bottom"/>
          </w:tcPr>
          <w:p>
            <w:pPr>
              <w:jc w:val="right"/>
              <w:spacing w:after="0"/>
              <w:rPr>
                <w:sz w:val="20"/>
                <w:szCs w:val="20"/>
                <w:color w:val="auto"/>
              </w:rPr>
            </w:pPr>
            <w:r>
              <w:rPr>
                <w:rFonts w:ascii="Arial" w:cs="Arial" w:eastAsia="Arial" w:hAnsi="Arial"/>
                <w:sz w:val="16"/>
                <w:szCs w:val="16"/>
                <w:color w:val="auto"/>
              </w:rPr>
              <w:t>33 %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29,954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24,759</w:t>
            </w:r>
          </w:p>
        </w:tc>
        <w:tc>
          <w:tcPr>
            <w:tcW w:w="2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6"/>
                <w:szCs w:val="16"/>
                <w:color w:val="auto"/>
              </w:rPr>
              <w:t>5,195</w:t>
            </w:r>
          </w:p>
        </w:tc>
        <w:tc>
          <w:tcPr>
            <w:tcW w:w="64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(72)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23,663</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338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366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4,483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2,165</w:t>
            </w:r>
          </w:p>
        </w:tc>
        <w:tc>
          <w:tcPr>
            <w:tcW w:w="260" w:type="dxa"/>
            <w:vAlign w:val="bottom"/>
          </w:tcPr>
          <w:p>
            <w:pPr>
              <w:spacing w:after="0"/>
              <w:rPr>
                <w:sz w:val="18"/>
                <w:szCs w:val="18"/>
                <w:color w:val="auto"/>
              </w:rPr>
            </w:pPr>
          </w:p>
        </w:tc>
        <w:tc>
          <w:tcPr>
            <w:tcW w:w="1040" w:type="dxa"/>
            <w:vAlign w:val="bottom"/>
          </w:tcPr>
          <w:p>
            <w:pPr>
              <w:jc w:val="right"/>
              <w:ind w:right="341"/>
              <w:spacing w:after="0"/>
              <w:rPr>
                <w:sz w:val="20"/>
                <w:szCs w:val="20"/>
                <w:color w:val="auto"/>
              </w:rPr>
            </w:pPr>
            <w:r>
              <w:rPr>
                <w:rFonts w:ascii="Arial" w:cs="Arial" w:eastAsia="Arial" w:hAnsi="Arial"/>
                <w:sz w:val="16"/>
                <w:szCs w:val="16"/>
                <w:color w:val="auto"/>
              </w:rPr>
              <w:t>2,318</w:t>
            </w:r>
          </w:p>
        </w:tc>
        <w:tc>
          <w:tcPr>
            <w:tcW w:w="600" w:type="dxa"/>
            <w:vAlign w:val="bottom"/>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7,315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3,929</w:t>
            </w:r>
          </w:p>
        </w:tc>
        <w:tc>
          <w:tcPr>
            <w:tcW w:w="260" w:type="dxa"/>
            <w:vAlign w:val="bottom"/>
          </w:tcPr>
          <w:p>
            <w:pPr>
              <w:spacing w:after="0"/>
              <w:rPr>
                <w:sz w:val="18"/>
                <w:szCs w:val="18"/>
                <w:color w:val="auto"/>
              </w:rPr>
            </w:pPr>
          </w:p>
        </w:tc>
        <w:tc>
          <w:tcPr>
            <w:tcW w:w="1060" w:type="dxa"/>
            <w:vAlign w:val="bottom"/>
          </w:tcPr>
          <w:p>
            <w:pPr>
              <w:jc w:val="right"/>
              <w:ind w:right="361"/>
              <w:spacing w:after="0"/>
              <w:rPr>
                <w:sz w:val="20"/>
                <w:szCs w:val="20"/>
                <w:color w:val="auto"/>
              </w:rPr>
            </w:pPr>
            <w:r>
              <w:rPr>
                <w:rFonts w:ascii="Arial" w:cs="Arial" w:eastAsia="Arial" w:hAnsi="Arial"/>
                <w:sz w:val="16"/>
                <w:szCs w:val="16"/>
                <w:color w:val="auto"/>
              </w:rPr>
              <w:t>3,386</w:t>
            </w:r>
          </w:p>
        </w:tc>
        <w:tc>
          <w:tcPr>
            <w:tcW w:w="64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16"/>
        </w:trPr>
        <w:tc>
          <w:tcPr>
            <w:tcW w:w="3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3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(504)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(2,068)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55,060</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16,621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30,857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r>
      <w:tr>
        <w:trPr>
          <w:trHeight w:val="24"/>
        </w:trPr>
        <w:tc>
          <w:tcPr>
            <w:tcW w:w="3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1E1E1E"/>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2023</w:t>
      </w:r>
      <w:r>
        <w:rPr>
          <w:rFonts w:ascii="Arial" w:cs="Arial" w:eastAsia="Arial" w:hAnsi="Arial"/>
          <w:sz w:val="18"/>
          <w:szCs w:val="18"/>
          <w:color w:val="1E1E1E"/>
        </w:rPr>
        <w:t xml:space="preserve">, the increase in research and development expenses compared to the prior period was due to increased platform costs as we have expanded and upgraded our capabilities in platform including our chemical technology, machine learning and transcriptomics platform. Additionally, for the three and six months ended June 30, 2022 </w:t>
      </w:r>
      <w:r>
        <w:rPr>
          <w:rFonts w:ascii="Arial" w:cs="Arial" w:eastAsia="Arial" w:hAnsi="Arial"/>
          <w:sz w:val="18"/>
          <w:szCs w:val="18"/>
          <w:color w:val="000000"/>
        </w:rPr>
        <w:t>platform costs decreased due to a</w:t>
      </w:r>
      <w:r>
        <w:rPr>
          <w:rFonts w:ascii="Arial" w:cs="Arial" w:eastAsia="Arial" w:hAnsi="Arial"/>
          <w:sz w:val="18"/>
          <w:szCs w:val="18"/>
          <w:color w:val="1E1E1E"/>
        </w:rPr>
        <w:t xml:space="preserve"> </w:t>
      </w:r>
      <w:r>
        <w:rPr>
          <w:rFonts w:ascii="Arial" w:cs="Arial" w:eastAsia="Arial" w:hAnsi="Arial"/>
          <w:sz w:val="18"/>
          <w:szCs w:val="18"/>
          <w:color w:val="000000"/>
        </w:rPr>
        <w:t>reallocation of spending to cost of revenue for our strategic partnerships.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 June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22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33"/>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28,290 $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7,091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51,165</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42,273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8,892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3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2023</w:t>
      </w:r>
      <w:r>
        <w:rPr>
          <w:rFonts w:ascii="Arial" w:cs="Arial" w:eastAsia="Arial" w:hAnsi="Arial"/>
          <w:sz w:val="18"/>
          <w:szCs w:val="18"/>
          <w:color w:val="1E1E1E"/>
        </w:rPr>
        <w:t>, the increase in general and administrative expense compared to prior period was primarily driven by an increase in salaries and wages of $3.0 million and $4.3 million, respectively, and increases in software and depreciation expense.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net: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9"/>
        </w:trPr>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8"/>
                <w:szCs w:val="18"/>
                <w:color w:val="auto"/>
              </w:rPr>
            </w:pPr>
          </w:p>
        </w:tc>
      </w:tr>
      <w:tr>
        <w:trPr>
          <w:trHeight w:val="22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4,306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2"/>
              <w:spacing w:after="0"/>
              <w:rPr>
                <w:sz w:val="20"/>
                <w:szCs w:val="20"/>
                <w:color w:val="auto"/>
              </w:rPr>
            </w:pPr>
            <w:r>
              <w:rPr>
                <w:rFonts w:ascii="Arial" w:cs="Arial" w:eastAsia="Arial" w:hAnsi="Arial"/>
                <w:sz w:val="16"/>
                <w:szCs w:val="16"/>
                <w:color w:val="auto"/>
              </w:rPr>
              <w:t>8,879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1060" w:type="dxa"/>
            <w:vAlign w:val="bottom"/>
          </w:tcPr>
          <w:p>
            <w:pPr>
              <w:jc w:val="right"/>
              <w:ind w:right="342"/>
              <w:spacing w:after="0"/>
              <w:rPr>
                <w:sz w:val="20"/>
                <w:szCs w:val="20"/>
                <w:color w:val="auto"/>
              </w:rPr>
            </w:pPr>
            <w:r>
              <w:rPr>
                <w:rFonts w:ascii="Arial" w:cs="Arial" w:eastAsia="Arial" w:hAnsi="Arial"/>
                <w:sz w:val="16"/>
                <w:szCs w:val="16"/>
                <w:color w:val="auto"/>
              </w:rPr>
              <w:t>(12)</w:t>
            </w:r>
          </w:p>
        </w:tc>
        <w:tc>
          <w:tcPr>
            <w:tcW w:w="660" w:type="dxa"/>
            <w:vAlign w:val="bottom"/>
          </w:tcPr>
          <w:p>
            <w:pPr>
              <w:jc w:val="right"/>
              <w:spacing w:after="0"/>
              <w:rPr>
                <w:sz w:val="20"/>
                <w:szCs w:val="20"/>
                <w:color w:val="auto"/>
              </w:rPr>
            </w:pPr>
            <w:r>
              <w:rPr>
                <w:rFonts w:ascii="Arial" w:cs="Arial" w:eastAsia="Arial" w:hAnsi="Arial"/>
                <w:sz w:val="16"/>
                <w:szCs w:val="16"/>
                <w:color w:val="auto"/>
              </w:rPr>
              <w:t>91.1 %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8"/>
                <w:szCs w:val="18"/>
                <w:color w:val="auto"/>
              </w:rPr>
            </w:pPr>
          </w:p>
        </w:tc>
        <w:tc>
          <w:tcPr>
            <w:tcW w:w="1100" w:type="dxa"/>
            <w:vAlign w:val="bottom"/>
          </w:tcPr>
          <w:p>
            <w:pPr>
              <w:jc w:val="right"/>
              <w:ind w:right="382"/>
              <w:spacing w:after="0"/>
              <w:rPr>
                <w:sz w:val="20"/>
                <w:szCs w:val="20"/>
                <w:color w:val="auto"/>
              </w:rPr>
            </w:pPr>
            <w:r>
              <w:rPr>
                <w:rFonts w:ascii="Arial" w:cs="Arial" w:eastAsia="Arial" w:hAnsi="Arial"/>
                <w:sz w:val="16"/>
                <w:szCs w:val="16"/>
                <w:color w:val="auto"/>
              </w:rPr>
              <w:t>(17)</w:t>
            </w:r>
          </w:p>
        </w:tc>
        <w:tc>
          <w:tcPr>
            <w:tcW w:w="720" w:type="dxa"/>
            <w:vAlign w:val="bottom"/>
          </w:tcPr>
          <w:p>
            <w:pPr>
              <w:jc w:val="right"/>
              <w:spacing w:after="0"/>
              <w:rPr>
                <w:sz w:val="20"/>
                <w:szCs w:val="20"/>
                <w:color w:val="auto"/>
              </w:rPr>
            </w:pPr>
            <w:r>
              <w:rPr>
                <w:rFonts w:ascii="Arial" w:cs="Arial" w:eastAsia="Arial" w:hAnsi="Arial"/>
                <w:sz w:val="16"/>
                <w:szCs w:val="16"/>
                <w:color w:val="auto"/>
              </w:rPr>
              <w:t>60.8 %</w:t>
            </w: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rPr>
              <w:t>64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22"/>
              <w:spacing w:after="0"/>
              <w:rPr>
                <w:sz w:val="20"/>
                <w:szCs w:val="20"/>
                <w:color w:val="auto"/>
              </w:rPr>
            </w:pPr>
            <w:r>
              <w:rPr>
                <w:rFonts w:ascii="Arial" w:cs="Arial" w:eastAsia="Arial" w:hAnsi="Arial"/>
                <w:sz w:val="16"/>
                <w:szCs w:val="16"/>
                <w:color w:val="auto"/>
              </w:rPr>
              <w:t>33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0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4,358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4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8,895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4"/>
        </w:trPr>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2023</w:t>
      </w:r>
      <w:r>
        <w:rPr>
          <w:rFonts w:ascii="Arial" w:cs="Arial" w:eastAsia="Arial" w:hAnsi="Arial"/>
          <w:sz w:val="18"/>
          <w:szCs w:val="18"/>
          <w:color w:val="1E1E1E"/>
        </w:rPr>
        <w:t xml:space="preserve">, the </w:t>
      </w:r>
      <w:r>
        <w:rPr>
          <w:rFonts w:ascii="Arial" w:cs="Arial" w:eastAsia="Arial" w:hAnsi="Arial"/>
          <w:sz w:val="18"/>
          <w:szCs w:val="18"/>
          <w:color w:val="000000"/>
        </w:rPr>
        <w:t>increase in interest income related to earnings on cash and cash equivalents in</w:t>
      </w:r>
      <w:r>
        <w:rPr>
          <w:rFonts w:ascii="Arial" w:cs="Arial" w:eastAsia="Arial" w:hAnsi="Arial"/>
          <w:sz w:val="18"/>
          <w:szCs w:val="18"/>
          <w:color w:val="1E1E1E"/>
        </w:rPr>
        <w:t xml:space="preserve"> </w:t>
      </w:r>
      <w:r>
        <w:rPr>
          <w:rFonts w:ascii="Arial" w:cs="Arial" w:eastAsia="Arial" w:hAnsi="Arial"/>
          <w:sz w:val="18"/>
          <w:szCs w:val="18"/>
          <w:color w:val="000000"/>
        </w:rPr>
        <w:t>money market funds.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Cash and cash equivalents totaled $405.9 million and $549.9 million as of June 30, 2023 and December 31, 2022, respectively.</w:t>
      </w:r>
    </w:p>
    <w:p>
      <w:pPr>
        <w:spacing w:after="0" w:line="211"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$76.7 million and $142.1 million during the three and six months ended June 30, 2023, respectively. Our net loss was $65.6 million and $121.5 million during the three and six months ended June 30, 2022, respectively. As of June 30, 2023 and December 31, 2022, we had an accumulated deficit of $781.6 million and $639.6 million, respectively.</w:t>
      </w:r>
    </w:p>
    <w:p>
      <w:pPr>
        <w:spacing w:after="0" w:line="2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1E1E1E"/>
        </w:rPr>
        <w:t xml:space="preserve">We have financed our operations through the private placements of preferred stock and Class A common stock issuances. As of June 30, 2023, we have received net proceeds of $448.9 million from the sale of preferred stock and $606.1 million from Class A common stock issuances. See Note 8, “Common Stock”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Class A common stock issuances. Additionally, as of June 30, 2023, we have received proceeds of $180.0 million from our strategic partnerships. See Note 9, “Collaborative Development Contracts”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the collaborations. Subsequent to June 30, 2023, Recursion entered into the 2023 Private Placement with NVIDIA Corporation, see Note 14, “Subsequent Events”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 for each of the periods presented below:</w:t>
      </w:r>
    </w:p>
    <w:p>
      <w:pPr>
        <w:spacing w:after="0" w:line="10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37465</wp:posOffset>
            </wp:positionV>
            <wp:extent cx="235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r>
      <w:tr>
        <w:trPr>
          <w:trHeight w:val="237"/>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2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provided by (used in) investing activities</w:t>
            </w:r>
          </w:p>
        </w:tc>
        <w:tc>
          <w:tcPr>
            <w:tcW w:w="2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(7,393)</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148,244</w:t>
            </w:r>
          </w:p>
        </w:tc>
      </w:tr>
      <w:tr>
        <w:trPr>
          <w:trHeight w:val="22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1E1E1E"/>
        </w:rPr>
        <w:t>Cash used by operating activities increased during the six months ended June 30, 2023 as a result of an upfront payment of $150.0 million from our strategic partnership with Roche received during the six months ended June 30, 2022.</w:t>
      </w:r>
    </w:p>
    <w:p>
      <w:pPr>
        <w:spacing w:after="0" w:line="280" w:lineRule="exact"/>
        <w:rPr>
          <w:sz w:val="20"/>
          <w:szCs w:val="20"/>
          <w:color w:val="auto"/>
        </w:rPr>
      </w:pPr>
    </w:p>
    <w:p>
      <w:pPr>
        <w:ind w:right="380"/>
        <w:spacing w:after="0" w:line="291" w:lineRule="auto"/>
        <w:rPr>
          <w:sz w:val="20"/>
          <w:szCs w:val="20"/>
          <w:color w:val="auto"/>
        </w:rPr>
      </w:pPr>
      <w:r>
        <w:rPr>
          <w:rFonts w:ascii="Arial" w:cs="Arial" w:eastAsia="Arial" w:hAnsi="Arial"/>
          <w:sz w:val="18"/>
          <w:szCs w:val="18"/>
          <w:color w:val="1E1E1E"/>
        </w:rPr>
        <w:t>Cash provided by operating activities during the six months ended June 30, 2022 included an upfront payment of $150.0 million from our strategic partnership with Roche</w:t>
      </w:r>
      <w:r>
        <w:rPr>
          <w:rFonts w:ascii="Arial" w:cs="Arial" w:eastAsia="Arial" w:hAnsi="Arial"/>
          <w:sz w:val="18"/>
          <w:szCs w:val="18"/>
          <w:color w:val="000000"/>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six months ended June 30, 2023</w:t>
      </w:r>
      <w:r>
        <w:rPr>
          <w:rFonts w:ascii="Arial" w:cs="Arial" w:eastAsia="Arial" w:hAnsi="Arial"/>
          <w:sz w:val="18"/>
          <w:szCs w:val="18"/>
          <w:color w:val="1E1E1E"/>
        </w:rPr>
        <w:t xml:space="preserve"> consisted primarily of purchases of property and equipment of $9.1 million, which included $1.7 million for a project to upgrade the BioHive supercomputer and lab equipment purchases. The cash used was partially offset by $1.9 million of n</w:t>
      </w:r>
      <w:r>
        <w:rPr>
          <w:rFonts w:ascii="Arial" w:cs="Arial" w:eastAsia="Arial" w:hAnsi="Arial"/>
          <w:sz w:val="18"/>
          <w:szCs w:val="18"/>
          <w:color w:val="000000"/>
        </w:rPr>
        <w:t>et cash acquired in the acquisition of a business.</w:t>
      </w:r>
    </w:p>
    <w:p>
      <w:pPr>
        <w:spacing w:after="0" w:line="217"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1E1E1E"/>
        </w:rPr>
        <w:t xml:space="preserve">Cash provided by investing activities during the </w:t>
      </w:r>
      <w:r>
        <w:rPr>
          <w:rFonts w:ascii="Arial" w:cs="Arial" w:eastAsia="Arial" w:hAnsi="Arial"/>
          <w:sz w:val="18"/>
          <w:szCs w:val="18"/>
          <w:color w:val="000000"/>
        </w:rPr>
        <w:t>six months ended June 30, 2022</w:t>
      </w:r>
      <w:r>
        <w:rPr>
          <w:rFonts w:ascii="Arial" w:cs="Arial" w:eastAsia="Arial" w:hAnsi="Arial"/>
          <w:sz w:val="18"/>
          <w:szCs w:val="18"/>
          <w:color w:val="1E1E1E"/>
        </w:rPr>
        <w:t xml:space="preserve"> was driven by sales and maturities of investments of $169.1 million, partially offset by purchases of property and equipment of $20.8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six months ended June 30, 2023</w:t>
      </w:r>
      <w:r>
        <w:rPr>
          <w:rFonts w:ascii="Arial" w:cs="Arial" w:eastAsia="Arial" w:hAnsi="Arial"/>
          <w:sz w:val="18"/>
          <w:szCs w:val="18"/>
          <w:color w:val="1E1E1E"/>
        </w:rPr>
        <w:t xml:space="preserve"> and </w:t>
      </w:r>
      <w:r>
        <w:rPr>
          <w:rFonts w:ascii="Arial" w:cs="Arial" w:eastAsia="Arial" w:hAnsi="Arial"/>
          <w:sz w:val="18"/>
          <w:szCs w:val="18"/>
          <w:color w:val="000000"/>
        </w:rPr>
        <w:t>2022</w:t>
      </w:r>
      <w:r>
        <w:rPr>
          <w:rFonts w:ascii="Arial" w:cs="Arial" w:eastAsia="Arial" w:hAnsi="Arial"/>
          <w:sz w:val="18"/>
          <w:szCs w:val="18"/>
          <w:color w:val="1E1E1E"/>
        </w:rPr>
        <w:t xml:space="preserve"> primarily included proceeds </w:t>
      </w:r>
      <w:r>
        <w:rPr>
          <w:rFonts w:ascii="Arial" w:cs="Arial" w:eastAsia="Arial" w:hAnsi="Arial"/>
          <w:sz w:val="18"/>
          <w:szCs w:val="18"/>
          <w:color w:val="000000"/>
        </w:rPr>
        <w:t>from equity incentive</w:t>
      </w:r>
      <w:r>
        <w:rPr>
          <w:rFonts w:ascii="Arial" w:cs="Arial" w:eastAsia="Arial" w:hAnsi="Arial"/>
          <w:sz w:val="18"/>
          <w:szCs w:val="18"/>
          <w:color w:val="1E1E1E"/>
        </w:rPr>
        <w:t xml:space="preserve"> </w:t>
      </w:r>
      <w:r>
        <w:rPr>
          <w:rFonts w:ascii="Arial" w:cs="Arial" w:eastAsia="Arial" w:hAnsi="Arial"/>
          <w:sz w:val="18"/>
          <w:szCs w:val="18"/>
          <w:color w:val="000000"/>
        </w:rPr>
        <w:t xml:space="preserve">plans of </w:t>
      </w:r>
      <w:r>
        <w:rPr>
          <w:rFonts w:ascii="Arial" w:cs="Arial" w:eastAsia="Arial" w:hAnsi="Arial"/>
          <w:sz w:val="18"/>
          <w:szCs w:val="18"/>
          <w:color w:val="1E1E1E"/>
        </w:rPr>
        <w:t>$5.8 million and $4.8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2022 Annual Report. Except as noted below, there were no significant changes in the Company’s application of its critical accounting policies during the six months ended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Results of operations of acquired companies are included in the Recursion results of operations as of the respective acquisition dates. The purchase price of each acquisition is allocated to the net assets acquired based on estimates of their fair values at the date of acquisition. Any purchase price in excess of these net assets is recorded as goodwill. The allocation of purchase price in certain cases may be subject to revision based on the final determination of fair values during the measurement period, which may be up to one year from the acquisition date. Legal costs, due diligence costs, business valuation costs and all other business acquisition costs are expensed when incurred.</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Amounts allocated to assets and liabilities are based upon fair value estimates. These fair value estimates could require us to make significant estimates and assumptions, especially with respect to intangible assets. We make estimates of fair value based upon assumptions believed to be reasonable and that of a market participant. These estimates are based on available historical information as well as future expectations and the estimates are inherently uncertain. The use of alternative estimates and assumptions could increase or decrease the estimated fair values, the amounts allocated to identifiable intangible assets acquired, future amortization expense and the value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6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We are exposed to market risk related to changes in interest rates of our cash and cash equivalents. As of June 30, 2023, our cash and cash equivalents primarily consisted of money market funds. Our primary exposure to market risk is interest income sensitivity, which is affected by changes in U.S. interest rates. A hypothetical 100 basis point decrease in interest rates as of </w:t>
      </w:r>
      <w:r>
        <w:rPr>
          <w:rFonts w:ascii="Arial" w:cs="Arial" w:eastAsia="Arial" w:hAnsi="Arial"/>
          <w:sz w:val="18"/>
          <w:szCs w:val="18"/>
          <w:color w:val="1E1E1E"/>
        </w:rPr>
        <w:t>as of</w:t>
      </w:r>
      <w:r>
        <w:rPr>
          <w:rFonts w:ascii="Arial" w:cs="Arial" w:eastAsia="Arial" w:hAnsi="Arial"/>
          <w:sz w:val="18"/>
          <w:szCs w:val="18"/>
          <w:color w:val="auto"/>
        </w:rPr>
        <w:t xml:space="preserve"> June 30, 2023</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ensuring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not have had a material effect on our financial results during the three and six months ended June 30, 2023 and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 and Market Volatility</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recent months, inflation has continued to increase significantly in the U.S. and overseas resulting in rising costs for transportation, wages, construction and other goods and services. Inflation and supply chain disruptions have increased our overall operating expenses. In addition, the capital and credit markets have been experiencing volatility and disruption, which has exerted downward pressure on stock prices and credit capacity. There is no assurance that such markets will be a source of future financing for Recursion, nor that other funding sources would be available or sufficient, particularly if current levels of market disruption and volatility continue or worsen. Although we do not believe that the above conditions have materially changed our overall financial position, if our costs continue to increase, we may not be able to fully offset those increased costs through reduced spending or additional financing efforts and failure to do so could harm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6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provide reasonable assurance of achieving their objectives. Based on that evaluation, our Chief Executive Officer and Chief Financial Officer have concluded that, as of June 30, 2023, our disclosure controls and procedures were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As of June 30, 2023, management is in the process of integrating the internal controls of the acquired businesses into Recursion's existing operations as part of planned integration activities. There were no other changes in financial reporting (as defined in Rules 13a-15(f) and 15d-15(f) under the Exchange Act) that occurred during the quarter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6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“Risk Factor Summary” and “Item 1A. Risk Factors” of our 2022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risk factors set forth below represent new risk factors or those containing changes to the similarly titled risk factor included in “Item 1A.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Risk Factors” of our 2022 Annual Report.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52"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require us to relinquish rights to our technologies or drug candidates, and divert management’s attention from our core business.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terms of any financing we obtain may adversely affect the holdings or rights of our stockholders, and the issuance of additional securities, whether equity or debt, or the possibility of such issuance, may cause the market price of our shares to decline. To the extent that we raise additional capital through the sale of Class A common stock or securities convertible or exchangeable into Class A common stock, our stockholders’ ownership interests will be diluted.</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example, in October 2022, we issued 15,336,734 shares of our Class A common stock for gross proceeds of approximately $150 million and in July 2023, we issued 7,706,363 shares of our Class A common stock for gross proceeds of approximately $50 million. Additionally, in August 2023, we entered into an Open Market Sales Agreement (the “Sales Agreement”) with Jefferies LLC (the “Sales Agent”), to provide for the offering, issuance and sale of up to an aggregate amount of $300.0 million of our Class A common stock from time to time in “at-the-market” offerings. We will pay to the Sales Agent cash commissions of 3.0% of the gross proceeds of sales of our Class A common stock under the Sales Agreement. Sales of a substantial number of shares of our outstanding Class A common stock in the public market could occur at any time. These sales, or the perception in the market that the holders of a large number of shares of our Class A common stock intend to sell shares, could reduce the market price of our common stock.</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Moreover, as a condition to providing additional funds to us, future investors may demand, and may be granted, favorable terms that may include liquidation, preferences, dividend payments, voting rights or other preferences that materially and adversely affect the rights of common stockholders. Debt financing, if available, would result in increased fixed payment obligations. In addition, we may be required to agree to certain restrictive covenants, which could adversely impact our ability to make capital expenditures, declare dividends, or otherwise conduct our business. We also may need to raise funds through additional strategic collaborations, partnerships, or licensing arrangements with third parties at an earlier stage than would be desirable. Such arrangements could require us to relinquish rights to some of our technologies or drug candidates, future revenue streams, or research programs, or otherwise agree to terms unfavorable to us. Fundraising efforts have the potential to divert our management’s attention from our core business or create competing priorities, which may adversely affect our ability to develop and commercialize our drug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outcomes and benefits of our Acquisitions.</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benefits we expect to achieve as a result of our recent acquisitions of Cyclica Inc. (“Cyclica”) and Valence Discovery Inc. (“Valence”) in May 2023 and any future acquisitions will depend, in part, on our ability to realize anticipated growth opportunities and cost synergies. Our success in realizing these growth opportunities and cost synergies, and the timing of this realization, depends on the successful integration of Cyclica and Valence’s, and any future acquisition targets’, business and operations with our business and operations. Even if we are able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integrate our business with Cyclica’s and Valence’s business successfully, this integration may not result in the realization of the outcomes and benefits, growth opportunities and cost synergies we currently expect within the anticipated time frame or at all. Moreover, we anticipate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that we will incur substantial expenses in connection with the integration of Cyclica’s and Valence’s business with our business. While we anticipate that certain expenses will be incurred, such expenses are difficult to estimate accurately, and may exceed current estimates.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Accordingly, the outcomes and benefits from our acquisition of Cyclica and Valence may be offset by costs incurred or delays in integrating the companies, which could cause the outcomes and benefits we anticipate to be inaccurate or not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could result in significant foreign currency gains and losses and affect our business results.</w:t>
      </w:r>
    </w:p>
    <w:p>
      <w:pPr>
        <w:spacing w:after="0" w:line="2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Because the results of both Cyclica and Valence are reported in Canadian dollars, which we will then translate to U.S. dollars for inclusion in our consolidated financial statements, we will be exposed to more significant currency translation risk as a result of the acquisitions. As a result, changes between the foreign exchange rates, in particular the Canadian dollar and the U.S. dollar, affect the amounts we record for our foreign assets, liabilities, revenues and expenses, and could have a negative effect on our financial results. We currently do not enter into hedging arrangements to minimize the impact of foreign currency fluctuations.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CLASS A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designate the Court of Chancery of the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i w:val="1"/>
          <w:iCs w:val="1"/>
          <w:color w:val="auto"/>
        </w:rPr>
        <w:t>State of Delaware as the sole and exclusive forum for certain types of actions and proceedings that may be initiated by our stockholders, which could limit our stockholders’ ability to obtain a favorable judicial forum for disputes with us or our directors,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officers, employees or agents.</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amended and restated bylaws provide that the Court of Chancery of the State of Delaware and the federal district courts of the United States of America is the exclusive forums for substantially all disputes between us and our stockholders, which could limit our stockholders’ ability to obtain a favorable judicial forum for disputes with us or our directors, officers or employees.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ind w:left="1300" w:hanging="320"/>
        <w:spacing w:after="0" w:line="234"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any derivative action or proceeding brought on our behalf;</w:t>
      </w:r>
    </w:p>
    <w:p>
      <w:pPr>
        <w:spacing w:after="0" w:line="10" w:lineRule="exact"/>
        <w:rPr>
          <w:rFonts w:ascii="Arial" w:cs="Arial" w:eastAsia="Arial" w:hAnsi="Arial"/>
          <w:sz w:val="22"/>
          <w:szCs w:val="22"/>
          <w:color w:val="auto"/>
        </w:rPr>
      </w:pPr>
    </w:p>
    <w:p>
      <w:pPr>
        <w:ind w:left="1300" w:hanging="320"/>
        <w:spacing w:after="0" w:line="221"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any action asserting a claim of breach of fiduciary duty;</w:t>
      </w:r>
    </w:p>
    <w:p>
      <w:pPr>
        <w:spacing w:after="0" w:line="14" w:lineRule="exact"/>
        <w:rPr>
          <w:rFonts w:ascii="Arial" w:cs="Arial" w:eastAsia="Arial" w:hAnsi="Arial"/>
          <w:sz w:val="22"/>
          <w:szCs w:val="22"/>
          <w:color w:val="auto"/>
        </w:rPr>
      </w:pPr>
    </w:p>
    <w:p>
      <w:pPr>
        <w:ind w:left="1300" w:hanging="320"/>
        <w:spacing w:after="0" w:line="218"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1300" w:hanging="320"/>
        <w:spacing w:after="0" w:line="230"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any action asserting a claim against us that is governed by the internal-affairs doctrine.</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and may result in increased costs to stockholders of bringing a claim, each of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 the Company entered into an agreement to acquire Cyclica. The aggregate upfront consideration for the acquisition of Cyclica consisted of 5,706,089 shares of Recursion Class A common stock, cash payments, 1,000,873 shares issuable upon exercise of stock options held by Cyclica equity award holders and deferred liabilities. Approximately 753 thousand of the aforementioned Class A common stock consideration had not yet been issued as of June 30, 2023. A prospectus supplement to a registration statement (File No. 333-264845) was subsequently filed pursuant to Rule 424(b) on June 9, 2023, to register the resale of certain of such shares and the issuance of shares issuable upon exercise of certain such stock options. In addition, a registration statement on Form S-8 (File No. 333-272282) was filed on May 30, 2023 to register the issuance of shares issuable upon exercise of certain of such stock options.</w:t>
      </w:r>
    </w:p>
    <w:p>
      <w:pPr>
        <w:spacing w:after="0" w:line="222"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 xml:space="preserve">Also in </w:t>
      </w:r>
      <w:r>
        <w:rPr>
          <w:rFonts w:ascii="Arial" w:cs="Arial" w:eastAsia="Arial" w:hAnsi="Arial"/>
          <w:sz w:val="17"/>
          <w:szCs w:val="17"/>
          <w:color w:val="1E1E1E"/>
        </w:rPr>
        <w:t>May 2023</w:t>
      </w:r>
      <w:r>
        <w:rPr>
          <w:rFonts w:ascii="Arial" w:cs="Arial" w:eastAsia="Arial" w:hAnsi="Arial"/>
          <w:sz w:val="17"/>
          <w:szCs w:val="17"/>
          <w:color w:val="auto"/>
        </w:rPr>
        <w:t>, the Company entered into an agreement to acquire Valence. The aggregate upfront consideration for the acquisition of Valence consisted of 2,168,020 shares of Recursion Class A common stock, 5,904,827 shares of a subsidiary of Recursion, exchangeable for shares of Recursion’s Class A common stock, 792,011 shares issuable upon the exercise of stock options held by Valence equity award holders and deferred liabilities. A registration statement on Form S-3ASR (File No. 333-272281) was subsequently filed on May 30, 2023, to register the resale of certain of such shares and to register the issuance of shares issuable upon exercise of certain of such stock options</w:t>
      </w:r>
    </w:p>
    <w:p>
      <w:pPr>
        <w:spacing w:after="0" w:line="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and of shares issuable upon exchange of exchangeable shares. In addition, a registration statement on Form S-8 (File No. 333-272027) was filed on May 18, 2023 to register the issuance of shares issuable upon exercise of certain of such stock options.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9"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For the six months ended June 30, 2023, we issued 70,000 shares of our Class A common stock to our employees, directors, advisors and consultants upon the exercise of stock options under our Key Personnel Incentive Stock Plan for aggregate consideration of approximately $20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Effective August 8, 2023, we entered into an Open Market Sales Agreement (the “Sales Agreement”) with Jefferies LLC (the “Sales Agent”), pursuant to which we may, from time to time, sell up to an aggregate amount of $300.0 million of our Class A common stock through our Sales Agent in an “at-the-market” offering (the “ATM Offering”). We are not required to sell shares under the Sales Agreement. We will pay the Sales Agent a commission of up to 3% of the aggregate gross proceeds we receive from all sales of our Class A common stock under the Sales Agreement. The Sales Agreement continues until the earlier of selling all shares available under the Sales Agreement or terminated by written notice from either of the parties. No sales have been made under the Sales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ATM Offering is being made under a prospectus supplement dated August 8, 2023, and related prospectus to be filed with the Securities and Exchange Commission pursuant to our automatically effective shelf registration statement on Form S-3ASR (Registration No. 333-264845).</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 copy of the Sales Agreement is attached as Exhibit 10.6 to this Quarterly Report. The foregoing description of the Sales Agreement does not purport to be complete and is qualified in its entirety by reference to Exhibit 10.6. A copy of the opinion of Wilson Sonsini Goodrich &amp; Rosati, P.C. relating to the validity of the securities issued in the ATM Offering is filed as Exhibit 5.1 to this Quarterly Report.</w:t>
      </w:r>
    </w:p>
    <w:p>
      <w:pPr>
        <w:spacing w:after="0" w:line="21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are also filing a prospectus supplement dated August 8, 2023, and related prospectus with the Securities and Exchange Commission pursuant to our automatically effective shelf registration statement on Form S-3ASR (Registration No. 333-264845) to register for resale the shares of Class A common stock issued to NVIDIA Corporation in July 2023. See Note 14, “Subsequent Events” to the Condensed Consolidated Financial Statements for additional details. A copy of the opinion of Wilson Sonsini Goodrich &amp; Rosati, P.C. relating to the validity of such shares is filed as Exhibit 5.2 to this Quarterly Report.</w:t>
      </w:r>
    </w:p>
    <w:p>
      <w:pPr>
        <w:spacing w:after="0" w:line="219" w:lineRule="exact"/>
        <w:rPr>
          <w:sz w:val="20"/>
          <w:szCs w:val="20"/>
          <w:color w:val="auto"/>
        </w:rPr>
      </w:pPr>
    </w:p>
    <w:p>
      <w:pPr>
        <w:jc w:val="both"/>
        <w:ind w:right="260"/>
        <w:spacing w:after="0" w:line="306" w:lineRule="auto"/>
        <w:rPr>
          <w:sz w:val="20"/>
          <w:szCs w:val="20"/>
          <w:color w:val="auto"/>
        </w:rPr>
      </w:pPr>
      <w:r>
        <w:rPr>
          <w:rFonts w:ascii="Arial" w:cs="Arial" w:eastAsia="Arial" w:hAnsi="Arial"/>
          <w:sz w:val="17"/>
          <w:szCs w:val="17"/>
          <w:color w:val="auto"/>
        </w:rPr>
        <w:t>On June 21, 2023, Zavain Dar, a member of our Board of Directors, adopted a Rule 10b5-1 trading arrangement that is intended to satisfy the affirmative defense of Rule 10b5-1(c) for the sale of up to 20,141 shares of the Company’s Class A common stock until June 21, 2024.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regarding executive compensation is provided supplementally: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2022 Fiscal Year-End Table</w:t>
      </w:r>
    </w:p>
    <w:p>
      <w:pPr>
        <w:spacing w:after="0" w:line="262"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2B292A"/>
        </w:rPr>
        <w:t>The following table sets forth information concerning outstanding equity awards held by our named executive officers (NEOs) as of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0" w:type="dxa"/>
            <w:vAlign w:val="bottom"/>
            <w:gridSpan w:val="2"/>
          </w:tcPr>
          <w:p>
            <w:pPr>
              <w:ind w:left="760"/>
              <w:spacing w:after="0"/>
              <w:rPr>
                <w:sz w:val="20"/>
                <w:szCs w:val="20"/>
                <w:color w:val="auto"/>
              </w:rPr>
            </w:pPr>
            <w:r>
              <w:rPr>
                <w:rFonts w:ascii="Arial" w:cs="Arial" w:eastAsia="Arial" w:hAnsi="Arial"/>
                <w:sz w:val="14"/>
                <w:szCs w:val="14"/>
                <w:color w:val="auto"/>
              </w:rPr>
              <w:t>Option Awards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2"/>
          </w:tcPr>
          <w:p>
            <w:pPr>
              <w:jc w:val="right"/>
              <w:ind w:right="788"/>
              <w:spacing w:after="0"/>
              <w:rPr>
                <w:sz w:val="20"/>
                <w:szCs w:val="20"/>
                <w:color w:val="auto"/>
              </w:rPr>
            </w:pPr>
            <w:r>
              <w:rPr>
                <w:rFonts w:ascii="Arial" w:cs="Arial" w:eastAsia="Arial" w:hAnsi="Arial"/>
                <w:sz w:val="14"/>
                <w:szCs w:val="14"/>
                <w:color w:val="auto"/>
              </w:rPr>
              <w:t>Stock Awards</w:t>
            </w:r>
          </w:p>
        </w:tc>
        <w:tc>
          <w:tcPr>
            <w:tcW w:w="0" w:type="dxa"/>
            <w:vAlign w:val="bottom"/>
          </w:tcPr>
          <w:p>
            <w:pPr>
              <w:spacing w:after="0"/>
              <w:rPr>
                <w:sz w:val="1"/>
                <w:szCs w:val="1"/>
                <w:color w:val="auto"/>
              </w:rPr>
            </w:pPr>
          </w:p>
        </w:tc>
      </w:tr>
      <w:tr>
        <w:trPr>
          <w:trHeight w:val="39"/>
        </w:trPr>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80" w:type="dxa"/>
            <w:vAlign w:val="bottom"/>
            <w:tcBorders>
              <w:bottom w:val="single" w:sz="8" w:color="6D6F71"/>
            </w:tcBorders>
          </w:tcPr>
          <w:p>
            <w:pPr>
              <w:spacing w:after="0"/>
              <w:rPr>
                <w:sz w:val="3"/>
                <w:szCs w:val="3"/>
                <w:color w:val="auto"/>
              </w:rPr>
            </w:pPr>
          </w:p>
        </w:tc>
        <w:tc>
          <w:tcPr>
            <w:tcW w:w="1320" w:type="dxa"/>
            <w:vAlign w:val="bottom"/>
            <w:tcBorders>
              <w:bottom w:val="single" w:sz="8" w:color="6D6F71"/>
            </w:tcBorders>
          </w:tcPr>
          <w:p>
            <w:pPr>
              <w:spacing w:after="0"/>
              <w:rPr>
                <w:sz w:val="3"/>
                <w:szCs w:val="3"/>
                <w:color w:val="auto"/>
              </w:rPr>
            </w:pPr>
          </w:p>
        </w:tc>
        <w:tc>
          <w:tcPr>
            <w:tcW w:w="1080" w:type="dxa"/>
            <w:vAlign w:val="bottom"/>
            <w:tcBorders>
              <w:bottom w:val="single" w:sz="8" w:color="6D6F71"/>
            </w:tcBorders>
          </w:tcPr>
          <w:p>
            <w:pPr>
              <w:spacing w:after="0"/>
              <w:rPr>
                <w:sz w:val="3"/>
                <w:szCs w:val="3"/>
                <w:color w:val="auto"/>
              </w:rPr>
            </w:pPr>
          </w:p>
        </w:tc>
        <w:tc>
          <w:tcPr>
            <w:tcW w:w="1240" w:type="dxa"/>
            <w:vAlign w:val="bottom"/>
            <w:tcBorders>
              <w:bottom w:val="single" w:sz="8" w:color="6D6F71"/>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6D6F71"/>
            </w:tcBorders>
          </w:tcPr>
          <w:p>
            <w:pPr>
              <w:spacing w:after="0"/>
              <w:rPr>
                <w:sz w:val="3"/>
                <w:szCs w:val="3"/>
                <w:color w:val="auto"/>
              </w:rPr>
            </w:pPr>
          </w:p>
        </w:tc>
        <w:tc>
          <w:tcPr>
            <w:tcW w:w="1260" w:type="dxa"/>
            <w:vAlign w:val="bottom"/>
            <w:tcBorders>
              <w:bottom w:val="single" w:sz="8" w:color="6D6F71"/>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Securities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Securities</w:t>
            </w: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Underlying</w:t>
            </w:r>
          </w:p>
        </w:tc>
        <w:tc>
          <w:tcPr>
            <w:tcW w:w="1320" w:type="dxa"/>
            <w:vAlign w:val="bottom"/>
          </w:tcPr>
          <w:p>
            <w:pPr>
              <w:jc w:val="center"/>
              <w:spacing w:after="0"/>
              <w:rPr>
                <w:sz w:val="20"/>
                <w:szCs w:val="20"/>
                <w:color w:val="auto"/>
              </w:rPr>
            </w:pPr>
            <w:r>
              <w:rPr>
                <w:rFonts w:ascii="Arial" w:cs="Arial" w:eastAsia="Arial" w:hAnsi="Arial"/>
                <w:sz w:val="14"/>
                <w:szCs w:val="14"/>
                <w:color w:val="auto"/>
              </w:rPr>
              <w:t>Underlying</w:t>
            </w: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1260" w:type="dxa"/>
            <w:vAlign w:val="bottom"/>
          </w:tcPr>
          <w:p>
            <w:pPr>
              <w:jc w:val="right"/>
              <w:spacing w:after="0"/>
              <w:rPr>
                <w:sz w:val="20"/>
                <w:szCs w:val="20"/>
                <w:color w:val="auto"/>
              </w:rPr>
            </w:pPr>
            <w:r>
              <w:rPr>
                <w:rFonts w:ascii="Arial" w:cs="Arial" w:eastAsia="Arial" w:hAnsi="Arial"/>
                <w:sz w:val="14"/>
                <w:szCs w:val="14"/>
                <w:color w:val="auto"/>
              </w:rPr>
              <w:t>Market Value of</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Unexercised</w:t>
            </w:r>
          </w:p>
        </w:tc>
        <w:tc>
          <w:tcPr>
            <w:tcW w:w="1320" w:type="dxa"/>
            <w:vAlign w:val="bottom"/>
          </w:tcPr>
          <w:p>
            <w:pPr>
              <w:jc w:val="center"/>
              <w:spacing w:after="0"/>
              <w:rPr>
                <w:sz w:val="20"/>
                <w:szCs w:val="20"/>
                <w:color w:val="auto"/>
              </w:rPr>
            </w:pPr>
            <w:r>
              <w:rPr>
                <w:rFonts w:ascii="Arial" w:cs="Arial" w:eastAsia="Arial" w:hAnsi="Arial"/>
                <w:sz w:val="14"/>
                <w:szCs w:val="14"/>
                <w:color w:val="auto"/>
              </w:rPr>
              <w:t>Unexercised</w:t>
            </w:r>
          </w:p>
        </w:tc>
        <w:tc>
          <w:tcPr>
            <w:tcW w:w="1080" w:type="dxa"/>
            <w:vAlign w:val="bottom"/>
          </w:tcPr>
          <w:p>
            <w:pPr>
              <w:jc w:val="center"/>
              <w:spacing w:after="0"/>
              <w:rPr>
                <w:sz w:val="20"/>
                <w:szCs w:val="20"/>
                <w:color w:val="auto"/>
              </w:rPr>
            </w:pPr>
            <w:r>
              <w:rPr>
                <w:rFonts w:ascii="Arial" w:cs="Arial" w:eastAsia="Arial" w:hAnsi="Arial"/>
                <w:sz w:val="14"/>
                <w:szCs w:val="14"/>
                <w:color w:val="auto"/>
              </w:rPr>
              <w:t>Option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or Units of Stock</w:t>
            </w:r>
          </w:p>
        </w:tc>
        <w:tc>
          <w:tcPr>
            <w:tcW w:w="1260" w:type="dxa"/>
            <w:vAlign w:val="bottom"/>
          </w:tcPr>
          <w:p>
            <w:pPr>
              <w:jc w:val="right"/>
              <w:spacing w:after="0"/>
              <w:rPr>
                <w:sz w:val="20"/>
                <w:szCs w:val="20"/>
                <w:color w:val="auto"/>
              </w:rPr>
            </w:pPr>
            <w:r>
              <w:rPr>
                <w:rFonts w:ascii="Arial" w:cs="Arial" w:eastAsia="Arial" w:hAnsi="Arial"/>
                <w:sz w:val="14"/>
                <w:szCs w:val="14"/>
                <w:color w:val="auto"/>
              </w:rPr>
              <w:t>Shares or Units 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320" w:type="dxa"/>
            <w:vAlign w:val="bottom"/>
          </w:tcPr>
          <w:p>
            <w:pPr>
              <w:jc w:val="center"/>
              <w:spacing w:after="0"/>
              <w:rPr>
                <w:sz w:val="20"/>
                <w:szCs w:val="20"/>
                <w:color w:val="auto"/>
              </w:rPr>
            </w:pPr>
            <w:r>
              <w:rPr>
                <w:rFonts w:ascii="Arial" w:cs="Arial" w:eastAsia="Arial" w:hAnsi="Arial"/>
                <w:sz w:val="14"/>
                <w:szCs w:val="14"/>
                <w:color w:val="auto"/>
              </w:rPr>
              <w:t>Options</w:t>
            </w:r>
          </w:p>
        </w:tc>
        <w:tc>
          <w:tcPr>
            <w:tcW w:w="1080" w:type="dxa"/>
            <w:vAlign w:val="bottom"/>
          </w:tcPr>
          <w:p>
            <w:pPr>
              <w:jc w:val="center"/>
              <w:spacing w:after="0"/>
              <w:rPr>
                <w:sz w:val="20"/>
                <w:szCs w:val="20"/>
                <w:color w:val="auto"/>
              </w:rPr>
            </w:pPr>
            <w:r>
              <w:rPr>
                <w:rFonts w:ascii="Arial" w:cs="Arial" w:eastAsia="Arial" w:hAnsi="Arial"/>
                <w:sz w:val="14"/>
                <w:szCs w:val="14"/>
                <w:color w:val="auto"/>
              </w:rPr>
              <w:t>Exercise</w:t>
            </w:r>
          </w:p>
        </w:tc>
        <w:tc>
          <w:tcPr>
            <w:tcW w:w="1240" w:type="dxa"/>
            <w:vAlign w:val="bottom"/>
          </w:tcPr>
          <w:p>
            <w:pPr>
              <w:jc w:val="center"/>
              <w:spacing w:after="0"/>
              <w:rPr>
                <w:sz w:val="20"/>
                <w:szCs w:val="20"/>
                <w:color w:val="auto"/>
              </w:rPr>
            </w:pPr>
            <w:r>
              <w:rPr>
                <w:rFonts w:ascii="Arial" w:cs="Arial" w:eastAsia="Arial" w:hAnsi="Arial"/>
                <w:sz w:val="14"/>
                <w:szCs w:val="14"/>
                <w:color w:val="auto"/>
              </w:rPr>
              <w:t>Option</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that Have Not</w:t>
            </w:r>
          </w:p>
        </w:tc>
        <w:tc>
          <w:tcPr>
            <w:tcW w:w="1260" w:type="dxa"/>
            <w:vAlign w:val="bottom"/>
          </w:tcPr>
          <w:p>
            <w:pPr>
              <w:jc w:val="right"/>
              <w:spacing w:after="0"/>
              <w:rPr>
                <w:sz w:val="20"/>
                <w:szCs w:val="20"/>
                <w:color w:val="auto"/>
              </w:rPr>
            </w:pPr>
            <w:r>
              <w:rPr>
                <w:rFonts w:ascii="Arial" w:cs="Arial" w:eastAsia="Arial" w:hAnsi="Arial"/>
                <w:sz w:val="14"/>
                <w:szCs w:val="14"/>
                <w:color w:val="auto"/>
              </w:rPr>
              <w:t>Stock that Have</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40" w:type="dxa"/>
            <w:vAlign w:val="bottom"/>
          </w:tcPr>
          <w:p>
            <w:pPr>
              <w:jc w:val="center"/>
              <w:spacing w:after="0" w:line="155" w:lineRule="exact"/>
              <w:rPr>
                <w:sz w:val="20"/>
                <w:szCs w:val="20"/>
                <w:color w:val="auto"/>
              </w:rPr>
            </w:pPr>
            <w:r>
              <w:rPr>
                <w:rFonts w:ascii="Arial" w:cs="Arial" w:eastAsia="Arial" w:hAnsi="Arial"/>
                <w:sz w:val="14"/>
                <w:szCs w:val="14"/>
                <w:color w:val="auto"/>
              </w:rPr>
              <w:t>Vesting</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rPr>
              <w:t>Exercisable</w:t>
            </w:r>
          </w:p>
        </w:tc>
        <w:tc>
          <w:tcPr>
            <w:tcW w:w="1320" w:type="dxa"/>
            <w:vAlign w:val="bottom"/>
          </w:tcPr>
          <w:p>
            <w:pPr>
              <w:jc w:val="center"/>
              <w:spacing w:after="0" w:line="155" w:lineRule="exact"/>
              <w:rPr>
                <w:sz w:val="20"/>
                <w:szCs w:val="20"/>
                <w:color w:val="auto"/>
              </w:rPr>
            </w:pPr>
            <w:r>
              <w:rPr>
                <w:rFonts w:ascii="Arial" w:cs="Arial" w:eastAsia="Arial" w:hAnsi="Arial"/>
                <w:sz w:val="14"/>
                <w:szCs w:val="14"/>
                <w:color w:val="auto"/>
              </w:rPr>
              <w:t>Unexercisable</w:t>
            </w:r>
          </w:p>
        </w:tc>
        <w:tc>
          <w:tcPr>
            <w:tcW w:w="1080" w:type="dxa"/>
            <w:vAlign w:val="bottom"/>
          </w:tcPr>
          <w:p>
            <w:pPr>
              <w:jc w:val="center"/>
              <w:spacing w:after="0" w:line="155" w:lineRule="exact"/>
              <w:rPr>
                <w:sz w:val="20"/>
                <w:szCs w:val="20"/>
                <w:color w:val="auto"/>
              </w:rPr>
            </w:pPr>
            <w:r>
              <w:rPr>
                <w:rFonts w:ascii="Arial" w:cs="Arial" w:eastAsia="Arial" w:hAnsi="Arial"/>
                <w:sz w:val="14"/>
                <w:szCs w:val="14"/>
                <w:color w:val="auto"/>
              </w:rPr>
              <w:t>Price</w:t>
            </w:r>
          </w:p>
        </w:tc>
        <w:tc>
          <w:tcPr>
            <w:tcW w:w="1240" w:type="dxa"/>
            <w:vAlign w:val="bottom"/>
          </w:tcPr>
          <w:p>
            <w:pPr>
              <w:jc w:val="center"/>
              <w:spacing w:after="0" w:line="155" w:lineRule="exact"/>
              <w:rPr>
                <w:sz w:val="20"/>
                <w:szCs w:val="20"/>
                <w:color w:val="auto"/>
              </w:rPr>
            </w:pPr>
            <w:r>
              <w:rPr>
                <w:rFonts w:ascii="Arial" w:cs="Arial" w:eastAsia="Arial" w:hAnsi="Arial"/>
                <w:sz w:val="14"/>
                <w:szCs w:val="14"/>
                <w:color w:val="auto"/>
              </w:rPr>
              <w:t>Expiration</w:t>
            </w:r>
          </w:p>
        </w:tc>
        <w:tc>
          <w:tcPr>
            <w:tcW w:w="100" w:type="dxa"/>
            <w:vAlign w:val="bottom"/>
          </w:tcPr>
          <w:p>
            <w:pPr>
              <w:spacing w:after="0"/>
              <w:rPr>
                <w:sz w:val="13"/>
                <w:szCs w:val="13"/>
                <w:color w:val="auto"/>
              </w:rPr>
            </w:pPr>
          </w:p>
        </w:tc>
        <w:tc>
          <w:tcPr>
            <w:tcW w:w="1300" w:type="dxa"/>
            <w:vAlign w:val="bottom"/>
          </w:tcPr>
          <w:p>
            <w:pPr>
              <w:jc w:val="center"/>
              <w:spacing w:after="0" w:line="155" w:lineRule="exact"/>
              <w:rPr>
                <w:sz w:val="20"/>
                <w:szCs w:val="20"/>
                <w:color w:val="auto"/>
              </w:rPr>
            </w:pPr>
            <w:r>
              <w:rPr>
                <w:rFonts w:ascii="Arial" w:cs="Arial" w:eastAsia="Arial" w:hAnsi="Arial"/>
                <w:sz w:val="14"/>
                <w:szCs w:val="14"/>
                <w:color w:val="auto"/>
              </w:rPr>
              <w:t>Vested</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Not Vested</w:t>
            </w:r>
          </w:p>
        </w:tc>
        <w:tc>
          <w:tcPr>
            <w:tcW w:w="0" w:type="dxa"/>
            <w:vAlign w:val="bottom"/>
          </w:tcPr>
          <w:p>
            <w:pPr>
              <w:spacing w:after="0"/>
              <w:rPr>
                <w:sz w:val="1"/>
                <w:szCs w:val="1"/>
                <w:color w:val="auto"/>
              </w:rPr>
            </w:pPr>
          </w:p>
        </w:tc>
      </w:tr>
      <w:tr>
        <w:trPr>
          <w:trHeight w:val="262"/>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Grant Date</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Commencement 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4"/>
                <w:szCs w:val="14"/>
                <w:color w:val="auto"/>
              </w:rPr>
              <w:t>($)</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349"/>
        </w:trPr>
        <w:tc>
          <w:tcPr>
            <w:tcW w:w="1160" w:type="dxa"/>
            <w:vAlign w:val="bottom"/>
          </w:tcPr>
          <w:p>
            <w:pPr>
              <w:spacing w:after="0"/>
              <w:rPr>
                <w:sz w:val="24"/>
                <w:szCs w:val="24"/>
                <w:color w:val="auto"/>
              </w:rPr>
            </w:pPr>
          </w:p>
        </w:tc>
        <w:tc>
          <w:tcPr>
            <w:tcW w:w="1060" w:type="dxa"/>
            <w:vAlign w:val="bottom"/>
            <w:tcBorders>
              <w:bottom w:val="single" w:sz="8" w:color="CCEEFF"/>
            </w:tcBorders>
            <w:shd w:val="clear" w:color="auto" w:fill="CCEEFF"/>
          </w:tcPr>
          <w:p>
            <w:pPr>
              <w:jc w:val="center"/>
              <w:ind w:left="9"/>
              <w:spacing w:after="0"/>
              <w:rPr>
                <w:sz w:val="20"/>
                <w:szCs w:val="20"/>
                <w:color w:val="auto"/>
              </w:rPr>
            </w:pPr>
            <w:r>
              <w:rPr>
                <w:rFonts w:ascii="Arial" w:cs="Arial" w:eastAsia="Arial" w:hAnsi="Arial"/>
                <w:sz w:val="13"/>
                <w:szCs w:val="13"/>
                <w:color w:val="auto"/>
                <w:w w:val="98"/>
              </w:rPr>
              <w:t>12/31/2020</w:t>
            </w:r>
            <w:r>
              <w:rPr>
                <w:rFonts w:ascii="Arial" w:cs="Arial" w:eastAsia="Arial" w:hAnsi="Arial"/>
                <w:sz w:val="17"/>
                <w:szCs w:val="17"/>
                <w:color w:val="auto"/>
                <w:w w:val="98"/>
                <w:vertAlign w:val="superscript"/>
              </w:rPr>
              <w:t>(2)</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12/31/2020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31,250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750,000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2.48</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12/31/2030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1"/>
        </w:trPr>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Christopher</w:t>
            </w:r>
          </w:p>
        </w:tc>
        <w:tc>
          <w:tcPr>
            <w:tcW w:w="1060" w:type="dxa"/>
            <w:vAlign w:val="bottom"/>
            <w:tcBorders>
              <w:top w:val="single" w:sz="8" w:color="6D6F71"/>
            </w:tcBorders>
          </w:tcPr>
          <w:p>
            <w:pPr>
              <w:jc w:val="center"/>
              <w:ind w:left="9"/>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(3)</w:t>
            </w:r>
          </w:p>
        </w:tc>
        <w:tc>
          <w:tcPr>
            <w:tcW w:w="154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2/4/2022</w:t>
            </w:r>
          </w:p>
        </w:tc>
        <w:tc>
          <w:tcPr>
            <w:tcW w:w="118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86,737</w:t>
            </w:r>
          </w:p>
        </w:tc>
        <w:tc>
          <w:tcPr>
            <w:tcW w:w="132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329,613</w:t>
            </w:r>
          </w:p>
        </w:tc>
        <w:tc>
          <w:tcPr>
            <w:tcW w:w="108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11.40</w:t>
            </w:r>
          </w:p>
        </w:tc>
        <w:tc>
          <w:tcPr>
            <w:tcW w:w="124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2/4/2032</w:t>
            </w:r>
          </w:p>
        </w:tc>
        <w:tc>
          <w:tcPr>
            <w:tcW w:w="100" w:type="dxa"/>
            <w:vAlign w:val="bottom"/>
            <w:tcBorders>
              <w:top w:val="single" w:sz="8" w:color="6D6F71"/>
            </w:tcBorders>
          </w:tcPr>
          <w:p>
            <w:pPr>
              <w:spacing w:after="0"/>
              <w:rPr>
                <w:sz w:val="24"/>
                <w:szCs w:val="24"/>
                <w:color w:val="auto"/>
              </w:rPr>
            </w:pPr>
          </w:p>
        </w:tc>
        <w:tc>
          <w:tcPr>
            <w:tcW w:w="130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
        </w:trPr>
        <w:tc>
          <w:tcPr>
            <w:tcW w:w="1160" w:type="dxa"/>
            <w:vAlign w:val="bottom"/>
            <w:vMerge w:val="continue"/>
          </w:tcPr>
          <w:p>
            <w:pPr>
              <w:spacing w:after="0"/>
              <w:rPr>
                <w:sz w:val="3"/>
                <w:szCs w:val="3"/>
                <w:color w:val="auto"/>
              </w:rPr>
            </w:pPr>
          </w:p>
        </w:tc>
        <w:tc>
          <w:tcPr>
            <w:tcW w:w="1060" w:type="dxa"/>
            <w:vAlign w:val="bottom"/>
            <w:tcBorders>
              <w:bottom w:val="single" w:sz="8" w:color="6D6F71"/>
            </w:tcBorders>
          </w:tcPr>
          <w:p>
            <w:pPr>
              <w:spacing w:after="0"/>
              <w:rPr>
                <w:sz w:val="3"/>
                <w:szCs w:val="3"/>
                <w:color w:val="auto"/>
              </w:rPr>
            </w:pPr>
          </w:p>
        </w:tc>
        <w:tc>
          <w:tcPr>
            <w:tcW w:w="1540" w:type="dxa"/>
            <w:vAlign w:val="bottom"/>
            <w:tcBorders>
              <w:bottom w:val="single" w:sz="8" w:color="6D6F71"/>
            </w:tcBorders>
          </w:tcPr>
          <w:p>
            <w:pPr>
              <w:spacing w:after="0"/>
              <w:rPr>
                <w:sz w:val="3"/>
                <w:szCs w:val="3"/>
                <w:color w:val="auto"/>
              </w:rPr>
            </w:pPr>
          </w:p>
        </w:tc>
        <w:tc>
          <w:tcPr>
            <w:tcW w:w="1180" w:type="dxa"/>
            <w:vAlign w:val="bottom"/>
            <w:tcBorders>
              <w:bottom w:val="single" w:sz="8" w:color="6D6F71"/>
            </w:tcBorders>
          </w:tcPr>
          <w:p>
            <w:pPr>
              <w:spacing w:after="0"/>
              <w:rPr>
                <w:sz w:val="3"/>
                <w:szCs w:val="3"/>
                <w:color w:val="auto"/>
              </w:rPr>
            </w:pPr>
          </w:p>
        </w:tc>
        <w:tc>
          <w:tcPr>
            <w:tcW w:w="1320" w:type="dxa"/>
            <w:vAlign w:val="bottom"/>
            <w:tcBorders>
              <w:bottom w:val="single" w:sz="8" w:color="6D6F71"/>
            </w:tcBorders>
          </w:tcPr>
          <w:p>
            <w:pPr>
              <w:spacing w:after="0"/>
              <w:rPr>
                <w:sz w:val="3"/>
                <w:szCs w:val="3"/>
                <w:color w:val="auto"/>
              </w:rPr>
            </w:pPr>
          </w:p>
        </w:tc>
        <w:tc>
          <w:tcPr>
            <w:tcW w:w="1080" w:type="dxa"/>
            <w:vAlign w:val="bottom"/>
            <w:tcBorders>
              <w:bottom w:val="single" w:sz="8" w:color="6D6F71"/>
            </w:tcBorders>
          </w:tcPr>
          <w:p>
            <w:pPr>
              <w:spacing w:after="0"/>
              <w:rPr>
                <w:sz w:val="3"/>
                <w:szCs w:val="3"/>
                <w:color w:val="auto"/>
              </w:rPr>
            </w:pPr>
          </w:p>
        </w:tc>
        <w:tc>
          <w:tcPr>
            <w:tcW w:w="1240" w:type="dxa"/>
            <w:vAlign w:val="bottom"/>
            <w:tcBorders>
              <w:bottom w:val="single" w:sz="8" w:color="6D6F71"/>
            </w:tcBorders>
          </w:tcPr>
          <w:p>
            <w:pPr>
              <w:spacing w:after="0"/>
              <w:rPr>
                <w:sz w:val="3"/>
                <w:szCs w:val="3"/>
                <w:color w:val="auto"/>
              </w:rPr>
            </w:pPr>
          </w:p>
        </w:tc>
        <w:tc>
          <w:tcPr>
            <w:tcW w:w="100" w:type="dxa"/>
            <w:vAlign w:val="bottom"/>
            <w:tcBorders>
              <w:bottom w:val="single" w:sz="8" w:color="6D6F71"/>
            </w:tcBorders>
          </w:tcPr>
          <w:p>
            <w:pPr>
              <w:spacing w:after="0"/>
              <w:rPr>
                <w:sz w:val="3"/>
                <w:szCs w:val="3"/>
                <w:color w:val="auto"/>
              </w:rPr>
            </w:pPr>
          </w:p>
        </w:tc>
        <w:tc>
          <w:tcPr>
            <w:tcW w:w="1300" w:type="dxa"/>
            <w:vAlign w:val="bottom"/>
            <w:tcBorders>
              <w:bottom w:val="single" w:sz="8" w:color="6D6F71"/>
            </w:tcBorders>
          </w:tcPr>
          <w:p>
            <w:pPr>
              <w:spacing w:after="0"/>
              <w:rPr>
                <w:sz w:val="3"/>
                <w:szCs w:val="3"/>
                <w:color w:val="auto"/>
              </w:rPr>
            </w:pPr>
          </w:p>
        </w:tc>
        <w:tc>
          <w:tcPr>
            <w:tcW w:w="1260" w:type="dxa"/>
            <w:vAlign w:val="bottom"/>
            <w:tcBorders>
              <w:bottom w:val="single" w:sz="8" w:color="6D6F71"/>
            </w:tcBorders>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1160" w:type="dxa"/>
            <w:vAlign w:val="bottom"/>
          </w:tcPr>
          <w:p>
            <w:pPr>
              <w:ind w:left="20"/>
              <w:spacing w:after="0"/>
              <w:rPr>
                <w:sz w:val="20"/>
                <w:szCs w:val="20"/>
                <w:color w:val="auto"/>
              </w:rPr>
            </w:pPr>
            <w:r>
              <w:rPr>
                <w:rFonts w:ascii="Arial" w:cs="Arial" w:eastAsia="Arial" w:hAnsi="Arial"/>
                <w:sz w:val="14"/>
                <w:szCs w:val="14"/>
                <w:color w:val="auto"/>
              </w:rPr>
              <w:t>Gibson</w:t>
            </w:r>
          </w:p>
        </w:tc>
        <w:tc>
          <w:tcPr>
            <w:tcW w:w="1060" w:type="dxa"/>
            <w:vAlign w:val="bottom"/>
            <w:tcBorders>
              <w:bottom w:val="single" w:sz="8" w:color="6D6F71"/>
            </w:tcBorders>
            <w:shd w:val="clear" w:color="auto" w:fill="CCEEFF"/>
          </w:tcPr>
          <w:p>
            <w:pPr>
              <w:jc w:val="center"/>
              <w:ind w:left="9"/>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(4)</w:t>
            </w:r>
          </w:p>
        </w:tc>
        <w:tc>
          <w:tcPr>
            <w:tcW w:w="15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2/4/2022</w:t>
            </w:r>
          </w:p>
        </w:tc>
        <w:tc>
          <w:tcPr>
            <w:tcW w:w="11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5,436</w:t>
            </w:r>
          </w:p>
        </w:tc>
        <w:tc>
          <w:tcPr>
            <w:tcW w:w="132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11.40</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2/4/2032</w:t>
            </w:r>
          </w:p>
        </w:tc>
        <w:tc>
          <w:tcPr>
            <w:tcW w:w="100" w:type="dxa"/>
            <w:vAlign w:val="bottom"/>
            <w:tcBorders>
              <w:bottom w:val="single" w:sz="8" w:color="6D6F71"/>
            </w:tcBorders>
            <w:shd w:val="clear" w:color="auto" w:fill="CCEEFF"/>
          </w:tcPr>
          <w:p>
            <w:pPr>
              <w:spacing w:after="0"/>
              <w:rPr>
                <w:sz w:val="24"/>
                <w:szCs w:val="24"/>
                <w:color w:val="auto"/>
              </w:rPr>
            </w:pPr>
          </w:p>
        </w:tc>
        <w:tc>
          <w:tcPr>
            <w:tcW w:w="130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6D6F71"/>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(5)</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2/4/2022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169,143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1,304,093</w:t>
            </w: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4"/>
                <w:szCs w:val="24"/>
                <w:color w:val="auto"/>
              </w:rPr>
            </w:pPr>
          </w:p>
        </w:tc>
        <w:tc>
          <w:tcPr>
            <w:tcW w:w="1060" w:type="dxa"/>
            <w:vAlign w:val="bottom"/>
            <w:tcBorders>
              <w:bottom w:val="single" w:sz="8" w:color="6D6F71"/>
            </w:tcBorders>
            <w:shd w:val="clear" w:color="auto" w:fill="CCEEFF"/>
          </w:tcPr>
          <w:p>
            <w:pPr>
              <w:jc w:val="center"/>
              <w:ind w:left="9"/>
              <w:spacing w:after="0"/>
              <w:rPr>
                <w:sz w:val="20"/>
                <w:szCs w:val="20"/>
                <w:color w:val="auto"/>
              </w:rPr>
            </w:pPr>
            <w:r>
              <w:rPr>
                <w:rFonts w:ascii="Arial" w:cs="Arial" w:eastAsia="Arial" w:hAnsi="Arial"/>
                <w:sz w:val="14"/>
                <w:szCs w:val="14"/>
                <w:color w:val="auto"/>
                <w:w w:val="96"/>
              </w:rPr>
              <w:t>7/23/2018</w:t>
            </w:r>
            <w:r>
              <w:rPr>
                <w:rFonts w:ascii="Arial" w:cs="Arial" w:eastAsia="Arial" w:hAnsi="Arial"/>
                <w:sz w:val="23"/>
                <w:szCs w:val="23"/>
                <w:color w:val="auto"/>
                <w:w w:val="96"/>
                <w:vertAlign w:val="superscript"/>
              </w:rPr>
              <w:t>(6)</w:t>
            </w:r>
          </w:p>
        </w:tc>
        <w:tc>
          <w:tcPr>
            <w:tcW w:w="15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7/23/2018</w:t>
            </w:r>
          </w:p>
        </w:tc>
        <w:tc>
          <w:tcPr>
            <w:tcW w:w="11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562,000</w:t>
            </w:r>
          </w:p>
        </w:tc>
        <w:tc>
          <w:tcPr>
            <w:tcW w:w="132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1.06</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7/23/2028</w:t>
            </w:r>
          </w:p>
        </w:tc>
        <w:tc>
          <w:tcPr>
            <w:tcW w:w="100" w:type="dxa"/>
            <w:vAlign w:val="bottom"/>
            <w:tcBorders>
              <w:bottom w:val="single" w:sz="8" w:color="6D6F71"/>
            </w:tcBorders>
            <w:shd w:val="clear" w:color="auto" w:fill="CCEEFF"/>
          </w:tcPr>
          <w:p>
            <w:pPr>
              <w:spacing w:after="0"/>
              <w:rPr>
                <w:sz w:val="24"/>
                <w:szCs w:val="24"/>
                <w:color w:val="auto"/>
              </w:rPr>
            </w:pPr>
          </w:p>
        </w:tc>
        <w:tc>
          <w:tcPr>
            <w:tcW w:w="130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6D6F71"/>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4"/>
        </w:trPr>
        <w:tc>
          <w:tcPr>
            <w:tcW w:w="1160" w:type="dxa"/>
            <w:vAlign w:val="bottom"/>
          </w:tcPr>
          <w:p>
            <w:pPr>
              <w:spacing w:after="0"/>
              <w:rPr>
                <w:sz w:val="24"/>
                <w:szCs w:val="24"/>
                <w:color w:val="auto"/>
              </w:rPr>
            </w:pPr>
          </w:p>
        </w:tc>
        <w:tc>
          <w:tcPr>
            <w:tcW w:w="1060" w:type="dxa"/>
            <w:vAlign w:val="bottom"/>
          </w:tcPr>
          <w:p>
            <w:pPr>
              <w:jc w:val="center"/>
              <w:ind w:left="9"/>
              <w:spacing w:after="0"/>
              <w:rPr>
                <w:sz w:val="20"/>
                <w:szCs w:val="20"/>
                <w:color w:val="auto"/>
              </w:rPr>
            </w:pPr>
            <w:r>
              <w:rPr>
                <w:rFonts w:ascii="Arial" w:cs="Arial" w:eastAsia="Arial" w:hAnsi="Arial"/>
                <w:sz w:val="13"/>
                <w:szCs w:val="13"/>
                <w:color w:val="auto"/>
                <w:w w:val="98"/>
              </w:rPr>
              <w:t>12/31/2020</w:t>
            </w:r>
            <w:r>
              <w:rPr>
                <w:rFonts w:ascii="Arial" w:cs="Arial" w:eastAsia="Arial" w:hAnsi="Arial"/>
                <w:sz w:val="17"/>
                <w:szCs w:val="17"/>
                <w:color w:val="auto"/>
                <w:w w:val="98"/>
                <w:vertAlign w:val="superscript"/>
              </w:rPr>
              <w:t>(3)</w:t>
            </w:r>
          </w:p>
        </w:tc>
        <w:tc>
          <w:tcPr>
            <w:tcW w:w="1540" w:type="dxa"/>
            <w:vAlign w:val="bottom"/>
          </w:tcPr>
          <w:p>
            <w:pPr>
              <w:jc w:val="center"/>
              <w:spacing w:after="0"/>
              <w:rPr>
                <w:sz w:val="20"/>
                <w:szCs w:val="20"/>
                <w:color w:val="auto"/>
              </w:rPr>
            </w:pPr>
            <w:r>
              <w:rPr>
                <w:rFonts w:ascii="Arial" w:cs="Arial" w:eastAsia="Arial" w:hAnsi="Arial"/>
                <w:sz w:val="14"/>
                <w:szCs w:val="14"/>
                <w:color w:val="auto"/>
              </w:rPr>
              <w:t>12/31/2020</w:t>
            </w:r>
          </w:p>
        </w:tc>
        <w:tc>
          <w:tcPr>
            <w:tcW w:w="1180" w:type="dxa"/>
            <w:vAlign w:val="bottom"/>
          </w:tcPr>
          <w:p>
            <w:pPr>
              <w:jc w:val="center"/>
              <w:spacing w:after="0"/>
              <w:rPr>
                <w:sz w:val="20"/>
                <w:szCs w:val="20"/>
                <w:color w:val="auto"/>
              </w:rPr>
            </w:pPr>
            <w:r>
              <w:rPr>
                <w:rFonts w:ascii="Arial" w:cs="Arial" w:eastAsia="Arial" w:hAnsi="Arial"/>
                <w:sz w:val="14"/>
                <w:szCs w:val="14"/>
                <w:color w:val="auto"/>
              </w:rPr>
              <w:t>75,000</w:t>
            </w:r>
          </w:p>
        </w:tc>
        <w:tc>
          <w:tcPr>
            <w:tcW w:w="1320" w:type="dxa"/>
            <w:vAlign w:val="bottom"/>
          </w:tcPr>
          <w:p>
            <w:pPr>
              <w:jc w:val="center"/>
              <w:spacing w:after="0"/>
              <w:rPr>
                <w:sz w:val="20"/>
                <w:szCs w:val="20"/>
                <w:color w:val="auto"/>
              </w:rPr>
            </w:pPr>
            <w:r>
              <w:rPr>
                <w:rFonts w:ascii="Arial" w:cs="Arial" w:eastAsia="Arial" w:hAnsi="Arial"/>
                <w:sz w:val="14"/>
                <w:szCs w:val="14"/>
                <w:color w:val="auto"/>
              </w:rPr>
              <w:t>75,000</w:t>
            </w:r>
          </w:p>
        </w:tc>
        <w:tc>
          <w:tcPr>
            <w:tcW w:w="1080" w:type="dxa"/>
            <w:vAlign w:val="bottom"/>
          </w:tcPr>
          <w:p>
            <w:pPr>
              <w:jc w:val="center"/>
              <w:spacing w:after="0"/>
              <w:rPr>
                <w:sz w:val="20"/>
                <w:szCs w:val="20"/>
                <w:color w:val="auto"/>
              </w:rPr>
            </w:pPr>
            <w:r>
              <w:rPr>
                <w:rFonts w:ascii="Arial" w:cs="Arial" w:eastAsia="Arial" w:hAnsi="Arial"/>
                <w:sz w:val="14"/>
                <w:szCs w:val="14"/>
                <w:color w:val="auto"/>
              </w:rPr>
              <w:t>2.48</w:t>
            </w:r>
          </w:p>
        </w:tc>
        <w:tc>
          <w:tcPr>
            <w:tcW w:w="1240" w:type="dxa"/>
            <w:vAlign w:val="bottom"/>
          </w:tcPr>
          <w:p>
            <w:pPr>
              <w:jc w:val="center"/>
              <w:spacing w:after="0"/>
              <w:rPr>
                <w:sz w:val="20"/>
                <w:szCs w:val="20"/>
                <w:color w:val="auto"/>
              </w:rPr>
            </w:pPr>
            <w:r>
              <w:rPr>
                <w:rFonts w:ascii="Arial" w:cs="Arial" w:eastAsia="Arial" w:hAnsi="Arial"/>
                <w:sz w:val="14"/>
                <w:szCs w:val="14"/>
                <w:color w:val="auto"/>
              </w:rPr>
              <w:t>12/31/2030</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
        </w:trPr>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Tina Marriott</w:t>
            </w:r>
          </w:p>
        </w:tc>
        <w:tc>
          <w:tcPr>
            <w:tcW w:w="1060" w:type="dxa"/>
            <w:vAlign w:val="bottom"/>
            <w:tcBorders>
              <w:bottom w:val="single" w:sz="8" w:color="6D6F71"/>
            </w:tcBorders>
          </w:tcPr>
          <w:p>
            <w:pPr>
              <w:spacing w:after="0"/>
              <w:rPr>
                <w:sz w:val="2"/>
                <w:szCs w:val="2"/>
                <w:color w:val="auto"/>
              </w:rPr>
            </w:pPr>
          </w:p>
        </w:tc>
        <w:tc>
          <w:tcPr>
            <w:tcW w:w="1540" w:type="dxa"/>
            <w:vAlign w:val="bottom"/>
            <w:tcBorders>
              <w:bottom w:val="single" w:sz="8" w:color="6D6F71"/>
            </w:tcBorders>
          </w:tcPr>
          <w:p>
            <w:pPr>
              <w:spacing w:after="0"/>
              <w:rPr>
                <w:sz w:val="2"/>
                <w:szCs w:val="2"/>
                <w:color w:val="auto"/>
              </w:rPr>
            </w:pPr>
          </w:p>
        </w:tc>
        <w:tc>
          <w:tcPr>
            <w:tcW w:w="1180" w:type="dxa"/>
            <w:vAlign w:val="bottom"/>
            <w:tcBorders>
              <w:bottom w:val="single" w:sz="8" w:color="6D6F71"/>
            </w:tcBorders>
          </w:tcPr>
          <w:p>
            <w:pPr>
              <w:spacing w:after="0"/>
              <w:rPr>
                <w:sz w:val="2"/>
                <w:szCs w:val="2"/>
                <w:color w:val="auto"/>
              </w:rPr>
            </w:pPr>
          </w:p>
        </w:tc>
        <w:tc>
          <w:tcPr>
            <w:tcW w:w="1320" w:type="dxa"/>
            <w:vAlign w:val="bottom"/>
            <w:tcBorders>
              <w:bottom w:val="single" w:sz="8" w:color="6D6F71"/>
            </w:tcBorders>
          </w:tcPr>
          <w:p>
            <w:pPr>
              <w:spacing w:after="0"/>
              <w:rPr>
                <w:sz w:val="2"/>
                <w:szCs w:val="2"/>
                <w:color w:val="auto"/>
              </w:rPr>
            </w:pPr>
          </w:p>
        </w:tc>
        <w:tc>
          <w:tcPr>
            <w:tcW w:w="1080" w:type="dxa"/>
            <w:vAlign w:val="bottom"/>
            <w:tcBorders>
              <w:bottom w:val="single" w:sz="8" w:color="6D6F71"/>
            </w:tcBorders>
          </w:tcPr>
          <w:p>
            <w:pPr>
              <w:spacing w:after="0"/>
              <w:rPr>
                <w:sz w:val="2"/>
                <w:szCs w:val="2"/>
                <w:color w:val="auto"/>
              </w:rPr>
            </w:pPr>
          </w:p>
        </w:tc>
        <w:tc>
          <w:tcPr>
            <w:tcW w:w="1240" w:type="dxa"/>
            <w:vAlign w:val="bottom"/>
            <w:tcBorders>
              <w:bottom w:val="single" w:sz="8" w:color="6D6F71"/>
            </w:tcBorders>
          </w:tcPr>
          <w:p>
            <w:pPr>
              <w:spacing w:after="0"/>
              <w:rPr>
                <w:sz w:val="2"/>
                <w:szCs w:val="2"/>
                <w:color w:val="auto"/>
              </w:rPr>
            </w:pPr>
          </w:p>
        </w:tc>
        <w:tc>
          <w:tcPr>
            <w:tcW w:w="100" w:type="dxa"/>
            <w:vAlign w:val="bottom"/>
            <w:tcBorders>
              <w:bottom w:val="single" w:sz="8" w:color="6D6F71"/>
            </w:tcBorders>
          </w:tcPr>
          <w:p>
            <w:pPr>
              <w:spacing w:after="0"/>
              <w:rPr>
                <w:sz w:val="2"/>
                <w:szCs w:val="2"/>
                <w:color w:val="auto"/>
              </w:rPr>
            </w:pPr>
          </w:p>
        </w:tc>
        <w:tc>
          <w:tcPr>
            <w:tcW w:w="1300" w:type="dxa"/>
            <w:vAlign w:val="bottom"/>
            <w:tcBorders>
              <w:bottom w:val="single" w:sz="8" w:color="6D6F71"/>
            </w:tcBorders>
          </w:tcPr>
          <w:p>
            <w:pPr>
              <w:spacing w:after="0"/>
              <w:rPr>
                <w:sz w:val="2"/>
                <w:szCs w:val="2"/>
                <w:color w:val="auto"/>
              </w:rPr>
            </w:pPr>
          </w:p>
        </w:tc>
        <w:tc>
          <w:tcPr>
            <w:tcW w:w="1260" w:type="dxa"/>
            <w:vAlign w:val="bottom"/>
            <w:tcBorders>
              <w:bottom w:val="single" w:sz="8" w:color="6D6F71"/>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60" w:type="dxa"/>
            <w:vAlign w:val="bottom"/>
            <w:shd w:val="clear" w:color="auto" w:fill="CCEEFF"/>
          </w:tcPr>
          <w:p>
            <w:pPr>
              <w:jc w:val="center"/>
              <w:ind w:left="9"/>
              <w:spacing w:after="0" w:line="210" w:lineRule="exact"/>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(3)</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2/4/2022</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33,170</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126,056</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11.40</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2/4/2032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4"/>
                <w:szCs w:val="14"/>
                <w:color w:val="auto"/>
              </w:rPr>
              <w:t>Larson</w:t>
            </w:r>
          </w:p>
        </w:tc>
        <w:tc>
          <w:tcPr>
            <w:tcW w:w="1060" w:type="dxa"/>
            <w:vAlign w:val="bottom"/>
            <w:tcBorders>
              <w:bottom w:val="single" w:sz="8" w:color="6D6F71"/>
            </w:tcBorders>
            <w:shd w:val="clear" w:color="auto" w:fill="CCEEFF"/>
          </w:tcPr>
          <w:p>
            <w:pPr>
              <w:spacing w:after="0"/>
              <w:rPr>
                <w:sz w:val="10"/>
                <w:szCs w:val="10"/>
                <w:color w:val="auto"/>
              </w:rPr>
            </w:pPr>
          </w:p>
        </w:tc>
        <w:tc>
          <w:tcPr>
            <w:tcW w:w="1540" w:type="dxa"/>
            <w:vAlign w:val="bottom"/>
            <w:tcBorders>
              <w:bottom w:val="single" w:sz="8" w:color="6D6F71"/>
            </w:tcBorders>
            <w:shd w:val="clear" w:color="auto" w:fill="CCEEFF"/>
          </w:tcPr>
          <w:p>
            <w:pPr>
              <w:spacing w:after="0"/>
              <w:rPr>
                <w:sz w:val="10"/>
                <w:szCs w:val="10"/>
                <w:color w:val="auto"/>
              </w:rPr>
            </w:pPr>
          </w:p>
        </w:tc>
        <w:tc>
          <w:tcPr>
            <w:tcW w:w="1180" w:type="dxa"/>
            <w:vAlign w:val="bottom"/>
            <w:tcBorders>
              <w:bottom w:val="single" w:sz="8" w:color="6D6F71"/>
            </w:tcBorders>
            <w:shd w:val="clear" w:color="auto" w:fill="CCEEFF"/>
          </w:tcPr>
          <w:p>
            <w:pPr>
              <w:spacing w:after="0"/>
              <w:rPr>
                <w:sz w:val="10"/>
                <w:szCs w:val="10"/>
                <w:color w:val="auto"/>
              </w:rPr>
            </w:pPr>
          </w:p>
        </w:tc>
        <w:tc>
          <w:tcPr>
            <w:tcW w:w="1320" w:type="dxa"/>
            <w:vAlign w:val="bottom"/>
            <w:tcBorders>
              <w:bottom w:val="single" w:sz="8" w:color="6D6F71"/>
            </w:tcBorders>
            <w:shd w:val="clear" w:color="auto" w:fill="CCEEFF"/>
          </w:tcPr>
          <w:p>
            <w:pPr>
              <w:spacing w:after="0"/>
              <w:rPr>
                <w:sz w:val="10"/>
                <w:szCs w:val="10"/>
                <w:color w:val="auto"/>
              </w:rPr>
            </w:pPr>
          </w:p>
        </w:tc>
        <w:tc>
          <w:tcPr>
            <w:tcW w:w="1080" w:type="dxa"/>
            <w:vAlign w:val="bottom"/>
            <w:tcBorders>
              <w:bottom w:val="single" w:sz="8" w:color="6D6F71"/>
            </w:tcBorders>
            <w:shd w:val="clear" w:color="auto" w:fill="CCEEFF"/>
          </w:tcPr>
          <w:p>
            <w:pPr>
              <w:spacing w:after="0"/>
              <w:rPr>
                <w:sz w:val="10"/>
                <w:szCs w:val="10"/>
                <w:color w:val="auto"/>
              </w:rPr>
            </w:pPr>
          </w:p>
        </w:tc>
        <w:tc>
          <w:tcPr>
            <w:tcW w:w="1240" w:type="dxa"/>
            <w:vAlign w:val="bottom"/>
            <w:tcBorders>
              <w:bottom w:val="single" w:sz="8" w:color="6D6F71"/>
            </w:tcBorders>
            <w:shd w:val="clear" w:color="auto" w:fill="CCEEFF"/>
          </w:tcPr>
          <w:p>
            <w:pPr>
              <w:spacing w:after="0"/>
              <w:rPr>
                <w:sz w:val="10"/>
                <w:szCs w:val="10"/>
                <w:color w:val="auto"/>
              </w:rPr>
            </w:pPr>
          </w:p>
        </w:tc>
        <w:tc>
          <w:tcPr>
            <w:tcW w:w="100" w:type="dxa"/>
            <w:vAlign w:val="bottom"/>
            <w:tcBorders>
              <w:bottom w:val="single" w:sz="8" w:color="6D6F71"/>
            </w:tcBorders>
            <w:shd w:val="clear" w:color="auto" w:fill="CCEEFF"/>
          </w:tcPr>
          <w:p>
            <w:pPr>
              <w:spacing w:after="0"/>
              <w:rPr>
                <w:sz w:val="10"/>
                <w:szCs w:val="10"/>
                <w:color w:val="auto"/>
              </w:rPr>
            </w:pPr>
          </w:p>
        </w:tc>
        <w:tc>
          <w:tcPr>
            <w:tcW w:w="1300" w:type="dxa"/>
            <w:vAlign w:val="bottom"/>
            <w:tcBorders>
              <w:bottom w:val="single" w:sz="8" w:color="6D6F71"/>
            </w:tcBorders>
            <w:shd w:val="clear" w:color="auto" w:fill="CCEEFF"/>
          </w:tcPr>
          <w:p>
            <w:pPr>
              <w:spacing w:after="0"/>
              <w:rPr>
                <w:sz w:val="10"/>
                <w:szCs w:val="10"/>
                <w:color w:val="auto"/>
              </w:rPr>
            </w:pPr>
          </w:p>
        </w:tc>
        <w:tc>
          <w:tcPr>
            <w:tcW w:w="1260" w:type="dxa"/>
            <w:vAlign w:val="bottom"/>
            <w:tcBorders>
              <w:bottom w:val="single" w:sz="8" w:color="6D6F71"/>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1160" w:type="dxa"/>
            <w:vAlign w:val="bottom"/>
          </w:tcPr>
          <w:p>
            <w:pPr>
              <w:spacing w:after="0"/>
              <w:rPr>
                <w:sz w:val="24"/>
                <w:szCs w:val="24"/>
                <w:color w:val="auto"/>
              </w:rPr>
            </w:pPr>
          </w:p>
        </w:tc>
        <w:tc>
          <w:tcPr>
            <w:tcW w:w="1060" w:type="dxa"/>
            <w:vAlign w:val="bottom"/>
            <w:tcBorders>
              <w:bottom w:val="single" w:sz="8" w:color="6D6F71"/>
            </w:tcBorders>
          </w:tcPr>
          <w:p>
            <w:pPr>
              <w:jc w:val="center"/>
              <w:ind w:left="9"/>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(4)</w:t>
            </w:r>
          </w:p>
        </w:tc>
        <w:tc>
          <w:tcPr>
            <w:tcW w:w="15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2/4/2022</w:t>
            </w:r>
          </w:p>
        </w:tc>
        <w:tc>
          <w:tcPr>
            <w:tcW w:w="118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4,784</w:t>
            </w:r>
          </w:p>
        </w:tc>
        <w:tc>
          <w:tcPr>
            <w:tcW w:w="132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11.40</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2/4/2032</w:t>
            </w:r>
          </w:p>
        </w:tc>
        <w:tc>
          <w:tcPr>
            <w:tcW w:w="100" w:type="dxa"/>
            <w:vAlign w:val="bottom"/>
            <w:tcBorders>
              <w:bottom w:val="single" w:sz="8" w:color="6D6F71"/>
            </w:tcBorders>
          </w:tcPr>
          <w:p>
            <w:pPr>
              <w:spacing w:after="0"/>
              <w:rPr>
                <w:sz w:val="24"/>
                <w:szCs w:val="24"/>
                <w:color w:val="auto"/>
              </w:rPr>
            </w:pPr>
          </w:p>
        </w:tc>
        <w:tc>
          <w:tcPr>
            <w:tcW w:w="130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9"/>
        </w:trPr>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shd w:val="clear" w:color="auto" w:fill="CCEEFF"/>
          </w:tcPr>
          <w:p>
            <w:pPr>
              <w:jc w:val="center"/>
              <w:ind w:left="9"/>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(5)</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5/15/2022</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64,688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498,744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160" w:type="dxa"/>
            <w:vAlign w:val="bottom"/>
          </w:tcPr>
          <w:p>
            <w:pPr>
              <w:spacing w:after="0"/>
              <w:rPr>
                <w:sz w:val="24"/>
                <w:szCs w:val="24"/>
                <w:color w:val="auto"/>
              </w:rPr>
            </w:pPr>
          </w:p>
        </w:tc>
        <w:tc>
          <w:tcPr>
            <w:tcW w:w="1220" w:type="dxa"/>
            <w:vAlign w:val="bottom"/>
            <w:tcBorders>
              <w:bottom w:val="single" w:sz="8" w:color="6D6F71"/>
            </w:tcBorders>
          </w:tcPr>
          <w:p>
            <w:pPr>
              <w:jc w:val="center"/>
              <w:ind w:right="8"/>
              <w:spacing w:after="0"/>
              <w:rPr>
                <w:sz w:val="20"/>
                <w:szCs w:val="20"/>
                <w:color w:val="auto"/>
              </w:rPr>
            </w:pPr>
            <w:r>
              <w:rPr>
                <w:rFonts w:ascii="Arial" w:cs="Arial" w:eastAsia="Arial" w:hAnsi="Arial"/>
                <w:sz w:val="14"/>
                <w:szCs w:val="14"/>
                <w:color w:val="auto"/>
                <w:w w:val="95"/>
              </w:rPr>
              <w:t>3/4/2020</w:t>
            </w:r>
            <w:r>
              <w:rPr>
                <w:rFonts w:ascii="Arial" w:cs="Arial" w:eastAsia="Arial" w:hAnsi="Arial"/>
                <w:sz w:val="23"/>
                <w:szCs w:val="23"/>
                <w:color w:val="auto"/>
                <w:w w:val="95"/>
                <w:vertAlign w:val="superscript"/>
              </w:rPr>
              <w:t>(7)</w:t>
            </w:r>
          </w:p>
        </w:tc>
        <w:tc>
          <w:tcPr>
            <w:tcW w:w="13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3/4/2020</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468,750</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351,562</w:t>
            </w:r>
          </w:p>
        </w:tc>
        <w:tc>
          <w:tcPr>
            <w:tcW w:w="10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2.22</w:t>
            </w:r>
          </w:p>
        </w:tc>
        <w:tc>
          <w:tcPr>
            <w:tcW w:w="148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3/4/2030</w:t>
            </w:r>
          </w:p>
        </w:tc>
        <w:tc>
          <w:tcPr>
            <w:tcW w:w="1400" w:type="dxa"/>
            <w:vAlign w:val="bottom"/>
            <w:tcBorders>
              <w:bottom w:val="single" w:sz="8" w:color="6D6F71"/>
            </w:tcBorders>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1160" w:type="dxa"/>
            <w:vAlign w:val="bottom"/>
          </w:tcPr>
          <w:p>
            <w:pPr>
              <w:spacing w:after="0"/>
              <w:rPr>
                <w:sz w:val="24"/>
                <w:szCs w:val="24"/>
                <w:color w:val="auto"/>
              </w:rPr>
            </w:pPr>
          </w:p>
        </w:tc>
        <w:tc>
          <w:tcPr>
            <w:tcW w:w="1220" w:type="dxa"/>
            <w:vAlign w:val="bottom"/>
            <w:tcBorders>
              <w:bottom w:val="single" w:sz="8" w:color="6D6F71"/>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3/4/2020</w:t>
            </w:r>
            <w:r>
              <w:rPr>
                <w:rFonts w:ascii="Arial" w:cs="Arial" w:eastAsia="Arial" w:hAnsi="Arial"/>
                <w:sz w:val="23"/>
                <w:szCs w:val="23"/>
                <w:color w:val="auto"/>
                <w:w w:val="95"/>
                <w:vertAlign w:val="superscript"/>
              </w:rPr>
              <w:t>(8)</w:t>
            </w:r>
          </w:p>
        </w:tc>
        <w:tc>
          <w:tcPr>
            <w:tcW w:w="13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3/4/2020</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900,000</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600,000</w:t>
            </w:r>
          </w:p>
        </w:tc>
        <w:tc>
          <w:tcPr>
            <w:tcW w:w="10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2.22</w:t>
            </w:r>
          </w:p>
        </w:tc>
        <w:tc>
          <w:tcPr>
            <w:tcW w:w="14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3/4/2030</w:t>
            </w:r>
          </w:p>
        </w:tc>
        <w:tc>
          <w:tcPr>
            <w:tcW w:w="1400" w:type="dxa"/>
            <w:vAlign w:val="bottom"/>
            <w:tcBorders>
              <w:bottom w:val="single" w:sz="8" w:color="6D6F71"/>
            </w:tcBorders>
            <w:shd w:val="clear" w:color="auto" w:fill="CCEEFF"/>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4"/>
        </w:trPr>
        <w:tc>
          <w:tcPr>
            <w:tcW w:w="1160" w:type="dxa"/>
            <w:vAlign w:val="bottom"/>
          </w:tcPr>
          <w:p>
            <w:pPr>
              <w:ind w:left="20"/>
              <w:spacing w:after="0"/>
              <w:rPr>
                <w:sz w:val="20"/>
                <w:szCs w:val="20"/>
                <w:color w:val="auto"/>
              </w:rPr>
            </w:pPr>
            <w:r>
              <w:rPr>
                <w:rFonts w:ascii="Arial" w:cs="Arial" w:eastAsia="Arial" w:hAnsi="Arial"/>
                <w:sz w:val="14"/>
                <w:szCs w:val="14"/>
                <w:color w:val="auto"/>
              </w:rPr>
              <w:t>Michael Secora</w:t>
            </w:r>
          </w:p>
        </w:tc>
        <w:tc>
          <w:tcPr>
            <w:tcW w:w="1220" w:type="dxa"/>
            <w:vAlign w:val="bottom"/>
            <w:tcBorders>
              <w:bottom w:val="single" w:sz="8" w:color="6D6F71"/>
            </w:tcBorders>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(3)</w:t>
            </w:r>
          </w:p>
        </w:tc>
        <w:tc>
          <w:tcPr>
            <w:tcW w:w="13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2/4/2022</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24,306</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92,378</w:t>
            </w:r>
          </w:p>
        </w:tc>
        <w:tc>
          <w:tcPr>
            <w:tcW w:w="10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w w:val="96"/>
              </w:rPr>
              <w:t>11.40</w:t>
            </w:r>
          </w:p>
        </w:tc>
        <w:tc>
          <w:tcPr>
            <w:tcW w:w="148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2/4/2032</w:t>
            </w:r>
          </w:p>
        </w:tc>
        <w:tc>
          <w:tcPr>
            <w:tcW w:w="1400" w:type="dxa"/>
            <w:vAlign w:val="bottom"/>
            <w:tcBorders>
              <w:bottom w:val="single" w:sz="8" w:color="6D6F71"/>
            </w:tcBorders>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9"/>
        </w:trPr>
        <w:tc>
          <w:tcPr>
            <w:tcW w:w="1160" w:type="dxa"/>
            <w:vAlign w:val="bottom"/>
          </w:tcPr>
          <w:p>
            <w:pPr>
              <w:spacing w:after="0"/>
              <w:rPr>
                <w:sz w:val="24"/>
                <w:szCs w:val="24"/>
                <w:color w:val="auto"/>
              </w:rPr>
            </w:pPr>
          </w:p>
        </w:tc>
        <w:tc>
          <w:tcPr>
            <w:tcW w:w="1220" w:type="dxa"/>
            <w:vAlign w:val="bottom"/>
            <w:tcBorders>
              <w:bottom w:val="single" w:sz="8" w:color="6D6F71"/>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(4)</w:t>
            </w:r>
          </w:p>
        </w:tc>
        <w:tc>
          <w:tcPr>
            <w:tcW w:w="13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2/4/2022</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3,914</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6"/>
              </w:rPr>
              <w:t>11.40</w:t>
            </w:r>
          </w:p>
        </w:tc>
        <w:tc>
          <w:tcPr>
            <w:tcW w:w="14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2/4/2032</w:t>
            </w:r>
          </w:p>
        </w:tc>
        <w:tc>
          <w:tcPr>
            <w:tcW w:w="1400" w:type="dxa"/>
            <w:vAlign w:val="bottom"/>
            <w:tcBorders>
              <w:bottom w:val="single" w:sz="8" w:color="6D6F71"/>
            </w:tcBorders>
            <w:shd w:val="clear" w:color="auto" w:fill="CCEEFF"/>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6"/>
        </w:trPr>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5/15/2022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47,404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365,485</w:t>
            </w:r>
          </w:p>
        </w:tc>
        <w:tc>
          <w:tcPr>
            <w:tcW w:w="0" w:type="dxa"/>
            <w:vAlign w:val="bottom"/>
          </w:tcPr>
          <w:p>
            <w:pPr>
              <w:spacing w:after="0"/>
              <w:rPr>
                <w:sz w:val="1"/>
                <w:szCs w:val="1"/>
                <w:color w:val="auto"/>
              </w:rPr>
            </w:pPr>
          </w:p>
        </w:tc>
      </w:tr>
      <w:tr>
        <w:trPr>
          <w:trHeight w:val="344"/>
        </w:trPr>
        <w:tc>
          <w:tcPr>
            <w:tcW w:w="1160" w:type="dxa"/>
            <w:vAlign w:val="bottom"/>
          </w:tcPr>
          <w:p>
            <w:pPr>
              <w:spacing w:after="0"/>
              <w:rPr>
                <w:sz w:val="24"/>
                <w:szCs w:val="24"/>
                <w:color w:val="auto"/>
              </w:rPr>
            </w:pPr>
          </w:p>
        </w:tc>
        <w:tc>
          <w:tcPr>
            <w:tcW w:w="1220" w:type="dxa"/>
            <w:vAlign w:val="bottom"/>
            <w:tcBorders>
              <w:bottom w:val="single" w:sz="8" w:color="6D6F71"/>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3/4/2020</w:t>
            </w:r>
            <w:r>
              <w:rPr>
                <w:rFonts w:ascii="Arial" w:cs="Arial" w:eastAsia="Arial" w:hAnsi="Arial"/>
                <w:sz w:val="23"/>
                <w:szCs w:val="23"/>
                <w:color w:val="auto"/>
                <w:w w:val="95"/>
                <w:vertAlign w:val="superscript"/>
              </w:rPr>
              <w:t>(7)</w:t>
            </w:r>
          </w:p>
        </w:tc>
        <w:tc>
          <w:tcPr>
            <w:tcW w:w="1340" w:type="dxa"/>
            <w:vAlign w:val="bottom"/>
            <w:tcBorders>
              <w:bottom w:val="single" w:sz="8" w:color="6D6F71"/>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407,580</w:t>
            </w:r>
          </w:p>
        </w:tc>
        <w:tc>
          <w:tcPr>
            <w:tcW w:w="12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234,375</w:t>
            </w:r>
          </w:p>
        </w:tc>
        <w:tc>
          <w:tcPr>
            <w:tcW w:w="104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2.22</w:t>
            </w:r>
          </w:p>
        </w:tc>
        <w:tc>
          <w:tcPr>
            <w:tcW w:w="148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w w:val="96"/>
              </w:rPr>
              <w:t>3/04/2020</w:t>
            </w:r>
            <w:r>
              <w:rPr>
                <w:rFonts w:ascii="Arial" w:cs="Arial" w:eastAsia="Arial" w:hAnsi="Arial"/>
                <w:sz w:val="23"/>
                <w:szCs w:val="23"/>
                <w:color w:val="auto"/>
                <w:w w:val="96"/>
                <w:vertAlign w:val="superscript"/>
              </w:rPr>
              <w:t>(7)</w:t>
            </w:r>
          </w:p>
        </w:tc>
        <w:tc>
          <w:tcPr>
            <w:tcW w:w="1400" w:type="dxa"/>
            <w:vAlign w:val="bottom"/>
            <w:tcBorders>
              <w:bottom w:val="single" w:sz="8" w:color="6D6F71"/>
            </w:tcBorders>
            <w:shd w:val="clear" w:color="auto" w:fill="CCEEFF"/>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39"/>
        </w:trPr>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Shafique Virani</w:t>
            </w:r>
          </w:p>
        </w:tc>
        <w:tc>
          <w:tcPr>
            <w:tcW w:w="1220" w:type="dxa"/>
            <w:vAlign w:val="bottom"/>
            <w:tcBorders>
              <w:bottom w:val="single" w:sz="8" w:color="6D6F71"/>
            </w:tcBorders>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(3)</w:t>
            </w:r>
          </w:p>
        </w:tc>
        <w:tc>
          <w:tcPr>
            <w:tcW w:w="13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2/4/2022</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16,760</w:t>
            </w:r>
          </w:p>
        </w:tc>
        <w:tc>
          <w:tcPr>
            <w:tcW w:w="12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63,690</w:t>
            </w:r>
          </w:p>
        </w:tc>
        <w:tc>
          <w:tcPr>
            <w:tcW w:w="104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w w:val="96"/>
              </w:rPr>
              <w:t>11.40</w:t>
            </w:r>
          </w:p>
        </w:tc>
        <w:tc>
          <w:tcPr>
            <w:tcW w:w="1480" w:type="dxa"/>
            <w:vAlign w:val="bottom"/>
            <w:tcBorders>
              <w:bottom w:val="single" w:sz="8" w:color="6D6F71"/>
            </w:tcBorders>
          </w:tcPr>
          <w:p>
            <w:pPr>
              <w:jc w:val="center"/>
              <w:spacing w:after="0"/>
              <w:rPr>
                <w:sz w:val="20"/>
                <w:szCs w:val="20"/>
                <w:color w:val="auto"/>
              </w:rPr>
            </w:pPr>
            <w:r>
              <w:rPr>
                <w:rFonts w:ascii="Arial" w:cs="Arial" w:eastAsia="Arial" w:hAnsi="Arial"/>
                <w:sz w:val="14"/>
                <w:szCs w:val="14"/>
                <w:color w:val="auto"/>
              </w:rPr>
              <w:t>2/4/2032</w:t>
            </w:r>
          </w:p>
        </w:tc>
        <w:tc>
          <w:tcPr>
            <w:tcW w:w="1400" w:type="dxa"/>
            <w:vAlign w:val="bottom"/>
            <w:tcBorders>
              <w:bottom w:val="single" w:sz="8" w:color="6D6F71"/>
            </w:tcBorders>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160" w:type="dxa"/>
            <w:vAlign w:val="bottom"/>
            <w:vMerge w:val="continue"/>
          </w:tcPr>
          <w:p>
            <w:pPr>
              <w:spacing w:after="0"/>
              <w:rPr>
                <w:sz w:val="5"/>
                <w:szCs w:val="5"/>
                <w:color w:val="auto"/>
              </w:rPr>
            </w:pPr>
          </w:p>
        </w:tc>
        <w:tc>
          <w:tcPr>
            <w:tcW w:w="122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(4)</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2/4/2022</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5,436</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11.40</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2/4/2032</w:t>
            </w:r>
          </w:p>
        </w:tc>
        <w:tc>
          <w:tcPr>
            <w:tcW w:w="1400" w:type="dxa"/>
            <w:vAlign w:val="bottom"/>
            <w:vMerge w:val="restart"/>
            <w:shd w:val="clear" w:color="auto" w:fill="CCEEFF"/>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220" w:type="dxa"/>
            <w:vAlign w:val="bottom"/>
            <w:tcBorders>
              <w:bottom w:val="single" w:sz="8" w:color="6D6F71"/>
            </w:tcBorders>
            <w:vMerge w:val="continue"/>
            <w:shd w:val="clear" w:color="auto" w:fill="CCEEFF"/>
          </w:tcPr>
          <w:p>
            <w:pPr>
              <w:spacing w:after="0"/>
              <w:rPr>
                <w:sz w:val="23"/>
                <w:szCs w:val="23"/>
                <w:color w:val="auto"/>
              </w:rPr>
            </w:pPr>
          </w:p>
        </w:tc>
        <w:tc>
          <w:tcPr>
            <w:tcW w:w="1340" w:type="dxa"/>
            <w:vAlign w:val="bottom"/>
            <w:tcBorders>
              <w:bottom w:val="single" w:sz="8" w:color="6D6F71"/>
            </w:tcBorders>
            <w:vMerge w:val="continue"/>
            <w:shd w:val="clear" w:color="auto" w:fill="CCEEFF"/>
          </w:tcPr>
          <w:p>
            <w:pPr>
              <w:spacing w:after="0"/>
              <w:rPr>
                <w:sz w:val="23"/>
                <w:szCs w:val="23"/>
                <w:color w:val="auto"/>
              </w:rPr>
            </w:pPr>
          </w:p>
        </w:tc>
        <w:tc>
          <w:tcPr>
            <w:tcW w:w="1240" w:type="dxa"/>
            <w:vAlign w:val="bottom"/>
            <w:tcBorders>
              <w:bottom w:val="single" w:sz="8" w:color="6D6F71"/>
            </w:tcBorders>
            <w:vMerge w:val="continue"/>
            <w:shd w:val="clear" w:color="auto" w:fill="CCEEFF"/>
          </w:tcPr>
          <w:p>
            <w:pPr>
              <w:spacing w:after="0"/>
              <w:rPr>
                <w:sz w:val="23"/>
                <w:szCs w:val="23"/>
                <w:color w:val="auto"/>
              </w:rPr>
            </w:pPr>
          </w:p>
        </w:tc>
        <w:tc>
          <w:tcPr>
            <w:tcW w:w="1240" w:type="dxa"/>
            <w:vAlign w:val="bottom"/>
            <w:tcBorders>
              <w:bottom w:val="single" w:sz="8" w:color="6D6F71"/>
            </w:tcBorders>
            <w:vMerge w:val="continue"/>
            <w:shd w:val="clear" w:color="auto" w:fill="CCEEFF"/>
          </w:tcPr>
          <w:p>
            <w:pPr>
              <w:spacing w:after="0"/>
              <w:rPr>
                <w:sz w:val="23"/>
                <w:szCs w:val="23"/>
                <w:color w:val="auto"/>
              </w:rPr>
            </w:pPr>
          </w:p>
        </w:tc>
        <w:tc>
          <w:tcPr>
            <w:tcW w:w="1040" w:type="dxa"/>
            <w:vAlign w:val="bottom"/>
            <w:tcBorders>
              <w:bottom w:val="single" w:sz="8" w:color="6D6F71"/>
            </w:tcBorders>
            <w:vMerge w:val="continue"/>
            <w:shd w:val="clear" w:color="auto" w:fill="CCEEFF"/>
          </w:tcPr>
          <w:p>
            <w:pPr>
              <w:spacing w:after="0"/>
              <w:rPr>
                <w:sz w:val="23"/>
                <w:szCs w:val="23"/>
                <w:color w:val="auto"/>
              </w:rPr>
            </w:pPr>
          </w:p>
        </w:tc>
        <w:tc>
          <w:tcPr>
            <w:tcW w:w="1480" w:type="dxa"/>
            <w:vAlign w:val="bottom"/>
            <w:tcBorders>
              <w:bottom w:val="single" w:sz="8" w:color="6D6F71"/>
            </w:tcBorders>
            <w:vMerge w:val="continue"/>
            <w:shd w:val="clear" w:color="auto" w:fill="CCEEFF"/>
          </w:tcPr>
          <w:p>
            <w:pPr>
              <w:spacing w:after="0"/>
              <w:rPr>
                <w:sz w:val="23"/>
                <w:szCs w:val="23"/>
                <w:color w:val="auto"/>
              </w:rPr>
            </w:pPr>
          </w:p>
        </w:tc>
        <w:tc>
          <w:tcPr>
            <w:tcW w:w="1400" w:type="dxa"/>
            <w:vAlign w:val="bottom"/>
            <w:tcBorders>
              <w:bottom w:val="single" w:sz="8" w:color="6D6F71"/>
            </w:tcBorders>
            <w:vMerge w:val="continue"/>
            <w:shd w:val="clear" w:color="auto" w:fill="CCEEFF"/>
          </w:tcPr>
          <w:p>
            <w:pPr>
              <w:spacing w:after="0"/>
              <w:rPr>
                <w:sz w:val="23"/>
                <w:szCs w:val="23"/>
                <w:color w:val="auto"/>
              </w:rPr>
            </w:pPr>
          </w:p>
        </w:tc>
        <w:tc>
          <w:tcPr>
            <w:tcW w:w="1120" w:type="dxa"/>
            <w:vAlign w:val="bottom"/>
            <w:tcBorders>
              <w:bottom w:val="single" w:sz="8" w:color="6D6F71"/>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2/4/2022</w:t>
            </w:r>
            <w:r>
              <w:rPr>
                <w:rFonts w:ascii="Arial" w:cs="Arial" w:eastAsia="Arial" w:hAnsi="Arial"/>
                <w:sz w:val="23"/>
                <w:szCs w:val="23"/>
                <w:color w:val="auto"/>
                <w:w w:val="95"/>
                <w:vertAlign w:val="superscript"/>
              </w:rPr>
              <w:t>(5)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5/15/2022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32,683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251,986</w:t>
            </w:r>
          </w:p>
        </w:tc>
        <w:tc>
          <w:tcPr>
            <w:tcW w:w="0" w:type="dxa"/>
            <w:vAlign w:val="bottom"/>
          </w:tcPr>
          <w:p>
            <w:pPr>
              <w:spacing w:after="0"/>
              <w:rPr>
                <w:sz w:val="1"/>
                <w:szCs w:val="1"/>
                <w:color w:val="auto"/>
              </w:rPr>
            </w:pPr>
          </w:p>
        </w:tc>
      </w:tr>
      <w:tr>
        <w:trPr>
          <w:trHeight w:val="217"/>
        </w:trPr>
        <w:tc>
          <w:tcPr>
            <w:tcW w:w="1160" w:type="dxa"/>
            <w:vAlign w:val="bottom"/>
          </w:tcPr>
          <w:p>
            <w:pPr>
              <w:ind w:left="20"/>
              <w:spacing w:after="0"/>
              <w:rPr>
                <w:sz w:val="20"/>
                <w:szCs w:val="20"/>
                <w:color w:val="auto"/>
              </w:rPr>
            </w:pPr>
            <w:r>
              <w:rPr>
                <w:rFonts w:ascii="Arial" w:cs="Arial" w:eastAsia="Arial" w:hAnsi="Arial"/>
                <w:sz w:val="14"/>
                <w:szCs w:val="14"/>
                <w:color w:val="auto"/>
              </w:rPr>
              <w:t>Ramona Doyle</w:t>
            </w:r>
          </w:p>
        </w:tc>
        <w:tc>
          <w:tcPr>
            <w:tcW w:w="122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34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CCEEFF"/>
            </w:tcBorders>
            <w:shd w:val="clear" w:color="auto" w:fill="CCEEFF"/>
          </w:tcPr>
          <w:p>
            <w:pPr>
              <w:jc w:val="center"/>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right="620" w:hanging="328"/>
        <w:spacing w:after="0" w:line="266" w:lineRule="auto"/>
        <w:tabs>
          <w:tab w:leader="none" w:pos="660" w:val="left"/>
        </w:tabs>
        <w:numPr>
          <w:ilvl w:val="0"/>
          <w:numId w:val="15"/>
        </w:numPr>
        <w:rPr>
          <w:rFonts w:ascii="Arial" w:cs="Arial" w:eastAsia="Arial" w:hAnsi="Arial"/>
          <w:sz w:val="14"/>
          <w:szCs w:val="14"/>
          <w:color w:val="2B292A"/>
        </w:rPr>
      </w:pPr>
      <w:r>
        <w:rPr>
          <w:rFonts w:ascii="Arial" w:cs="Arial" w:eastAsia="Arial" w:hAnsi="Arial"/>
          <w:sz w:val="14"/>
          <w:szCs w:val="14"/>
          <w:color w:val="2B292A"/>
        </w:rPr>
        <w:t>The amount in this column is calculated by multiplying the number of RSUs by the closing price of our common stock on the Nasdaq Global Select Market on December 30, 2022 (the last business day of fiscal 2022), which was $7.71.</w:t>
      </w:r>
    </w:p>
    <w:p>
      <w:pPr>
        <w:ind w:left="660" w:right="100" w:hanging="328"/>
        <w:spacing w:after="0" w:line="256"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an option to purchase shares of our Class A common stock which vests as to one forty-eighth (1/48th) of the shares subject to the award shall vest one month after the vesting commencement date, and one forty-eighth (1/48th) of the shares subject to the award shall vest each month thereafter. Under the Equity Exchange Agreement, Dr. Gibson has the right to exchange the shares of Class A common stock received upon exercise of this option for shares of Class B common stock in accordance with the terms of the Equity Exchange Agreement.</w:t>
      </w:r>
    </w:p>
    <w:p>
      <w:pPr>
        <w:spacing w:after="0" w:line="1" w:lineRule="exact"/>
        <w:rPr>
          <w:rFonts w:ascii="Arial" w:cs="Arial" w:eastAsia="Arial" w:hAnsi="Arial"/>
          <w:sz w:val="14"/>
          <w:szCs w:val="14"/>
          <w:color w:val="auto"/>
        </w:rPr>
      </w:pPr>
    </w:p>
    <w:p>
      <w:pPr>
        <w:ind w:left="660" w:right="220" w:hanging="328"/>
        <w:spacing w:after="0" w:line="26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an option to purchase shares of our Class A common stock which vests as to one forty-eighth (1/48th) of the shares subject to the award shall vest one month after the vesting commencement date, and one forty-eighth (1/48th) of the shares subject to the award shall vest each month thereafter.</w:t>
      </w:r>
    </w:p>
    <w:p>
      <w:pPr>
        <w:ind w:left="660" w:right="140" w:hanging="328"/>
        <w:spacing w:after="0" w:line="25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an option to purchase shares of our Class A common stock that is fully vested and exercisable on the vesting commencement date pursuant to our 2021 Short-Term Incentive plan.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RSUs that vest as to one one-sixteenth (1/16th) of the units subject the RSU beginning May 15, 2022 and every three months thereafter.</w:t>
      </w:r>
    </w:p>
    <w:p>
      <w:pPr>
        <w:spacing w:after="0" w:line="11" w:lineRule="exact"/>
        <w:rPr>
          <w:rFonts w:ascii="Arial" w:cs="Arial" w:eastAsia="Arial" w:hAnsi="Arial"/>
          <w:sz w:val="14"/>
          <w:szCs w:val="14"/>
          <w:color w:val="auto"/>
        </w:rPr>
      </w:pPr>
    </w:p>
    <w:p>
      <w:pPr>
        <w:ind w:left="660" w:right="180" w:hanging="328"/>
        <w:spacing w:after="0" w:line="26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an option to purchase shares of our Class A common stock. Twenty-Five percent (25%) of the shares subject to the award vested on July 16, 2019, and one-forty-eighth (1/48th) of the shares subject to the award vest each month thereafter.</w:t>
      </w:r>
    </w:p>
    <w:p>
      <w:pPr>
        <w:ind w:left="660" w:right="100" w:hanging="328"/>
        <w:spacing w:after="0" w:line="253"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Represents an option to purchase shares of our Class A common stock. One forty-eighth (1/48th) of the shares subject to the award vested on April 1, 2020, and one forty-eighth (1/48th) of the shares subject to the award vest each month thereafter.</w:t>
      </w:r>
    </w:p>
    <w:p>
      <w:pPr>
        <w:spacing w:after="0" w:line="1" w:lineRule="exact"/>
        <w:rPr>
          <w:rFonts w:ascii="Arial" w:cs="Arial" w:eastAsia="Arial" w:hAnsi="Arial"/>
          <w:sz w:val="14"/>
          <w:szCs w:val="14"/>
          <w:color w:val="auto"/>
        </w:rPr>
      </w:pPr>
    </w:p>
    <w:p>
      <w:pPr>
        <w:ind w:left="660" w:right="20" w:hanging="328"/>
        <w:spacing w:after="0" w:line="27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2B292A"/>
        </w:rPr>
        <w:t xml:space="preserve">Represents an option to purchase 1,500,000 shares of our Class A common stock that vest becomes cumulatively vested as to the following number of shares subject to the option upon each occurrence of certain liquidity events, subject to Mr. Secora’s continued service through the date of such Liquidity </w:t>
      </w:r>
      <w:r>
        <w:rPr>
          <w:rFonts w:ascii="Arial" w:cs="Arial" w:eastAsia="Arial" w:hAnsi="Arial"/>
          <w:sz w:val="12"/>
          <w:szCs w:val="12"/>
          <w:color w:val="2B292A"/>
        </w:rPr>
        <w:t>Event:</w:t>
      </w:r>
    </w:p>
    <w:p>
      <w:pPr>
        <w:spacing w:after="0" w:line="265" w:lineRule="exact"/>
        <w:rPr>
          <w:sz w:val="20"/>
          <w:szCs w:val="20"/>
          <w:color w:val="auto"/>
        </w:rPr>
      </w:pPr>
    </w:p>
    <w:tbl>
      <w:tblPr>
        <w:tblLayout w:type="fixed"/>
        <w:tblInd w:w="2340" w:type="dxa"/>
        <w:tblCellMar>
          <w:top w:w="0" w:type="dxa"/>
          <w:left w:w="0" w:type="dxa"/>
          <w:bottom w:w="0" w:type="dxa"/>
          <w:right w:w="0" w:type="dxa"/>
        </w:tblCellMar>
      </w:tblPr>
      <w:tr>
        <w:trPr>
          <w:trHeight w:val="182"/>
        </w:trPr>
        <w:tc>
          <w:tcPr>
            <w:tcW w:w="3200" w:type="dxa"/>
            <w:vAlign w:val="bottom"/>
          </w:tcPr>
          <w:p>
            <w:pPr>
              <w:jc w:val="center"/>
              <w:ind w:left="8"/>
              <w:spacing w:after="0"/>
              <w:rPr>
                <w:sz w:val="20"/>
                <w:szCs w:val="20"/>
                <w:color w:val="auto"/>
              </w:rPr>
            </w:pPr>
            <w:r>
              <w:rPr>
                <w:rFonts w:ascii="Arial" w:cs="Arial" w:eastAsia="Arial" w:hAnsi="Arial"/>
                <w:sz w:val="14"/>
                <w:szCs w:val="14"/>
                <w:color w:val="auto"/>
              </w:rPr>
              <w:t>Liquidity Event Value</w:t>
            </w:r>
          </w:p>
        </w:tc>
        <w:tc>
          <w:tcPr>
            <w:tcW w:w="3360" w:type="dxa"/>
            <w:vAlign w:val="bottom"/>
          </w:tcPr>
          <w:p>
            <w:pPr>
              <w:ind w:left="880"/>
              <w:spacing w:after="0"/>
              <w:rPr>
                <w:sz w:val="20"/>
                <w:szCs w:val="20"/>
                <w:color w:val="auto"/>
              </w:rPr>
            </w:pPr>
            <w:r>
              <w:rPr>
                <w:rFonts w:ascii="Arial" w:cs="Arial" w:eastAsia="Arial" w:hAnsi="Arial"/>
                <w:sz w:val="14"/>
                <w:szCs w:val="14"/>
                <w:color w:val="auto"/>
              </w:rPr>
              <w:t>Cumulative Vested Shares</w:t>
            </w:r>
          </w:p>
        </w:tc>
      </w:tr>
      <w:tr>
        <w:trPr>
          <w:trHeight w:val="39"/>
        </w:trPr>
        <w:tc>
          <w:tcPr>
            <w:tcW w:w="3200" w:type="dxa"/>
            <w:vAlign w:val="bottom"/>
            <w:tcBorders>
              <w:bottom w:val="single" w:sz="8" w:color="6D6F71"/>
            </w:tcBorders>
          </w:tcPr>
          <w:p>
            <w:pPr>
              <w:spacing w:after="0"/>
              <w:rPr>
                <w:sz w:val="3"/>
                <w:szCs w:val="3"/>
                <w:color w:val="auto"/>
              </w:rPr>
            </w:pPr>
          </w:p>
        </w:tc>
        <w:tc>
          <w:tcPr>
            <w:tcW w:w="3360" w:type="dxa"/>
            <w:vAlign w:val="bottom"/>
            <w:tcBorders>
              <w:bottom w:val="single" w:sz="8" w:color="6D6F71"/>
            </w:tcBorders>
          </w:tcPr>
          <w:p>
            <w:pPr>
              <w:spacing w:after="0"/>
              <w:rPr>
                <w:sz w:val="3"/>
                <w:szCs w:val="3"/>
                <w:color w:val="auto"/>
              </w:rPr>
            </w:pPr>
          </w:p>
        </w:tc>
      </w:tr>
      <w:tr>
        <w:trPr>
          <w:trHeight w:val="242"/>
        </w:trPr>
        <w:tc>
          <w:tcPr>
            <w:tcW w:w="32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Greater than $7.11</w:t>
            </w:r>
          </w:p>
        </w:tc>
        <w:tc>
          <w:tcPr>
            <w:tcW w:w="33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150,000</w:t>
            </w:r>
          </w:p>
        </w:tc>
      </w:tr>
      <w:tr>
        <w:trPr>
          <w:trHeight w:val="198"/>
        </w:trPr>
        <w:tc>
          <w:tcPr>
            <w:tcW w:w="320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Greater than $9.24</w:t>
            </w:r>
          </w:p>
        </w:tc>
        <w:tc>
          <w:tcPr>
            <w:tcW w:w="336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300,000</w:t>
            </w:r>
          </w:p>
        </w:tc>
      </w:tr>
      <w:tr>
        <w:trPr>
          <w:trHeight w:val="39"/>
        </w:trPr>
        <w:tc>
          <w:tcPr>
            <w:tcW w:w="3200" w:type="dxa"/>
            <w:vAlign w:val="bottom"/>
            <w:tcBorders>
              <w:bottom w:val="single" w:sz="8" w:color="6D6F71"/>
            </w:tcBorders>
          </w:tcPr>
          <w:p>
            <w:pPr>
              <w:spacing w:after="0"/>
              <w:rPr>
                <w:sz w:val="3"/>
                <w:szCs w:val="3"/>
                <w:color w:val="auto"/>
              </w:rPr>
            </w:pPr>
          </w:p>
        </w:tc>
        <w:tc>
          <w:tcPr>
            <w:tcW w:w="3360" w:type="dxa"/>
            <w:vAlign w:val="bottom"/>
            <w:tcBorders>
              <w:bottom w:val="single" w:sz="8" w:color="6D6F71"/>
            </w:tcBorders>
          </w:tcPr>
          <w:p>
            <w:pPr>
              <w:spacing w:after="0"/>
              <w:rPr>
                <w:sz w:val="3"/>
                <w:szCs w:val="3"/>
                <w:color w:val="auto"/>
              </w:rPr>
            </w:pPr>
          </w:p>
        </w:tc>
      </w:tr>
      <w:tr>
        <w:trPr>
          <w:trHeight w:val="242"/>
        </w:trPr>
        <w:tc>
          <w:tcPr>
            <w:tcW w:w="32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Greater than $12.02</w:t>
            </w:r>
          </w:p>
        </w:tc>
        <w:tc>
          <w:tcPr>
            <w:tcW w:w="33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450,000</w:t>
            </w:r>
          </w:p>
        </w:tc>
      </w:tr>
      <w:tr>
        <w:trPr>
          <w:trHeight w:val="198"/>
        </w:trPr>
        <w:tc>
          <w:tcPr>
            <w:tcW w:w="320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Greater than $15.63</w:t>
            </w:r>
          </w:p>
        </w:tc>
        <w:tc>
          <w:tcPr>
            <w:tcW w:w="336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600,000</w:t>
            </w:r>
          </w:p>
        </w:tc>
      </w:tr>
      <w:tr>
        <w:trPr>
          <w:trHeight w:val="39"/>
        </w:trPr>
        <w:tc>
          <w:tcPr>
            <w:tcW w:w="3200" w:type="dxa"/>
            <w:vAlign w:val="bottom"/>
            <w:tcBorders>
              <w:bottom w:val="single" w:sz="8" w:color="6D6F71"/>
            </w:tcBorders>
          </w:tcPr>
          <w:p>
            <w:pPr>
              <w:spacing w:after="0"/>
              <w:rPr>
                <w:sz w:val="3"/>
                <w:szCs w:val="3"/>
                <w:color w:val="auto"/>
              </w:rPr>
            </w:pPr>
          </w:p>
        </w:tc>
        <w:tc>
          <w:tcPr>
            <w:tcW w:w="3360" w:type="dxa"/>
            <w:vAlign w:val="bottom"/>
            <w:tcBorders>
              <w:bottom w:val="single" w:sz="8" w:color="6D6F71"/>
            </w:tcBorders>
          </w:tcPr>
          <w:p>
            <w:pPr>
              <w:spacing w:after="0"/>
              <w:rPr>
                <w:sz w:val="3"/>
                <w:szCs w:val="3"/>
                <w:color w:val="auto"/>
              </w:rPr>
            </w:pPr>
          </w:p>
        </w:tc>
      </w:tr>
      <w:tr>
        <w:trPr>
          <w:trHeight w:val="241"/>
        </w:trPr>
        <w:tc>
          <w:tcPr>
            <w:tcW w:w="32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Greater than $20.32</w:t>
            </w:r>
          </w:p>
        </w:tc>
        <w:tc>
          <w:tcPr>
            <w:tcW w:w="33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750,000</w:t>
            </w:r>
          </w:p>
        </w:tc>
      </w:tr>
      <w:tr>
        <w:trPr>
          <w:trHeight w:val="198"/>
        </w:trPr>
        <w:tc>
          <w:tcPr>
            <w:tcW w:w="320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Greater than $29.46</w:t>
            </w:r>
          </w:p>
        </w:tc>
        <w:tc>
          <w:tcPr>
            <w:tcW w:w="336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900,000</w:t>
            </w:r>
          </w:p>
        </w:tc>
      </w:tr>
      <w:tr>
        <w:trPr>
          <w:trHeight w:val="25"/>
        </w:trPr>
        <w:tc>
          <w:tcPr>
            <w:tcW w:w="3200" w:type="dxa"/>
            <w:vAlign w:val="bottom"/>
            <w:tcBorders>
              <w:bottom w:val="single" w:sz="8" w:color="6D6F71"/>
            </w:tcBorders>
          </w:tcPr>
          <w:p>
            <w:pPr>
              <w:spacing w:after="0"/>
              <w:rPr>
                <w:sz w:val="2"/>
                <w:szCs w:val="2"/>
                <w:color w:val="auto"/>
              </w:rPr>
            </w:pPr>
          </w:p>
        </w:tc>
        <w:tc>
          <w:tcPr>
            <w:tcW w:w="3360" w:type="dxa"/>
            <w:vAlign w:val="bottom"/>
            <w:tcBorders>
              <w:bottom w:val="single" w:sz="8" w:color="6D6F71"/>
            </w:tcBorders>
          </w:tcPr>
          <w:p>
            <w:pPr>
              <w:spacing w:after="0"/>
              <w:rPr>
                <w:sz w:val="2"/>
                <w:szCs w:val="2"/>
                <w:color w:val="auto"/>
              </w:rPr>
            </w:pPr>
          </w:p>
        </w:tc>
      </w:tr>
      <w:tr>
        <w:trPr>
          <w:trHeight w:val="242"/>
        </w:trPr>
        <w:tc>
          <w:tcPr>
            <w:tcW w:w="32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Greater than $42.72</w:t>
            </w:r>
          </w:p>
        </w:tc>
        <w:tc>
          <w:tcPr>
            <w:tcW w:w="33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1,050,000</w:t>
            </w:r>
          </w:p>
        </w:tc>
      </w:tr>
      <w:tr>
        <w:trPr>
          <w:trHeight w:val="198"/>
        </w:trPr>
        <w:tc>
          <w:tcPr>
            <w:tcW w:w="320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Greater than $61.95</w:t>
            </w:r>
          </w:p>
        </w:tc>
        <w:tc>
          <w:tcPr>
            <w:tcW w:w="336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1,200,000</w:t>
            </w:r>
          </w:p>
        </w:tc>
      </w:tr>
      <w:tr>
        <w:trPr>
          <w:trHeight w:val="39"/>
        </w:trPr>
        <w:tc>
          <w:tcPr>
            <w:tcW w:w="3200" w:type="dxa"/>
            <w:vAlign w:val="bottom"/>
            <w:tcBorders>
              <w:bottom w:val="single" w:sz="8" w:color="6D6F71"/>
            </w:tcBorders>
          </w:tcPr>
          <w:p>
            <w:pPr>
              <w:spacing w:after="0"/>
              <w:rPr>
                <w:sz w:val="3"/>
                <w:szCs w:val="3"/>
                <w:color w:val="auto"/>
              </w:rPr>
            </w:pPr>
          </w:p>
        </w:tc>
        <w:tc>
          <w:tcPr>
            <w:tcW w:w="3360" w:type="dxa"/>
            <w:vAlign w:val="bottom"/>
            <w:tcBorders>
              <w:bottom w:val="single" w:sz="8" w:color="6D6F71"/>
            </w:tcBorders>
          </w:tcPr>
          <w:p>
            <w:pPr>
              <w:spacing w:after="0"/>
              <w:rPr>
                <w:sz w:val="3"/>
                <w:szCs w:val="3"/>
                <w:color w:val="auto"/>
              </w:rPr>
            </w:pPr>
          </w:p>
        </w:tc>
      </w:tr>
      <w:tr>
        <w:trPr>
          <w:trHeight w:val="241"/>
        </w:trPr>
        <w:tc>
          <w:tcPr>
            <w:tcW w:w="320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Greater than $89.83</w:t>
            </w:r>
          </w:p>
        </w:tc>
        <w:tc>
          <w:tcPr>
            <w:tcW w:w="336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1,350,000</w:t>
            </w:r>
          </w:p>
        </w:tc>
      </w:tr>
      <w:tr>
        <w:trPr>
          <w:trHeight w:val="198"/>
        </w:trPr>
        <w:tc>
          <w:tcPr>
            <w:tcW w:w="320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Greater than $103.26</w:t>
            </w:r>
          </w:p>
        </w:tc>
        <w:tc>
          <w:tcPr>
            <w:tcW w:w="3360" w:type="dxa"/>
            <w:vAlign w:val="bottom"/>
            <w:tcBorders>
              <w:top w:val="single" w:sz="8" w:color="6D6F71"/>
            </w:tcBorders>
          </w:tcPr>
          <w:p>
            <w:pPr>
              <w:jc w:val="center"/>
              <w:ind w:left="8"/>
              <w:spacing w:after="0"/>
              <w:rPr>
                <w:sz w:val="20"/>
                <w:szCs w:val="20"/>
                <w:color w:val="auto"/>
              </w:rPr>
            </w:pPr>
            <w:r>
              <w:rPr>
                <w:rFonts w:ascii="Arial" w:cs="Arial" w:eastAsia="Arial" w:hAnsi="Arial"/>
                <w:sz w:val="14"/>
                <w:szCs w:val="14"/>
                <w:color w:val="auto"/>
              </w:rPr>
              <w:t>1,500,000</w:t>
            </w:r>
          </w:p>
        </w:tc>
      </w:tr>
      <w:tr>
        <w:trPr>
          <w:trHeight w:val="39"/>
        </w:trPr>
        <w:tc>
          <w:tcPr>
            <w:tcW w:w="3200" w:type="dxa"/>
            <w:vAlign w:val="bottom"/>
            <w:tcBorders>
              <w:bottom w:val="single" w:sz="8" w:color="6D6F71"/>
            </w:tcBorders>
          </w:tcPr>
          <w:p>
            <w:pPr>
              <w:spacing w:after="0"/>
              <w:rPr>
                <w:sz w:val="3"/>
                <w:szCs w:val="3"/>
                <w:color w:val="auto"/>
              </w:rPr>
            </w:pPr>
          </w:p>
        </w:tc>
        <w:tc>
          <w:tcPr>
            <w:tcW w:w="3360" w:type="dxa"/>
            <w:vAlign w:val="bottom"/>
            <w:tcBorders>
              <w:bottom w:val="single" w:sz="8" w:color="6D6F71"/>
            </w:tcBorders>
          </w:tcPr>
          <w:p>
            <w:pPr>
              <w:spacing w:after="0"/>
              <w:rPr>
                <w:sz w:val="3"/>
                <w:szCs w:val="3"/>
                <w:color w:val="auto"/>
              </w:rPr>
            </w:pPr>
          </w:p>
        </w:tc>
      </w:tr>
    </w:tbl>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2B292A"/>
        </w:rPr>
        <w:t>Once a number of shares subject to the option have vested upon the occurrence of a liquidity event, the number of vested shares subject to the option will not be reduced if the Liquidity Event Value in a subsequent liquidity event is lower than the Liquidity Event Value in the prior liquidity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2240" w:type="dxa"/>
            <w:vAlign w:val="bottom"/>
          </w:tcPr>
          <w:p>
            <w:pPr>
              <w:ind w:left="1260"/>
              <w:spacing w:after="0"/>
              <w:rPr>
                <w:sz w:val="20"/>
                <w:szCs w:val="20"/>
                <w:color w:val="auto"/>
              </w:rPr>
            </w:pPr>
            <w:r>
              <w:rPr>
                <w:rFonts w:ascii="Arial" w:cs="Arial" w:eastAsia="Arial" w:hAnsi="Arial"/>
                <w:sz w:val="14"/>
                <w:szCs w:val="14"/>
                <w:color w:val="auto"/>
              </w:rPr>
              <w:t>Option Awards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2"/>
          </w:tcPr>
          <w:p>
            <w:pPr>
              <w:jc w:val="right"/>
              <w:ind w:right="1210"/>
              <w:spacing w:after="0"/>
              <w:rPr>
                <w:sz w:val="20"/>
                <w:szCs w:val="20"/>
                <w:color w:val="auto"/>
              </w:rPr>
            </w:pPr>
            <w:r>
              <w:rPr>
                <w:rFonts w:ascii="Arial" w:cs="Arial" w:eastAsia="Arial" w:hAnsi="Arial"/>
                <w:sz w:val="14"/>
                <w:szCs w:val="14"/>
                <w:color w:val="auto"/>
              </w:rPr>
              <w:t>Stock Awards</w:t>
            </w:r>
          </w:p>
        </w:tc>
      </w:tr>
      <w:tr>
        <w:trPr>
          <w:trHeight w:val="39"/>
        </w:trPr>
        <w:tc>
          <w:tcPr>
            <w:tcW w:w="4260" w:type="dxa"/>
            <w:vAlign w:val="bottom"/>
            <w:tcBorders>
              <w:bottom w:val="single" w:sz="8" w:color="CCEEFF"/>
            </w:tcBorders>
          </w:tcPr>
          <w:p>
            <w:pPr>
              <w:spacing w:after="0"/>
              <w:rPr>
                <w:sz w:val="3"/>
                <w:szCs w:val="3"/>
                <w:color w:val="auto"/>
              </w:rPr>
            </w:pPr>
          </w:p>
        </w:tc>
        <w:tc>
          <w:tcPr>
            <w:tcW w:w="2240" w:type="dxa"/>
            <w:vAlign w:val="bottom"/>
            <w:tcBorders>
              <w:bottom w:val="single" w:sz="8" w:color="6D6F71"/>
            </w:tcBorders>
          </w:tcPr>
          <w:p>
            <w:pPr>
              <w:spacing w:after="0"/>
              <w:rPr>
                <w:sz w:val="3"/>
                <w:szCs w:val="3"/>
                <w:color w:val="auto"/>
              </w:rPr>
            </w:pPr>
          </w:p>
        </w:tc>
        <w:tc>
          <w:tcPr>
            <w:tcW w:w="1220" w:type="dxa"/>
            <w:vAlign w:val="bottom"/>
            <w:tcBorders>
              <w:bottom w:val="single" w:sz="8" w:color="6D6F71"/>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6D6F71"/>
            </w:tcBorders>
          </w:tcPr>
          <w:p>
            <w:pPr>
              <w:spacing w:after="0"/>
              <w:rPr>
                <w:sz w:val="3"/>
                <w:szCs w:val="3"/>
                <w:color w:val="auto"/>
              </w:rPr>
            </w:pPr>
          </w:p>
        </w:tc>
        <w:tc>
          <w:tcPr>
            <w:tcW w:w="1800" w:type="dxa"/>
            <w:vAlign w:val="bottom"/>
            <w:tcBorders>
              <w:bottom w:val="single" w:sz="8" w:color="6D6F71"/>
            </w:tcBorders>
          </w:tcPr>
          <w:p>
            <w:pPr>
              <w:spacing w:after="0"/>
              <w:rPr>
                <w:sz w:val="3"/>
                <w:szCs w:val="3"/>
                <w:color w:val="auto"/>
              </w:rPr>
            </w:pPr>
          </w:p>
        </w:tc>
      </w:tr>
      <w:tr>
        <w:trPr>
          <w:trHeight w:val="198"/>
        </w:trPr>
        <w:tc>
          <w:tcPr>
            <w:tcW w:w="4260" w:type="dxa"/>
            <w:vAlign w:val="bottom"/>
            <w:shd w:val="clear" w:color="auto" w:fill="CCEEFF"/>
          </w:tcPr>
          <w:p>
            <w:pPr>
              <w:spacing w:after="0"/>
              <w:rPr>
                <w:sz w:val="17"/>
                <w:szCs w:val="17"/>
                <w:color w:val="auto"/>
              </w:rPr>
            </w:pPr>
          </w:p>
        </w:tc>
        <w:tc>
          <w:tcPr>
            <w:tcW w:w="22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Number of</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189"/>
        </w:trPr>
        <w:tc>
          <w:tcPr>
            <w:tcW w:w="4260" w:type="dxa"/>
            <w:vAlign w:val="bottom"/>
            <w:shd w:val="clear" w:color="auto" w:fill="CCEEFF"/>
          </w:tcPr>
          <w:p>
            <w:pPr>
              <w:spacing w:after="0"/>
              <w:rPr>
                <w:sz w:val="16"/>
                <w:szCs w:val="16"/>
                <w:color w:val="auto"/>
              </w:rPr>
            </w:pPr>
          </w:p>
        </w:tc>
        <w:tc>
          <w:tcPr>
            <w:tcW w:w="2240" w:type="dxa"/>
            <w:vAlign w:val="bottom"/>
            <w:shd w:val="clear" w:color="auto" w:fill="CCEEFF"/>
          </w:tcPr>
          <w:p>
            <w:pPr>
              <w:jc w:val="center"/>
              <w:ind w:right="428"/>
              <w:spacing w:after="0"/>
              <w:rPr>
                <w:sz w:val="20"/>
                <w:szCs w:val="20"/>
                <w:color w:val="auto"/>
              </w:rPr>
            </w:pPr>
            <w:r>
              <w:rPr>
                <w:rFonts w:ascii="Arial" w:cs="Arial" w:eastAsia="Arial" w:hAnsi="Arial"/>
                <w:sz w:val="14"/>
                <w:szCs w:val="14"/>
                <w:color w:val="auto"/>
              </w:rPr>
              <w:t>Shares Acquired on</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Value Realized on</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Number of Shares</w:t>
            </w:r>
          </w:p>
        </w:tc>
        <w:tc>
          <w:tcPr>
            <w:tcW w:w="1800" w:type="dxa"/>
            <w:vAlign w:val="bottom"/>
            <w:shd w:val="clear" w:color="auto" w:fill="CCEEFF"/>
          </w:tcPr>
          <w:p>
            <w:pPr>
              <w:spacing w:after="0"/>
              <w:rPr>
                <w:sz w:val="16"/>
                <w:szCs w:val="16"/>
                <w:color w:val="auto"/>
              </w:rPr>
            </w:pPr>
          </w:p>
        </w:tc>
      </w:tr>
      <w:tr>
        <w:trPr>
          <w:trHeight w:val="155"/>
        </w:trPr>
        <w:tc>
          <w:tcPr>
            <w:tcW w:w="4260" w:type="dxa"/>
            <w:vAlign w:val="bottom"/>
            <w:shd w:val="clear" w:color="auto" w:fill="CCEEFF"/>
          </w:tcPr>
          <w:p>
            <w:pPr>
              <w:spacing w:after="0"/>
              <w:rPr>
                <w:sz w:val="13"/>
                <w:szCs w:val="13"/>
                <w:color w:val="auto"/>
              </w:rPr>
            </w:pPr>
          </w:p>
        </w:tc>
        <w:tc>
          <w:tcPr>
            <w:tcW w:w="2240" w:type="dxa"/>
            <w:vAlign w:val="bottom"/>
            <w:shd w:val="clear" w:color="auto" w:fill="CCEEFF"/>
          </w:tcPr>
          <w:p>
            <w:pPr>
              <w:jc w:val="center"/>
              <w:ind w:right="428"/>
              <w:spacing w:after="0" w:line="155" w:lineRule="exact"/>
              <w:rPr>
                <w:sz w:val="20"/>
                <w:szCs w:val="20"/>
                <w:color w:val="auto"/>
              </w:rPr>
            </w:pPr>
            <w:r>
              <w:rPr>
                <w:rFonts w:ascii="Arial" w:cs="Arial" w:eastAsia="Arial" w:hAnsi="Arial"/>
                <w:sz w:val="14"/>
                <w:szCs w:val="14"/>
                <w:color w:val="auto"/>
              </w:rPr>
              <w:t>Exercise</w:t>
            </w: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Exercise</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Acquired on Vesting</w:t>
            </w:r>
          </w:p>
        </w:tc>
        <w:tc>
          <w:tcPr>
            <w:tcW w:w="1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Value Realized on Vesting</w:t>
            </w:r>
          </w:p>
        </w:tc>
      </w:tr>
      <w:tr>
        <w:trPr>
          <w:trHeight w:val="248"/>
        </w:trPr>
        <w:tc>
          <w:tcPr>
            <w:tcW w:w="4260" w:type="dxa"/>
            <w:vAlign w:val="bottom"/>
            <w:tcBorders>
              <w:bottom w:val="single" w:sz="8" w:color="6D6F71"/>
            </w:tcBorders>
            <w:shd w:val="clear" w:color="auto" w:fill="CCEEFF"/>
          </w:tcPr>
          <w:p>
            <w:pPr>
              <w:jc w:val="center"/>
              <w:spacing w:after="0"/>
              <w:rPr>
                <w:sz w:val="20"/>
                <w:szCs w:val="20"/>
                <w:color w:val="auto"/>
              </w:rPr>
            </w:pPr>
            <w:r>
              <w:rPr>
                <w:rFonts w:ascii="Arial" w:cs="Arial" w:eastAsia="Arial" w:hAnsi="Arial"/>
                <w:sz w:val="14"/>
                <w:szCs w:val="14"/>
                <w:color w:val="auto"/>
              </w:rPr>
              <w:t>Name</w:t>
            </w:r>
          </w:p>
        </w:tc>
        <w:tc>
          <w:tcPr>
            <w:tcW w:w="2240" w:type="dxa"/>
            <w:vAlign w:val="bottom"/>
            <w:tcBorders>
              <w:bottom w:val="single" w:sz="8" w:color="6D6F71"/>
            </w:tcBorders>
            <w:shd w:val="clear" w:color="auto" w:fill="CCEEFF"/>
          </w:tcPr>
          <w:p>
            <w:pPr>
              <w:jc w:val="center"/>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D6F71"/>
            </w:tcBorders>
            <w:shd w:val="clear" w:color="auto" w:fill="CCEEFF"/>
          </w:tcPr>
          <w:p>
            <w:pPr>
              <w:jc w:val="right"/>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w:t>
            </w:r>
          </w:p>
        </w:tc>
        <w:tc>
          <w:tcPr>
            <w:tcW w:w="1720" w:type="dxa"/>
            <w:vAlign w:val="bottom"/>
            <w:tcBorders>
              <w:bottom w:val="single" w:sz="8" w:color="6D6F71"/>
            </w:tcBorders>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6D6F71"/>
            </w:tcBorders>
            <w:shd w:val="clear" w:color="auto" w:fill="CCEEFF"/>
          </w:tcPr>
          <w:p>
            <w:pPr>
              <w:jc w:val="right"/>
              <w:spacing w:after="0" w:line="249"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r>
      <w:tr>
        <w:trPr>
          <w:trHeight w:val="198"/>
        </w:trPr>
        <w:tc>
          <w:tcPr>
            <w:tcW w:w="4260" w:type="dxa"/>
            <w:vAlign w:val="bottom"/>
          </w:tcPr>
          <w:p>
            <w:pPr>
              <w:jc w:val="center"/>
              <w:spacing w:after="0"/>
              <w:rPr>
                <w:sz w:val="20"/>
                <w:szCs w:val="20"/>
                <w:color w:val="auto"/>
              </w:rPr>
            </w:pPr>
            <w:r>
              <w:rPr>
                <w:rFonts w:ascii="Arial" w:cs="Arial" w:eastAsia="Arial" w:hAnsi="Arial"/>
                <w:sz w:val="14"/>
                <w:szCs w:val="14"/>
                <w:color w:val="auto"/>
              </w:rPr>
              <w:t>Christopher Gibson</w:t>
            </w:r>
          </w:p>
        </w:tc>
        <w:tc>
          <w:tcPr>
            <w:tcW w:w="2240" w:type="dxa"/>
            <w:vAlign w:val="bottom"/>
          </w:tcPr>
          <w:p>
            <w:pPr>
              <w:jc w:val="center"/>
              <w:ind w:right="448"/>
              <w:spacing w:after="0"/>
              <w:rPr>
                <w:sz w:val="20"/>
                <w:szCs w:val="20"/>
                <w:color w:val="auto"/>
              </w:rPr>
            </w:pPr>
            <w:r>
              <w:rPr>
                <w:rFonts w:ascii="Arial" w:cs="Arial" w:eastAsia="Arial" w:hAnsi="Arial"/>
                <w:sz w:val="14"/>
                <w:szCs w:val="14"/>
                <w:color w:val="auto"/>
              </w:rPr>
              <w:t>690,104</w:t>
            </w:r>
          </w:p>
        </w:tc>
        <w:tc>
          <w:tcPr>
            <w:tcW w:w="1220" w:type="dxa"/>
            <w:vAlign w:val="bottom"/>
          </w:tcPr>
          <w:p>
            <w:pPr>
              <w:jc w:val="right"/>
              <w:spacing w:after="0"/>
              <w:rPr>
                <w:sz w:val="20"/>
                <w:szCs w:val="20"/>
                <w:color w:val="auto"/>
              </w:rPr>
            </w:pPr>
            <w:r>
              <w:rPr>
                <w:rFonts w:ascii="Arial" w:cs="Arial" w:eastAsia="Arial" w:hAnsi="Arial"/>
                <w:sz w:val="14"/>
                <w:szCs w:val="14"/>
                <w:color w:val="auto"/>
              </w:rPr>
              <w:t>3,520,561</w:t>
            </w:r>
          </w:p>
        </w:tc>
        <w:tc>
          <w:tcPr>
            <w:tcW w:w="1720" w:type="dxa"/>
            <w:vAlign w:val="bottom"/>
            <w:gridSpan w:val="2"/>
          </w:tcPr>
          <w:p>
            <w:pPr>
              <w:jc w:val="center"/>
              <w:ind w:left="128"/>
              <w:spacing w:after="0"/>
              <w:rPr>
                <w:sz w:val="20"/>
                <w:szCs w:val="20"/>
                <w:color w:val="auto"/>
              </w:rPr>
            </w:pPr>
            <w:r>
              <w:rPr>
                <w:rFonts w:ascii="Arial" w:cs="Arial" w:eastAsia="Arial" w:hAnsi="Arial"/>
                <w:sz w:val="14"/>
                <w:szCs w:val="14"/>
                <w:color w:val="auto"/>
              </w:rPr>
              <w:t>41,750</w:t>
            </w:r>
          </w:p>
        </w:tc>
        <w:tc>
          <w:tcPr>
            <w:tcW w:w="1800" w:type="dxa"/>
            <w:vAlign w:val="bottom"/>
          </w:tcPr>
          <w:p>
            <w:pPr>
              <w:jc w:val="right"/>
              <w:spacing w:after="0"/>
              <w:rPr>
                <w:sz w:val="20"/>
                <w:szCs w:val="20"/>
                <w:color w:val="auto"/>
              </w:rPr>
            </w:pPr>
            <w:r>
              <w:rPr>
                <w:rFonts w:ascii="Arial" w:cs="Arial" w:eastAsia="Arial" w:hAnsi="Arial"/>
                <w:sz w:val="14"/>
                <w:szCs w:val="14"/>
                <w:color w:val="auto"/>
              </w:rPr>
              <w:t>427,685</w:t>
            </w:r>
          </w:p>
        </w:tc>
      </w:tr>
      <w:tr>
        <w:trPr>
          <w:trHeight w:val="39"/>
        </w:trPr>
        <w:tc>
          <w:tcPr>
            <w:tcW w:w="4260" w:type="dxa"/>
            <w:vAlign w:val="bottom"/>
            <w:tcBorders>
              <w:bottom w:val="single" w:sz="8" w:color="6D6F71"/>
            </w:tcBorders>
          </w:tcPr>
          <w:p>
            <w:pPr>
              <w:spacing w:after="0"/>
              <w:rPr>
                <w:sz w:val="3"/>
                <w:szCs w:val="3"/>
                <w:color w:val="auto"/>
              </w:rPr>
            </w:pPr>
          </w:p>
        </w:tc>
        <w:tc>
          <w:tcPr>
            <w:tcW w:w="2240" w:type="dxa"/>
            <w:vAlign w:val="bottom"/>
            <w:tcBorders>
              <w:bottom w:val="single" w:sz="8" w:color="6D6F71"/>
            </w:tcBorders>
          </w:tcPr>
          <w:p>
            <w:pPr>
              <w:spacing w:after="0"/>
              <w:rPr>
                <w:sz w:val="3"/>
                <w:szCs w:val="3"/>
                <w:color w:val="auto"/>
              </w:rPr>
            </w:pPr>
          </w:p>
        </w:tc>
        <w:tc>
          <w:tcPr>
            <w:tcW w:w="1220" w:type="dxa"/>
            <w:vAlign w:val="bottom"/>
            <w:tcBorders>
              <w:bottom w:val="single" w:sz="8" w:color="6D6F71"/>
            </w:tcBorders>
          </w:tcPr>
          <w:p>
            <w:pPr>
              <w:spacing w:after="0"/>
              <w:rPr>
                <w:sz w:val="3"/>
                <w:szCs w:val="3"/>
                <w:color w:val="auto"/>
              </w:rPr>
            </w:pPr>
          </w:p>
        </w:tc>
        <w:tc>
          <w:tcPr>
            <w:tcW w:w="100" w:type="dxa"/>
            <w:vAlign w:val="bottom"/>
            <w:tcBorders>
              <w:bottom w:val="single" w:sz="8" w:color="6D6F71"/>
            </w:tcBorders>
          </w:tcPr>
          <w:p>
            <w:pPr>
              <w:spacing w:after="0"/>
              <w:rPr>
                <w:sz w:val="3"/>
                <w:szCs w:val="3"/>
                <w:color w:val="auto"/>
              </w:rPr>
            </w:pPr>
          </w:p>
        </w:tc>
        <w:tc>
          <w:tcPr>
            <w:tcW w:w="1620" w:type="dxa"/>
            <w:vAlign w:val="bottom"/>
            <w:tcBorders>
              <w:bottom w:val="single" w:sz="8" w:color="6D6F71"/>
            </w:tcBorders>
          </w:tcPr>
          <w:p>
            <w:pPr>
              <w:spacing w:after="0"/>
              <w:rPr>
                <w:sz w:val="3"/>
                <w:szCs w:val="3"/>
                <w:color w:val="auto"/>
              </w:rPr>
            </w:pPr>
          </w:p>
        </w:tc>
        <w:tc>
          <w:tcPr>
            <w:tcW w:w="1800" w:type="dxa"/>
            <w:vAlign w:val="bottom"/>
            <w:tcBorders>
              <w:bottom w:val="single" w:sz="8" w:color="6D6F71"/>
            </w:tcBorders>
          </w:tcPr>
          <w:p>
            <w:pPr>
              <w:spacing w:after="0"/>
              <w:rPr>
                <w:sz w:val="3"/>
                <w:szCs w:val="3"/>
                <w:color w:val="auto"/>
              </w:rPr>
            </w:pPr>
          </w:p>
        </w:tc>
      </w:tr>
      <w:tr>
        <w:trPr>
          <w:trHeight w:val="242"/>
        </w:trPr>
        <w:tc>
          <w:tcPr>
            <w:tcW w:w="4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Tina Marriott Larson</w:t>
            </w:r>
          </w:p>
        </w:tc>
        <w:tc>
          <w:tcPr>
            <w:tcW w:w="2240" w:type="dxa"/>
            <w:vAlign w:val="bottom"/>
            <w:tcBorders>
              <w:bottom w:val="single" w:sz="8" w:color="CCEEFF"/>
            </w:tcBorders>
            <w:shd w:val="clear" w:color="auto" w:fill="CCEEFF"/>
          </w:tcPr>
          <w:p>
            <w:pPr>
              <w:jc w:val="center"/>
              <w:ind w:right="448"/>
              <w:spacing w:after="0"/>
              <w:rPr>
                <w:sz w:val="20"/>
                <w:szCs w:val="20"/>
                <w:color w:val="auto"/>
              </w:rPr>
            </w:pPr>
            <w:r>
              <w:rPr>
                <w:rFonts w:ascii="Arial" w:cs="Arial" w:eastAsia="Arial" w:hAnsi="Arial"/>
                <w:sz w:val="14"/>
                <w:szCs w:val="14"/>
                <w:color w:val="auto"/>
              </w:rPr>
              <w:t>150,500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1,280,277</w:t>
            </w:r>
          </w:p>
        </w:tc>
        <w:tc>
          <w:tcPr>
            <w:tcW w:w="17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17,317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178,957</w:t>
            </w:r>
          </w:p>
        </w:tc>
      </w:tr>
      <w:tr>
        <w:trPr>
          <w:trHeight w:val="197"/>
        </w:trPr>
        <w:tc>
          <w:tcPr>
            <w:tcW w:w="426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Michael Secora</w:t>
            </w:r>
          </w:p>
        </w:tc>
        <w:tc>
          <w:tcPr>
            <w:tcW w:w="2240" w:type="dxa"/>
            <w:vAlign w:val="bottom"/>
            <w:tcBorders>
              <w:top w:val="single" w:sz="8" w:color="6D6F71"/>
            </w:tcBorders>
          </w:tcPr>
          <w:p>
            <w:pPr>
              <w:jc w:val="center"/>
              <w:ind w:right="428"/>
              <w:spacing w:after="0"/>
              <w:rPr>
                <w:sz w:val="20"/>
                <w:szCs w:val="20"/>
                <w:color w:val="auto"/>
              </w:rPr>
            </w:pPr>
            <w:r>
              <w:rPr>
                <w:rFonts w:ascii="Arial" w:cs="Arial" w:eastAsia="Arial" w:hAnsi="Arial"/>
                <w:sz w:val="14"/>
                <w:szCs w:val="14"/>
                <w:color w:val="auto"/>
                <w:w w:val="99"/>
              </w:rPr>
              <w:t>—</w:t>
            </w:r>
          </w:p>
        </w:tc>
        <w:tc>
          <w:tcPr>
            <w:tcW w:w="122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6D6F71"/>
            </w:tcBorders>
            <w:gridSpan w:val="2"/>
          </w:tcPr>
          <w:p>
            <w:pPr>
              <w:jc w:val="center"/>
              <w:ind w:left="128"/>
              <w:spacing w:after="0"/>
              <w:rPr>
                <w:sz w:val="20"/>
                <w:szCs w:val="20"/>
                <w:color w:val="auto"/>
              </w:rPr>
            </w:pPr>
            <w:r>
              <w:rPr>
                <w:rFonts w:ascii="Arial" w:cs="Arial" w:eastAsia="Arial" w:hAnsi="Arial"/>
                <w:sz w:val="14"/>
                <w:szCs w:val="14"/>
                <w:color w:val="auto"/>
              </w:rPr>
              <w:t>12,895</w:t>
            </w:r>
          </w:p>
        </w:tc>
        <w:tc>
          <w:tcPr>
            <w:tcW w:w="180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133,476</w:t>
            </w:r>
          </w:p>
        </w:tc>
      </w:tr>
      <w:tr>
        <w:trPr>
          <w:trHeight w:val="39"/>
        </w:trPr>
        <w:tc>
          <w:tcPr>
            <w:tcW w:w="4260" w:type="dxa"/>
            <w:vAlign w:val="bottom"/>
            <w:tcBorders>
              <w:bottom w:val="single" w:sz="8" w:color="6D6F71"/>
            </w:tcBorders>
          </w:tcPr>
          <w:p>
            <w:pPr>
              <w:spacing w:after="0"/>
              <w:rPr>
                <w:sz w:val="3"/>
                <w:szCs w:val="3"/>
                <w:color w:val="auto"/>
              </w:rPr>
            </w:pPr>
          </w:p>
        </w:tc>
        <w:tc>
          <w:tcPr>
            <w:tcW w:w="2240" w:type="dxa"/>
            <w:vAlign w:val="bottom"/>
            <w:tcBorders>
              <w:bottom w:val="single" w:sz="8" w:color="6D6F71"/>
            </w:tcBorders>
          </w:tcPr>
          <w:p>
            <w:pPr>
              <w:spacing w:after="0"/>
              <w:rPr>
                <w:sz w:val="3"/>
                <w:szCs w:val="3"/>
                <w:color w:val="auto"/>
              </w:rPr>
            </w:pPr>
          </w:p>
        </w:tc>
        <w:tc>
          <w:tcPr>
            <w:tcW w:w="1220" w:type="dxa"/>
            <w:vAlign w:val="bottom"/>
            <w:tcBorders>
              <w:bottom w:val="single" w:sz="8" w:color="6D6F71"/>
            </w:tcBorders>
          </w:tcPr>
          <w:p>
            <w:pPr>
              <w:spacing w:after="0"/>
              <w:rPr>
                <w:sz w:val="3"/>
                <w:szCs w:val="3"/>
                <w:color w:val="auto"/>
              </w:rPr>
            </w:pPr>
          </w:p>
        </w:tc>
        <w:tc>
          <w:tcPr>
            <w:tcW w:w="100" w:type="dxa"/>
            <w:vAlign w:val="bottom"/>
            <w:tcBorders>
              <w:bottom w:val="single" w:sz="8" w:color="6D6F71"/>
            </w:tcBorders>
          </w:tcPr>
          <w:p>
            <w:pPr>
              <w:spacing w:after="0"/>
              <w:rPr>
                <w:sz w:val="3"/>
                <w:szCs w:val="3"/>
                <w:color w:val="auto"/>
              </w:rPr>
            </w:pPr>
          </w:p>
        </w:tc>
        <w:tc>
          <w:tcPr>
            <w:tcW w:w="1620" w:type="dxa"/>
            <w:vAlign w:val="bottom"/>
            <w:tcBorders>
              <w:bottom w:val="single" w:sz="8" w:color="6D6F71"/>
            </w:tcBorders>
          </w:tcPr>
          <w:p>
            <w:pPr>
              <w:spacing w:after="0"/>
              <w:rPr>
                <w:sz w:val="3"/>
                <w:szCs w:val="3"/>
                <w:color w:val="auto"/>
              </w:rPr>
            </w:pPr>
          </w:p>
        </w:tc>
        <w:tc>
          <w:tcPr>
            <w:tcW w:w="1800" w:type="dxa"/>
            <w:vAlign w:val="bottom"/>
            <w:tcBorders>
              <w:bottom w:val="single" w:sz="8" w:color="6D6F71"/>
            </w:tcBorders>
          </w:tcPr>
          <w:p>
            <w:pPr>
              <w:spacing w:after="0"/>
              <w:rPr>
                <w:sz w:val="3"/>
                <w:szCs w:val="3"/>
                <w:color w:val="auto"/>
              </w:rPr>
            </w:pPr>
          </w:p>
        </w:tc>
      </w:tr>
      <w:tr>
        <w:trPr>
          <w:trHeight w:val="241"/>
        </w:trPr>
        <w:tc>
          <w:tcPr>
            <w:tcW w:w="4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Shafique Virani</w:t>
            </w:r>
          </w:p>
        </w:tc>
        <w:tc>
          <w:tcPr>
            <w:tcW w:w="2240" w:type="dxa"/>
            <w:vAlign w:val="bottom"/>
            <w:tcBorders>
              <w:bottom w:val="single" w:sz="8" w:color="CCEEFF"/>
            </w:tcBorders>
            <w:shd w:val="clear" w:color="auto" w:fill="CCEEFF"/>
          </w:tcPr>
          <w:p>
            <w:pPr>
              <w:jc w:val="center"/>
              <w:ind w:right="448"/>
              <w:spacing w:after="0"/>
              <w:rPr>
                <w:sz w:val="20"/>
                <w:szCs w:val="20"/>
                <w:color w:val="auto"/>
              </w:rPr>
            </w:pPr>
            <w:r>
              <w:rPr>
                <w:rFonts w:ascii="Arial" w:cs="Arial" w:eastAsia="Arial" w:hAnsi="Arial"/>
                <w:sz w:val="14"/>
                <w:szCs w:val="14"/>
                <w:color w:val="auto"/>
              </w:rPr>
              <w:t>45,000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445,758</w:t>
            </w:r>
          </w:p>
        </w:tc>
        <w:tc>
          <w:tcPr>
            <w:tcW w:w="1720" w:type="dxa"/>
            <w:vAlign w:val="bottom"/>
            <w:tcBorders>
              <w:bottom w:val="single" w:sz="8" w:color="CCEEFF"/>
            </w:tcBorders>
            <w:gridSpan w:val="2"/>
            <w:shd w:val="clear" w:color="auto" w:fill="CCEEFF"/>
          </w:tcPr>
          <w:p>
            <w:pPr>
              <w:jc w:val="center"/>
              <w:ind w:left="128"/>
              <w:spacing w:after="0"/>
              <w:rPr>
                <w:sz w:val="20"/>
                <w:szCs w:val="20"/>
                <w:color w:val="auto"/>
              </w:rPr>
            </w:pPr>
            <w:r>
              <w:rPr>
                <w:rFonts w:ascii="Arial" w:cs="Arial" w:eastAsia="Arial" w:hAnsi="Arial"/>
                <w:sz w:val="14"/>
                <w:szCs w:val="14"/>
                <w:color w:val="auto"/>
              </w:rPr>
              <w:t>10,260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107,637</w:t>
            </w:r>
          </w:p>
        </w:tc>
      </w:tr>
      <w:tr>
        <w:trPr>
          <w:trHeight w:val="198"/>
        </w:trPr>
        <w:tc>
          <w:tcPr>
            <w:tcW w:w="4260" w:type="dxa"/>
            <w:vAlign w:val="bottom"/>
            <w:tcBorders>
              <w:top w:val="single" w:sz="8" w:color="6D6F71"/>
            </w:tcBorders>
          </w:tcPr>
          <w:p>
            <w:pPr>
              <w:jc w:val="center"/>
              <w:spacing w:after="0"/>
              <w:rPr>
                <w:sz w:val="20"/>
                <w:szCs w:val="20"/>
                <w:color w:val="auto"/>
              </w:rPr>
            </w:pPr>
            <w:r>
              <w:rPr>
                <w:rFonts w:ascii="Arial" w:cs="Arial" w:eastAsia="Arial" w:hAnsi="Arial"/>
                <w:sz w:val="14"/>
                <w:szCs w:val="14"/>
                <w:color w:val="auto"/>
              </w:rPr>
              <w:t>Ramona Doyle</w:t>
            </w:r>
          </w:p>
        </w:tc>
        <w:tc>
          <w:tcPr>
            <w:tcW w:w="2240" w:type="dxa"/>
            <w:vAlign w:val="bottom"/>
            <w:tcBorders>
              <w:top w:val="single" w:sz="8" w:color="6D6F71"/>
            </w:tcBorders>
          </w:tcPr>
          <w:p>
            <w:pPr>
              <w:jc w:val="center"/>
              <w:ind w:right="448"/>
              <w:spacing w:after="0"/>
              <w:rPr>
                <w:sz w:val="20"/>
                <w:szCs w:val="20"/>
                <w:color w:val="auto"/>
              </w:rPr>
            </w:pPr>
            <w:r>
              <w:rPr>
                <w:rFonts w:ascii="Arial" w:cs="Arial" w:eastAsia="Arial" w:hAnsi="Arial"/>
                <w:sz w:val="14"/>
                <w:szCs w:val="14"/>
                <w:color w:val="auto"/>
              </w:rPr>
              <w:t>265,625</w:t>
            </w:r>
          </w:p>
        </w:tc>
        <w:tc>
          <w:tcPr>
            <w:tcW w:w="122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2,146,210</w:t>
            </w:r>
          </w:p>
        </w:tc>
        <w:tc>
          <w:tcPr>
            <w:tcW w:w="1720" w:type="dxa"/>
            <w:vAlign w:val="bottom"/>
            <w:tcBorders>
              <w:top w:val="single" w:sz="8" w:color="6D6F71"/>
            </w:tcBorders>
            <w:gridSpan w:val="2"/>
          </w:tcPr>
          <w:p>
            <w:pPr>
              <w:jc w:val="center"/>
              <w:ind w:left="128"/>
              <w:spacing w:after="0"/>
              <w:rPr>
                <w:sz w:val="20"/>
                <w:szCs w:val="20"/>
                <w:color w:val="auto"/>
              </w:rPr>
            </w:pPr>
            <w:r>
              <w:rPr>
                <w:rFonts w:ascii="Arial" w:cs="Arial" w:eastAsia="Arial" w:hAnsi="Arial"/>
                <w:sz w:val="14"/>
                <w:szCs w:val="14"/>
                <w:color w:val="auto"/>
              </w:rPr>
              <w:t>4,798</w:t>
            </w:r>
          </w:p>
        </w:tc>
        <w:tc>
          <w:tcPr>
            <w:tcW w:w="180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40,911</w:t>
            </w:r>
          </w:p>
        </w:tc>
      </w:tr>
      <w:tr>
        <w:trPr>
          <w:trHeight w:val="39"/>
        </w:trPr>
        <w:tc>
          <w:tcPr>
            <w:tcW w:w="4260" w:type="dxa"/>
            <w:vAlign w:val="bottom"/>
            <w:tcBorders>
              <w:bottom w:val="single" w:sz="8" w:color="6D6F71"/>
            </w:tcBorders>
          </w:tcPr>
          <w:p>
            <w:pPr>
              <w:spacing w:after="0"/>
              <w:rPr>
                <w:sz w:val="3"/>
                <w:szCs w:val="3"/>
                <w:color w:val="auto"/>
              </w:rPr>
            </w:pPr>
          </w:p>
        </w:tc>
        <w:tc>
          <w:tcPr>
            <w:tcW w:w="2240" w:type="dxa"/>
            <w:vAlign w:val="bottom"/>
            <w:tcBorders>
              <w:bottom w:val="single" w:sz="8" w:color="6D6F71"/>
            </w:tcBorders>
          </w:tcPr>
          <w:p>
            <w:pPr>
              <w:spacing w:after="0"/>
              <w:rPr>
                <w:sz w:val="3"/>
                <w:szCs w:val="3"/>
                <w:color w:val="auto"/>
              </w:rPr>
            </w:pPr>
          </w:p>
        </w:tc>
        <w:tc>
          <w:tcPr>
            <w:tcW w:w="1220" w:type="dxa"/>
            <w:vAlign w:val="bottom"/>
            <w:tcBorders>
              <w:bottom w:val="single" w:sz="8" w:color="6D6F71"/>
            </w:tcBorders>
          </w:tcPr>
          <w:p>
            <w:pPr>
              <w:spacing w:after="0"/>
              <w:rPr>
                <w:sz w:val="3"/>
                <w:szCs w:val="3"/>
                <w:color w:val="auto"/>
              </w:rPr>
            </w:pPr>
          </w:p>
        </w:tc>
        <w:tc>
          <w:tcPr>
            <w:tcW w:w="100" w:type="dxa"/>
            <w:vAlign w:val="bottom"/>
            <w:tcBorders>
              <w:bottom w:val="single" w:sz="8" w:color="6D6F71"/>
            </w:tcBorders>
          </w:tcPr>
          <w:p>
            <w:pPr>
              <w:spacing w:after="0"/>
              <w:rPr>
                <w:sz w:val="3"/>
                <w:szCs w:val="3"/>
                <w:color w:val="auto"/>
              </w:rPr>
            </w:pPr>
          </w:p>
        </w:tc>
        <w:tc>
          <w:tcPr>
            <w:tcW w:w="1620" w:type="dxa"/>
            <w:vAlign w:val="bottom"/>
            <w:tcBorders>
              <w:bottom w:val="single" w:sz="8" w:color="6D6F71"/>
            </w:tcBorders>
          </w:tcPr>
          <w:p>
            <w:pPr>
              <w:spacing w:after="0"/>
              <w:rPr>
                <w:sz w:val="3"/>
                <w:szCs w:val="3"/>
                <w:color w:val="auto"/>
              </w:rPr>
            </w:pPr>
          </w:p>
        </w:tc>
        <w:tc>
          <w:tcPr>
            <w:tcW w:w="1800" w:type="dxa"/>
            <w:vAlign w:val="bottom"/>
            <w:tcBorders>
              <w:bottom w:val="single" w:sz="8" w:color="6D6F71"/>
            </w:tcBorders>
          </w:tcPr>
          <w:p>
            <w:pPr>
              <w:spacing w:after="0"/>
              <w:rPr>
                <w:sz w:val="3"/>
                <w:szCs w:val="3"/>
                <w:color w:val="auto"/>
              </w:rPr>
            </w:pPr>
          </w:p>
        </w:tc>
      </w:tr>
    </w:tbl>
    <w:p>
      <w:pPr>
        <w:spacing w:after="0" w:line="319" w:lineRule="exact"/>
        <w:rPr>
          <w:sz w:val="20"/>
          <w:szCs w:val="20"/>
          <w:color w:val="auto"/>
        </w:rPr>
      </w:pPr>
    </w:p>
    <w:p>
      <w:pPr>
        <w:ind w:left="660" w:right="240" w:hanging="328"/>
        <w:spacing w:after="0" w:line="266" w:lineRule="auto"/>
        <w:tabs>
          <w:tab w:leader="none" w:pos="660" w:val="left"/>
        </w:tabs>
        <w:numPr>
          <w:ilvl w:val="0"/>
          <w:numId w:val="16"/>
        </w:numPr>
        <w:rPr>
          <w:rFonts w:ascii="Arial" w:cs="Arial" w:eastAsia="Arial" w:hAnsi="Arial"/>
          <w:sz w:val="14"/>
          <w:szCs w:val="14"/>
          <w:color w:val="2B292A"/>
        </w:rPr>
      </w:pPr>
      <w:r>
        <w:rPr>
          <w:rFonts w:ascii="Arial" w:cs="Arial" w:eastAsia="Arial" w:hAnsi="Arial"/>
          <w:sz w:val="14"/>
          <w:szCs w:val="14"/>
          <w:color w:val="2B292A"/>
        </w:rPr>
        <w:t>The value realized when the stock options were exercised represents (i) the excess of the closing price of a share of our common stock as reported on the Nasdaq Global Market on the date of exercise over the per share exercise price of the stock option, multiplied by (ii) the number of option shares exercised.</w:t>
      </w:r>
    </w:p>
    <w:p>
      <w:pPr>
        <w:ind w:left="660" w:right="360" w:hanging="328"/>
        <w:spacing w:after="0" w:line="28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2B292A"/>
        </w:rPr>
        <w:t>The value realized upon vesting of RSUs is calculated by multiplying the number of restricted stock awards or RSUs vested by the closing price market price of a share of our common stock as reported on the Nasdaq Global Market on the vest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B292A"/>
        </w:rPr>
        <w:t>The following table provides an estimate of the payments and benefits that would be provided in the circumstances described in the Company’s 2023 Proxy Statement under the heading “Potential Payments Upon Termination or Change In Control—Executive Change In Control And Severance Plan” for each of the NEOs (other than Dr. Doyle), assuming the triggering event took place on December 30, 2022 (the last business day of fiscal 2022) and based on the closing of our common stock on the Nasdaq Global Select Market on that date, which was $7.71. With respect to our former NEO, Ramona Doyle, who ceased employment with us during 2022, the table below reflects the following severance benefits that Dr. Doyle received as a result of such separation: (i) a lump sum payment of $336,600, representing 9 months of her annual base salary, and (ii) a taxable lump sum payment of $10,858, which is an amount equal to the premium cost of continued health coverage under COBRA for a period of 9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spacing w:after="0"/>
              <w:rPr>
                <w:sz w:val="15"/>
                <w:szCs w:val="15"/>
                <w:color w:val="auto"/>
              </w:rPr>
            </w:pPr>
          </w:p>
        </w:tc>
        <w:tc>
          <w:tcPr>
            <w:tcW w:w="4960" w:type="dxa"/>
            <w:vAlign w:val="bottom"/>
            <w:gridSpan w:val="2"/>
          </w:tcPr>
          <w:p>
            <w:pPr>
              <w:jc w:val="right"/>
              <w:ind w:right="48"/>
              <w:spacing w:after="0"/>
              <w:rPr>
                <w:sz w:val="20"/>
                <w:szCs w:val="20"/>
                <w:color w:val="auto"/>
              </w:rPr>
            </w:pPr>
            <w:r>
              <w:rPr>
                <w:rFonts w:ascii="Arial" w:cs="Arial" w:eastAsia="Arial" w:hAnsi="Arial"/>
                <w:sz w:val="14"/>
                <w:szCs w:val="14"/>
                <w:color w:val="auto"/>
              </w:rPr>
              <w:t>Potential Payable Upon Termination Without Cause, Resignation for Good</w:t>
            </w:r>
          </w:p>
        </w:tc>
      </w:tr>
      <w:tr>
        <w:trPr>
          <w:trHeight w:val="189"/>
        </w:trPr>
        <w:tc>
          <w:tcPr>
            <w:tcW w:w="6280" w:type="dxa"/>
            <w:vAlign w:val="bottom"/>
          </w:tcPr>
          <w:p>
            <w:pPr>
              <w:spacing w:after="0"/>
              <w:rPr>
                <w:sz w:val="16"/>
                <w:szCs w:val="16"/>
                <w:color w:val="auto"/>
              </w:rPr>
            </w:pPr>
          </w:p>
        </w:tc>
        <w:tc>
          <w:tcPr>
            <w:tcW w:w="4960" w:type="dxa"/>
            <w:vAlign w:val="bottom"/>
            <w:gridSpan w:val="2"/>
          </w:tcPr>
          <w:p>
            <w:pPr>
              <w:jc w:val="right"/>
              <w:ind w:right="1448"/>
              <w:spacing w:after="0"/>
              <w:rPr>
                <w:sz w:val="20"/>
                <w:szCs w:val="20"/>
                <w:color w:val="auto"/>
              </w:rPr>
            </w:pPr>
            <w:r>
              <w:rPr>
                <w:rFonts w:ascii="Arial" w:cs="Arial" w:eastAsia="Arial" w:hAnsi="Arial"/>
                <w:sz w:val="14"/>
                <w:szCs w:val="14"/>
                <w:color w:val="auto"/>
              </w:rPr>
              <w:t>Reason, or Death or Disability</w:t>
            </w:r>
          </w:p>
        </w:tc>
      </w:tr>
      <w:tr>
        <w:trPr>
          <w:trHeight w:val="39"/>
        </w:trPr>
        <w:tc>
          <w:tcPr>
            <w:tcW w:w="6280" w:type="dxa"/>
            <w:vAlign w:val="bottom"/>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197"/>
        </w:trPr>
        <w:tc>
          <w:tcPr>
            <w:tcW w:w="6280" w:type="dxa"/>
            <w:vAlign w:val="bottom"/>
          </w:tcPr>
          <w:p>
            <w:pPr>
              <w:spacing w:after="0"/>
              <w:rPr>
                <w:sz w:val="17"/>
                <w:szCs w:val="17"/>
                <w:color w:val="auto"/>
              </w:rPr>
            </w:pPr>
          </w:p>
        </w:tc>
        <w:tc>
          <w:tcPr>
            <w:tcW w:w="2900" w:type="dxa"/>
            <w:vAlign w:val="bottom"/>
          </w:tcPr>
          <w:p>
            <w:pPr>
              <w:jc w:val="right"/>
              <w:ind w:right="368"/>
              <w:spacing w:after="0"/>
              <w:rPr>
                <w:sz w:val="20"/>
                <w:szCs w:val="20"/>
                <w:color w:val="auto"/>
              </w:rPr>
            </w:pPr>
            <w:r>
              <w:rPr>
                <w:rFonts w:ascii="Arial" w:cs="Arial" w:eastAsia="Arial" w:hAnsi="Arial"/>
                <w:sz w:val="14"/>
                <w:szCs w:val="14"/>
                <w:color w:val="auto"/>
              </w:rPr>
              <w:t>Without a Change in Control</w:t>
            </w:r>
          </w:p>
        </w:tc>
        <w:tc>
          <w:tcPr>
            <w:tcW w:w="2060" w:type="dxa"/>
            <w:vAlign w:val="bottom"/>
          </w:tcPr>
          <w:p>
            <w:pPr>
              <w:jc w:val="right"/>
              <w:spacing w:after="0"/>
              <w:rPr>
                <w:sz w:val="20"/>
                <w:szCs w:val="20"/>
                <w:color w:val="auto"/>
              </w:rPr>
            </w:pPr>
            <w:r>
              <w:rPr>
                <w:rFonts w:ascii="Arial" w:cs="Arial" w:eastAsia="Arial" w:hAnsi="Arial"/>
                <w:sz w:val="14"/>
                <w:szCs w:val="14"/>
                <w:color w:val="auto"/>
              </w:rPr>
              <w:t>With a Change in Control</w:t>
            </w: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Name</w:t>
            </w:r>
          </w:p>
        </w:tc>
        <w:tc>
          <w:tcPr>
            <w:tcW w:w="29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6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8"/>
        </w:trPr>
        <w:tc>
          <w:tcPr>
            <w:tcW w:w="6280" w:type="dxa"/>
            <w:vAlign w:val="bottom"/>
          </w:tcPr>
          <w:p>
            <w:pPr>
              <w:ind w:left="20"/>
              <w:spacing w:after="0"/>
              <w:rPr>
                <w:sz w:val="20"/>
                <w:szCs w:val="20"/>
                <w:color w:val="auto"/>
              </w:rPr>
            </w:pPr>
            <w:r>
              <w:rPr>
                <w:rFonts w:ascii="Arial" w:cs="Arial" w:eastAsia="Arial" w:hAnsi="Arial"/>
                <w:sz w:val="14"/>
                <w:szCs w:val="14"/>
                <w:color w:val="auto"/>
              </w:rPr>
              <w:t>Christopher Gibson</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Salary</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520,000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520,000</w:t>
            </w:r>
          </w:p>
        </w:tc>
      </w:tr>
      <w:tr>
        <w:trPr>
          <w:trHeight w:val="197"/>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Annual Incentive</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520,000</w:t>
            </w: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1"/>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Value of Accelerated Vesting</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5,390,030</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Healthcare Benefits</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21,145</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21,145</w:t>
            </w:r>
          </w:p>
        </w:tc>
      </w:tr>
      <w:tr>
        <w:trPr>
          <w:trHeight w:val="39"/>
        </w:trPr>
        <w:tc>
          <w:tcPr>
            <w:tcW w:w="62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198"/>
        </w:trPr>
        <w:tc>
          <w:tcPr>
            <w:tcW w:w="6280" w:type="dxa"/>
            <w:vAlign w:val="bottom"/>
          </w:tcPr>
          <w:p>
            <w:pPr>
              <w:ind w:left="20"/>
              <w:spacing w:after="0"/>
              <w:rPr>
                <w:sz w:val="20"/>
                <w:szCs w:val="20"/>
                <w:color w:val="auto"/>
              </w:rPr>
            </w:pPr>
            <w:r>
              <w:rPr>
                <w:rFonts w:ascii="Arial" w:cs="Arial" w:eastAsia="Arial" w:hAnsi="Arial"/>
                <w:sz w:val="14"/>
                <w:szCs w:val="14"/>
                <w:color w:val="auto"/>
              </w:rPr>
              <w:t>Tina Marriott Larson</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Salary</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343,200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457,600</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Annual Incentive</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457,600</w:t>
            </w: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Value of Accelerated Vesting</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907,338</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Healthcare Benefits</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13,942</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18,589</w:t>
            </w:r>
          </w:p>
        </w:tc>
      </w:tr>
      <w:tr>
        <w:trPr>
          <w:trHeight w:val="39"/>
        </w:trPr>
        <w:tc>
          <w:tcPr>
            <w:tcW w:w="62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197"/>
        </w:trPr>
        <w:tc>
          <w:tcPr>
            <w:tcW w:w="6280" w:type="dxa"/>
            <w:vAlign w:val="bottom"/>
          </w:tcPr>
          <w:p>
            <w:pPr>
              <w:ind w:left="20"/>
              <w:spacing w:after="0"/>
              <w:rPr>
                <w:sz w:val="20"/>
                <w:szCs w:val="20"/>
                <w:color w:val="auto"/>
              </w:rPr>
            </w:pPr>
            <w:r>
              <w:rPr>
                <w:rFonts w:ascii="Arial" w:cs="Arial" w:eastAsia="Arial" w:hAnsi="Arial"/>
                <w:sz w:val="14"/>
                <w:szCs w:val="14"/>
                <w:color w:val="auto"/>
              </w:rPr>
              <w:t>Michael Secora</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1"/>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Salary</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273,000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364,000</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Annual Incentive</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364,000</w:t>
            </w: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Value of Accelerated Vesting</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5,589,560</w:t>
            </w:r>
          </w:p>
        </w:tc>
      </w:tr>
      <w:tr>
        <w:trPr>
          <w:trHeight w:val="197"/>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Healthcare Benefits</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15,859</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21,145</w:t>
            </w:r>
          </w:p>
        </w:tc>
      </w:tr>
      <w:tr>
        <w:trPr>
          <w:trHeight w:val="39"/>
        </w:trPr>
        <w:tc>
          <w:tcPr>
            <w:tcW w:w="62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197"/>
        </w:trPr>
        <w:tc>
          <w:tcPr>
            <w:tcW w:w="6280" w:type="dxa"/>
            <w:vAlign w:val="bottom"/>
          </w:tcPr>
          <w:p>
            <w:pPr>
              <w:ind w:left="20"/>
              <w:spacing w:after="0"/>
              <w:rPr>
                <w:sz w:val="20"/>
                <w:szCs w:val="20"/>
                <w:color w:val="auto"/>
              </w:rPr>
            </w:pPr>
            <w:r>
              <w:rPr>
                <w:rFonts w:ascii="Arial" w:cs="Arial" w:eastAsia="Arial" w:hAnsi="Arial"/>
                <w:sz w:val="14"/>
                <w:szCs w:val="14"/>
                <w:color w:val="auto"/>
              </w:rPr>
              <w:t>Shafique Virani</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Salary</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382,500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510,000</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Annual Incentive</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510,000</w:t>
            </w: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Value of Accelerated Vesting</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1,538,705</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Healthcare Benefits</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13,942</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18,589</w:t>
            </w:r>
          </w:p>
        </w:tc>
      </w:tr>
      <w:tr>
        <w:trPr>
          <w:trHeight w:val="39"/>
        </w:trPr>
        <w:tc>
          <w:tcPr>
            <w:tcW w:w="62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198"/>
        </w:trPr>
        <w:tc>
          <w:tcPr>
            <w:tcW w:w="6280" w:type="dxa"/>
            <w:vAlign w:val="bottom"/>
          </w:tcPr>
          <w:p>
            <w:pPr>
              <w:ind w:left="20"/>
              <w:spacing w:after="0"/>
              <w:rPr>
                <w:sz w:val="20"/>
                <w:szCs w:val="20"/>
                <w:color w:val="auto"/>
              </w:rPr>
            </w:pPr>
            <w:r>
              <w:rPr>
                <w:rFonts w:ascii="Arial" w:cs="Arial" w:eastAsia="Arial" w:hAnsi="Arial"/>
                <w:sz w:val="14"/>
                <w:szCs w:val="14"/>
                <w:color w:val="auto"/>
              </w:rPr>
              <w:t>Ramona Doyle</w:t>
            </w:r>
          </w:p>
        </w:tc>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5"/>
        </w:trPr>
        <w:tc>
          <w:tcPr>
            <w:tcW w:w="6280" w:type="dxa"/>
            <w:vAlign w:val="bottom"/>
            <w:tcBorders>
              <w:bottom w:val="single" w:sz="8" w:color="6D6F71"/>
            </w:tcBorders>
          </w:tcPr>
          <w:p>
            <w:pPr>
              <w:spacing w:after="0"/>
              <w:rPr>
                <w:sz w:val="2"/>
                <w:szCs w:val="2"/>
                <w:color w:val="auto"/>
              </w:rPr>
            </w:pPr>
          </w:p>
        </w:tc>
        <w:tc>
          <w:tcPr>
            <w:tcW w:w="2900" w:type="dxa"/>
            <w:vAlign w:val="bottom"/>
            <w:tcBorders>
              <w:bottom w:val="single" w:sz="8" w:color="6D6F71"/>
            </w:tcBorders>
          </w:tcPr>
          <w:p>
            <w:pPr>
              <w:spacing w:after="0"/>
              <w:rPr>
                <w:sz w:val="2"/>
                <w:szCs w:val="2"/>
                <w:color w:val="auto"/>
              </w:rPr>
            </w:pPr>
          </w:p>
        </w:tc>
        <w:tc>
          <w:tcPr>
            <w:tcW w:w="2060" w:type="dxa"/>
            <w:vAlign w:val="bottom"/>
            <w:tcBorders>
              <w:bottom w:val="single" w:sz="8" w:color="6D6F71"/>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Salary</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336,600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Annual Incentive</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280" w:type="dxa"/>
            <w:vAlign w:val="bottom"/>
            <w:tcBorders>
              <w:bottom w:val="single" w:sz="8" w:color="6D6F71"/>
            </w:tcBorders>
          </w:tcPr>
          <w:p>
            <w:pPr>
              <w:spacing w:after="0"/>
              <w:rPr>
                <w:sz w:val="3"/>
                <w:szCs w:val="3"/>
                <w:color w:val="auto"/>
              </w:rPr>
            </w:pPr>
          </w:p>
        </w:tc>
        <w:tc>
          <w:tcPr>
            <w:tcW w:w="2900" w:type="dxa"/>
            <w:vAlign w:val="bottom"/>
            <w:tcBorders>
              <w:bottom w:val="single" w:sz="8" w:color="6D6F71"/>
            </w:tcBorders>
          </w:tcPr>
          <w:p>
            <w:pPr>
              <w:spacing w:after="0"/>
              <w:rPr>
                <w:sz w:val="3"/>
                <w:szCs w:val="3"/>
                <w:color w:val="auto"/>
              </w:rPr>
            </w:pPr>
          </w:p>
        </w:tc>
        <w:tc>
          <w:tcPr>
            <w:tcW w:w="2060" w:type="dxa"/>
            <w:vAlign w:val="bottom"/>
            <w:tcBorders>
              <w:bottom w:val="single" w:sz="8" w:color="6D6F71"/>
            </w:tcBorders>
          </w:tcPr>
          <w:p>
            <w:pPr>
              <w:spacing w:after="0"/>
              <w:rPr>
                <w:sz w:val="3"/>
                <w:szCs w:val="3"/>
                <w:color w:val="auto"/>
              </w:rPr>
            </w:pPr>
          </w:p>
        </w:tc>
      </w:tr>
      <w:tr>
        <w:trPr>
          <w:trHeight w:val="241"/>
        </w:trPr>
        <w:tc>
          <w:tcPr>
            <w:tcW w:w="6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Value of Accelerated Vesting</w:t>
            </w:r>
          </w:p>
        </w:tc>
        <w:tc>
          <w:tcPr>
            <w:tcW w:w="290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280" w:type="dxa"/>
            <w:vAlign w:val="bottom"/>
            <w:tcBorders>
              <w:top w:val="single" w:sz="8" w:color="6D6F71"/>
            </w:tcBorders>
          </w:tcPr>
          <w:p>
            <w:pPr>
              <w:ind w:left="240"/>
              <w:spacing w:after="0"/>
              <w:rPr>
                <w:sz w:val="20"/>
                <w:szCs w:val="20"/>
                <w:color w:val="auto"/>
              </w:rPr>
            </w:pPr>
            <w:r>
              <w:rPr>
                <w:rFonts w:ascii="Arial" w:cs="Arial" w:eastAsia="Arial" w:hAnsi="Arial"/>
                <w:sz w:val="14"/>
                <w:szCs w:val="14"/>
                <w:color w:val="auto"/>
              </w:rPr>
              <w:t>Healthcare Benefits</w:t>
            </w:r>
          </w:p>
        </w:tc>
        <w:tc>
          <w:tcPr>
            <w:tcW w:w="2900" w:type="dxa"/>
            <w:vAlign w:val="bottom"/>
            <w:tcBorders>
              <w:top w:val="single" w:sz="8" w:color="6D6F71"/>
            </w:tcBorders>
          </w:tcPr>
          <w:p>
            <w:pPr>
              <w:jc w:val="right"/>
              <w:ind w:right="368"/>
              <w:spacing w:after="0"/>
              <w:rPr>
                <w:sz w:val="20"/>
                <w:szCs w:val="20"/>
                <w:color w:val="auto"/>
              </w:rPr>
            </w:pPr>
            <w:r>
              <w:rPr>
                <w:rFonts w:ascii="Arial" w:cs="Arial" w:eastAsia="Arial" w:hAnsi="Arial"/>
                <w:sz w:val="14"/>
                <w:szCs w:val="14"/>
                <w:color w:val="auto"/>
              </w:rPr>
              <w:t>10,858</w:t>
            </w:r>
          </w:p>
        </w:tc>
        <w:tc>
          <w:tcPr>
            <w:tcW w:w="2060" w:type="dxa"/>
            <w:vAlign w:val="bottom"/>
            <w:tcBorders>
              <w:top w:val="single" w:sz="8" w:color="6D6F71"/>
            </w:tcBorders>
          </w:tcPr>
          <w:p>
            <w:pPr>
              <w:jc w:val="right"/>
              <w:spacing w:after="0"/>
              <w:rPr>
                <w:sz w:val="20"/>
                <w:szCs w:val="20"/>
                <w:color w:val="auto"/>
              </w:rPr>
            </w:pPr>
            <w:r>
              <w:rPr>
                <w:rFonts w:ascii="Arial" w:cs="Arial" w:eastAsia="Arial" w:hAnsi="Arial"/>
                <w:sz w:val="14"/>
                <w:szCs w:val="14"/>
                <w:color w:val="auto"/>
              </w:rPr>
              <w:t>—</w:t>
            </w:r>
          </w:p>
        </w:tc>
      </w:tr>
      <w:tr>
        <w:trPr>
          <w:trHeight w:val="39"/>
        </w:trPr>
        <w:tc>
          <w:tcPr>
            <w:tcW w:w="628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46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8"/>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4340" w:type="dxa"/>
            <w:vAlign w:val="bottom"/>
            <w:gridSpan w:val="4"/>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 No.</w:t>
            </w:r>
          </w:p>
        </w:tc>
        <w:tc>
          <w:tcPr>
            <w:tcW w:w="86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4"/>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w:t>
            </w:r>
          </w:p>
        </w:tc>
        <w:tc>
          <w:tcPr>
            <w:tcW w:w="14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4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600" w:type="dxa"/>
            <w:vAlign w:val="bottom"/>
            <w:gridSpan w:val="5"/>
          </w:tcPr>
          <w:p>
            <w:pPr>
              <w:spacing w:after="0" w:line="169" w:lineRule="exact"/>
              <w:rPr>
                <w:rFonts w:ascii="Arial" w:cs="Arial" w:eastAsia="Arial" w:hAnsi="Arial"/>
                <w:sz w:val="16"/>
                <w:szCs w:val="16"/>
                <w:color w:val="0000FF"/>
              </w:rPr>
            </w:pPr>
            <w:hyperlink r:id="rId58">
              <w:r>
                <w:rPr>
                  <w:rFonts w:ascii="Arial" w:cs="Arial" w:eastAsia="Arial" w:hAnsi="Arial"/>
                  <w:sz w:val="16"/>
                  <w:szCs w:val="16"/>
                  <w:color w:val="0000FF"/>
                </w:rPr>
                <w:t>Amended and Restated Certificate of Incorporation of</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6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Recursion Pharmaceuticals, Inc.</w:t>
              </w:r>
            </w:hyperlink>
          </w:p>
        </w:tc>
        <w:tc>
          <w:tcPr>
            <w:tcW w:w="1500" w:type="dxa"/>
            <w:vAlign w:val="bottom"/>
            <w:tcBorders>
              <w:top w:val="single" w:sz="8" w:color="0000FF"/>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00" w:type="dxa"/>
            <w:vAlign w:val="bottom"/>
            <w:gridSpan w:val="5"/>
          </w:tcPr>
          <w:p>
            <w:pPr>
              <w:spacing w:after="0"/>
              <w:rPr>
                <w:rFonts w:ascii="Arial" w:cs="Arial" w:eastAsia="Arial" w:hAnsi="Arial"/>
                <w:sz w:val="16"/>
                <w:szCs w:val="16"/>
                <w:color w:val="0000FF"/>
              </w:rPr>
            </w:pPr>
            <w:hyperlink r:id="rId59">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6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59">
              <w:r>
                <w:rPr>
                  <w:rFonts w:ascii="Arial" w:cs="Arial" w:eastAsia="Arial" w:hAnsi="Arial"/>
                  <w:sz w:val="16"/>
                  <w:szCs w:val="16"/>
                  <w:color w:val="0000FF"/>
                  <w:w w:val="92"/>
                </w:rPr>
                <w:t>Inc.</w:t>
              </w:r>
            </w:hyperlink>
          </w:p>
        </w:tc>
        <w:tc>
          <w:tcPr>
            <w:tcW w:w="4240" w:type="dxa"/>
            <w:vAlign w:val="bottom"/>
            <w:tcBorders>
              <w:top w:val="single" w:sz="8" w:color="0000FF"/>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4.1</w:t>
            </w:r>
          </w:p>
        </w:tc>
        <w:tc>
          <w:tcPr>
            <w:tcW w:w="4580" w:type="dxa"/>
            <w:vAlign w:val="bottom"/>
            <w:gridSpan w:val="31"/>
          </w:tcPr>
          <w:p>
            <w:pPr>
              <w:spacing w:after="0"/>
              <w:rPr>
                <w:rFonts w:ascii="Arial" w:cs="Arial" w:eastAsia="Arial" w:hAnsi="Arial"/>
                <w:sz w:val="16"/>
                <w:szCs w:val="16"/>
                <w:color w:val="0000FF"/>
              </w:rPr>
            </w:pPr>
            <w:hyperlink r:id="rId61">
              <w:r>
                <w:rPr>
                  <w:rFonts w:ascii="Arial" w:cs="Arial" w:eastAsia="Arial" w:hAnsi="Arial"/>
                  <w:sz w:val="16"/>
                  <w:szCs w:val="16"/>
                  <w:color w:val="0000FF"/>
                </w:rPr>
                <w:t>Amended and Restated Investors’ Rights Agreement by and</w:t>
              </w:r>
            </w:hyperlink>
          </w:p>
        </w:tc>
        <w:tc>
          <w:tcPr>
            <w:tcW w:w="8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120" w:type="dxa"/>
            <w:vAlign w:val="bottom"/>
          </w:tcPr>
          <w:p>
            <w:pPr>
              <w:jc w:val="center"/>
              <w:ind w:right="519"/>
              <w:spacing w:after="0"/>
              <w:rPr>
                <w:sz w:val="20"/>
                <w:szCs w:val="20"/>
                <w:color w:val="auto"/>
              </w:rPr>
            </w:pPr>
            <w:r>
              <w:rPr>
                <w:rFonts w:ascii="Arial" w:cs="Arial" w:eastAsia="Arial" w:hAnsi="Arial"/>
                <w:sz w:val="16"/>
                <w:szCs w:val="16"/>
                <w:color w:val="auto"/>
              </w:rPr>
              <w:t>April 15, 2021</w:t>
            </w:r>
          </w:p>
        </w:tc>
      </w:tr>
      <w:tr>
        <w:trPr>
          <w:trHeight w:val="142"/>
        </w:trPr>
        <w:tc>
          <w:tcPr>
            <w:tcW w:w="900" w:type="dxa"/>
            <w:vAlign w:val="bottom"/>
          </w:tcPr>
          <w:p>
            <w:pPr>
              <w:spacing w:after="0"/>
              <w:rPr>
                <w:sz w:val="12"/>
                <w:szCs w:val="12"/>
                <w:color w:val="auto"/>
              </w:rPr>
            </w:pPr>
          </w:p>
        </w:tc>
        <w:tc>
          <w:tcPr>
            <w:tcW w:w="43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among the Registrant and certain of its stockholders,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2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September 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4.2</w:t>
            </w:r>
          </w:p>
        </w:tc>
        <w:tc>
          <w:tcPr>
            <w:tcW w:w="4420" w:type="dxa"/>
            <w:vAlign w:val="bottom"/>
            <w:tcBorders>
              <w:bottom w:val="single" w:sz="8" w:color="0000FF"/>
            </w:tcBorders>
            <w:gridSpan w:val="27"/>
          </w:tcPr>
          <w:p>
            <w:pPr>
              <w:spacing w:after="0"/>
              <w:rPr>
                <w:rFonts w:ascii="Arial" w:cs="Arial" w:eastAsia="Arial" w:hAnsi="Arial"/>
                <w:sz w:val="16"/>
                <w:szCs w:val="16"/>
                <w:color w:val="0000FF"/>
              </w:rPr>
            </w:pPr>
            <w:hyperlink r:id="rId62">
              <w:r>
                <w:rPr>
                  <w:rFonts w:ascii="Arial" w:cs="Arial" w:eastAsia="Arial" w:hAnsi="Arial"/>
                  <w:sz w:val="16"/>
                  <w:szCs w:val="16"/>
                  <w:color w:val="0000FF"/>
                </w:rPr>
                <w:t>Specimen Class A common stock certificate of the Registrant.</w:t>
              </w:r>
            </w:hyperlink>
          </w:p>
        </w:tc>
        <w:tc>
          <w:tcPr>
            <w:tcW w:w="160" w:type="dxa"/>
            <w:vAlign w:val="bottom"/>
            <w:gridSpan w:val="4"/>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32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2120" w:type="dxa"/>
            <w:vAlign w:val="bottom"/>
          </w:tcPr>
          <w:p>
            <w:pPr>
              <w:jc w:val="center"/>
              <w:ind w:right="519"/>
              <w:spacing w:after="0"/>
              <w:rPr>
                <w:sz w:val="20"/>
                <w:szCs w:val="20"/>
                <w:color w:val="auto"/>
              </w:rPr>
            </w:pPr>
            <w:r>
              <w:rPr>
                <w:rFonts w:ascii="Arial" w:cs="Arial" w:eastAsia="Arial" w:hAnsi="Arial"/>
                <w:sz w:val="16"/>
                <w:szCs w:val="16"/>
                <w:color w:val="auto"/>
              </w:rPr>
              <w:t>April 15, 2021</w:t>
            </w: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4.3</w:t>
            </w:r>
          </w:p>
        </w:tc>
        <w:tc>
          <w:tcPr>
            <w:tcW w:w="4580" w:type="dxa"/>
            <w:vAlign w:val="bottom"/>
            <w:gridSpan w:val="31"/>
          </w:tcPr>
          <w:p>
            <w:pPr>
              <w:spacing w:after="0"/>
              <w:rPr>
                <w:rFonts w:ascii="Arial" w:cs="Arial" w:eastAsia="Arial" w:hAnsi="Arial"/>
                <w:sz w:val="16"/>
                <w:szCs w:val="16"/>
                <w:color w:val="0000FF"/>
              </w:rPr>
            </w:pPr>
            <w:hyperlink r:id="rId63">
              <w:r>
                <w:rPr>
                  <w:rFonts w:ascii="Arial" w:cs="Arial" w:eastAsia="Arial" w:hAnsi="Arial"/>
                  <w:sz w:val="16"/>
                  <w:szCs w:val="16"/>
                  <w:color w:val="0000FF"/>
                </w:rPr>
                <w:t>Exchangeable Share Support Agreement, dated May 8, 2023.</w:t>
              </w:r>
            </w:hyperlink>
          </w:p>
        </w:tc>
        <w:tc>
          <w:tcPr>
            <w:tcW w:w="840" w:type="dxa"/>
            <w:vAlign w:val="bottom"/>
          </w:tcPr>
          <w:p>
            <w:pPr>
              <w:jc w:val="center"/>
              <w:spacing w:after="0"/>
              <w:rPr>
                <w:sz w:val="20"/>
                <w:szCs w:val="20"/>
                <w:color w:val="auto"/>
              </w:rPr>
            </w:pPr>
            <w:r>
              <w:rPr>
                <w:rFonts w:ascii="Arial" w:cs="Arial" w:eastAsia="Arial" w:hAnsi="Arial"/>
                <w:sz w:val="16"/>
                <w:szCs w:val="16"/>
                <w:color w:val="auto"/>
              </w:rPr>
              <w:t>S-3ASR</w:t>
            </w:r>
          </w:p>
        </w:tc>
        <w:tc>
          <w:tcPr>
            <w:tcW w:w="132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2120" w:type="dxa"/>
            <w:vAlign w:val="bottom"/>
          </w:tcPr>
          <w:p>
            <w:pPr>
              <w:jc w:val="center"/>
              <w:ind w:right="539"/>
              <w:spacing w:after="0"/>
              <w:rPr>
                <w:sz w:val="20"/>
                <w:szCs w:val="20"/>
                <w:color w:val="auto"/>
              </w:rPr>
            </w:pPr>
            <w:r>
              <w:rPr>
                <w:rFonts w:ascii="Arial" w:cs="Arial" w:eastAsia="Arial" w:hAnsi="Arial"/>
                <w:sz w:val="16"/>
                <w:szCs w:val="16"/>
                <w:color w:val="auto"/>
              </w:rPr>
              <w:t>May 30, 2023</w:t>
            </w: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4.4</w:t>
            </w:r>
          </w:p>
        </w:tc>
        <w:tc>
          <w:tcPr>
            <w:tcW w:w="4420" w:type="dxa"/>
            <w:vAlign w:val="bottom"/>
            <w:tcBorders>
              <w:top w:val="single" w:sz="8" w:color="0000FF"/>
            </w:tcBorders>
            <w:gridSpan w:val="27"/>
          </w:tcPr>
          <w:p>
            <w:pPr>
              <w:spacing w:after="0"/>
              <w:rPr>
                <w:rFonts w:ascii="Arial" w:cs="Arial" w:eastAsia="Arial" w:hAnsi="Arial"/>
                <w:sz w:val="16"/>
                <w:szCs w:val="16"/>
                <w:color w:val="0000FF"/>
              </w:rPr>
            </w:pPr>
            <w:hyperlink r:id="rId64">
              <w:r>
                <w:rPr>
                  <w:rFonts w:ascii="Arial" w:cs="Arial" w:eastAsia="Arial" w:hAnsi="Arial"/>
                  <w:sz w:val="16"/>
                  <w:szCs w:val="16"/>
                  <w:color w:val="0000FF"/>
                </w:rPr>
                <w:t>Registration Agreement, dated May 16, 2023, by and among</w:t>
              </w:r>
            </w:hyperlink>
          </w:p>
        </w:tc>
        <w:tc>
          <w:tcPr>
            <w:tcW w:w="160" w:type="dxa"/>
            <w:vAlign w:val="bottom"/>
            <w:gridSpan w:val="4"/>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S-3ASR</w:t>
            </w:r>
          </w:p>
        </w:tc>
        <w:tc>
          <w:tcPr>
            <w:tcW w:w="132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2120" w:type="dxa"/>
            <w:vAlign w:val="bottom"/>
          </w:tcPr>
          <w:p>
            <w:pPr>
              <w:jc w:val="center"/>
              <w:ind w:right="539"/>
              <w:spacing w:after="0"/>
              <w:rPr>
                <w:sz w:val="20"/>
                <w:szCs w:val="20"/>
                <w:color w:val="auto"/>
              </w:rPr>
            </w:pPr>
            <w:r>
              <w:rPr>
                <w:rFonts w:ascii="Arial" w:cs="Arial" w:eastAsia="Arial" w:hAnsi="Arial"/>
                <w:sz w:val="16"/>
                <w:szCs w:val="16"/>
                <w:color w:val="auto"/>
              </w:rPr>
              <w:t>May 30, 2023</w:t>
            </w:r>
          </w:p>
        </w:tc>
      </w:tr>
      <w:tr>
        <w:trPr>
          <w:trHeight w:val="142"/>
        </w:trPr>
        <w:tc>
          <w:tcPr>
            <w:tcW w:w="900" w:type="dxa"/>
            <w:vAlign w:val="bottom"/>
          </w:tcPr>
          <w:p>
            <w:pPr>
              <w:spacing w:after="0"/>
              <w:rPr>
                <w:sz w:val="12"/>
                <w:szCs w:val="12"/>
                <w:color w:val="auto"/>
              </w:rPr>
            </w:pPr>
          </w:p>
        </w:tc>
        <w:tc>
          <w:tcPr>
            <w:tcW w:w="44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the Registrant, Valence Discovery, Inc., and certain</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shareholders of Valence Discovery, Inc.</w:t>
              </w:r>
            </w:hyperlink>
          </w:p>
        </w:tc>
        <w:tc>
          <w:tcPr>
            <w:tcW w:w="820" w:type="dxa"/>
            <w:vAlign w:val="bottom"/>
            <w:tcBorders>
              <w:top w:val="single" w:sz="8" w:color="0000FF"/>
            </w:tcBorders>
            <w:gridSpan w:val="5"/>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4.5</w:t>
            </w:r>
          </w:p>
        </w:tc>
        <w:tc>
          <w:tcPr>
            <w:tcW w:w="4580" w:type="dxa"/>
            <w:vAlign w:val="bottom"/>
            <w:gridSpan w:val="31"/>
          </w:tcPr>
          <w:p>
            <w:pPr>
              <w:spacing w:after="0"/>
              <w:rPr>
                <w:rFonts w:ascii="Arial" w:cs="Arial" w:eastAsia="Arial" w:hAnsi="Arial"/>
                <w:sz w:val="16"/>
                <w:szCs w:val="16"/>
                <w:color w:val="0000FF"/>
              </w:rPr>
            </w:pPr>
            <w:hyperlink r:id="rId65">
              <w:r>
                <w:rPr>
                  <w:rFonts w:ascii="Arial" w:cs="Arial" w:eastAsia="Arial" w:hAnsi="Arial"/>
                  <w:sz w:val="16"/>
                  <w:szCs w:val="16"/>
                  <w:color w:val="0000FF"/>
                </w:rPr>
                <w:t>Registration Agreement, dated May 25, 2023, by and among</w:t>
              </w:r>
            </w:hyperlink>
          </w:p>
        </w:tc>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120" w:type="dxa"/>
            <w:vAlign w:val="bottom"/>
          </w:tcPr>
          <w:p>
            <w:pPr>
              <w:jc w:val="center"/>
              <w:ind w:right="539"/>
              <w:spacing w:after="0"/>
              <w:rPr>
                <w:sz w:val="20"/>
                <w:szCs w:val="20"/>
                <w:color w:val="auto"/>
              </w:rPr>
            </w:pPr>
            <w:r>
              <w:rPr>
                <w:rFonts w:ascii="Arial" w:cs="Arial" w:eastAsia="Arial" w:hAnsi="Arial"/>
                <w:sz w:val="16"/>
                <w:szCs w:val="16"/>
                <w:color w:val="auto"/>
              </w:rPr>
              <w:t>June 9, 2023</w:t>
            </w:r>
          </w:p>
        </w:tc>
      </w:tr>
      <w:tr>
        <w:trPr>
          <w:trHeight w:val="142"/>
        </w:trPr>
        <w:tc>
          <w:tcPr>
            <w:tcW w:w="900" w:type="dxa"/>
            <w:vAlign w:val="bottom"/>
          </w:tcPr>
          <w:p>
            <w:pPr>
              <w:spacing w:after="0"/>
              <w:rPr>
                <w:sz w:val="12"/>
                <w:szCs w:val="12"/>
                <w:color w:val="auto"/>
              </w:rPr>
            </w:pPr>
          </w:p>
        </w:tc>
        <w:tc>
          <w:tcPr>
            <w:tcW w:w="44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the Registrant, Recursion Canada Inc., and certain</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shareholders of Cyclica Inc.</w:t>
              </w:r>
            </w:hyperlink>
          </w:p>
        </w:tc>
        <w:tc>
          <w:tcPr>
            <w:tcW w:w="1640" w:type="dxa"/>
            <w:vAlign w:val="bottom"/>
            <w:tcBorders>
              <w:top w:val="single" w:sz="8" w:color="0000FF"/>
            </w:tcBorders>
            <w:gridSpan w:val="7"/>
          </w:tcPr>
          <w:p>
            <w:pPr>
              <w:spacing w:after="0"/>
              <w:rPr>
                <w:sz w:val="12"/>
                <w:szCs w:val="12"/>
                <w:color w:val="auto"/>
              </w:rPr>
            </w:pPr>
          </w:p>
        </w:tc>
        <w:tc>
          <w:tcPr>
            <w:tcW w:w="3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5.1</w:t>
            </w:r>
          </w:p>
        </w:tc>
        <w:tc>
          <w:tcPr>
            <w:tcW w:w="4580" w:type="dxa"/>
            <w:vAlign w:val="bottom"/>
            <w:gridSpan w:val="31"/>
          </w:tcPr>
          <w:p>
            <w:pPr>
              <w:spacing w:after="0"/>
              <w:rPr>
                <w:sz w:val="20"/>
                <w:szCs w:val="20"/>
                <w:color w:val="auto"/>
              </w:rPr>
            </w:pPr>
            <w:r>
              <w:rPr>
                <w:rFonts w:ascii="Arial" w:cs="Arial" w:eastAsia="Arial" w:hAnsi="Arial"/>
                <w:sz w:val="16"/>
                <w:szCs w:val="16"/>
                <w:color w:val="0000FF"/>
              </w:rPr>
              <w:t>Opinion of Wilson Sonsini Goodrich &amp; Rosati, Professional</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1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Corporation</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8"/>
              </w:rPr>
              <w:t>5.2</w:t>
            </w:r>
          </w:p>
        </w:tc>
        <w:tc>
          <w:tcPr>
            <w:tcW w:w="4580" w:type="dxa"/>
            <w:vAlign w:val="bottom"/>
            <w:gridSpan w:val="31"/>
          </w:tcPr>
          <w:p>
            <w:pPr>
              <w:spacing w:after="0"/>
              <w:rPr>
                <w:sz w:val="20"/>
                <w:szCs w:val="20"/>
                <w:color w:val="auto"/>
              </w:rPr>
            </w:pPr>
            <w:r>
              <w:rPr>
                <w:rFonts w:ascii="Arial" w:cs="Arial" w:eastAsia="Arial" w:hAnsi="Arial"/>
                <w:sz w:val="16"/>
                <w:szCs w:val="16"/>
                <w:color w:val="0000FF"/>
              </w:rPr>
              <w:t>Opinion of Wilson Sonsini Goodrich &amp; Rosati, Professional</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1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Corporation</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10.1</w:t>
            </w:r>
          </w:p>
        </w:tc>
        <w:tc>
          <w:tcPr>
            <w:tcW w:w="4580" w:type="dxa"/>
            <w:vAlign w:val="bottom"/>
            <w:gridSpan w:val="31"/>
          </w:tcPr>
          <w:p>
            <w:pPr>
              <w:spacing w:after="0"/>
              <w:rPr>
                <w:sz w:val="20"/>
                <w:szCs w:val="20"/>
                <w:color w:val="auto"/>
              </w:rPr>
            </w:pPr>
            <w:r>
              <w:rPr>
                <w:rFonts w:ascii="Arial" w:cs="Arial" w:eastAsia="Arial" w:hAnsi="Arial"/>
                <w:sz w:val="16"/>
                <w:szCs w:val="16"/>
                <w:color w:val="0000FF"/>
              </w:rPr>
              <w:t>Employment Offer Letter, dated May 19, 2023, between the</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Registrant and Dr. David Mauro, M.D., Ph.D.</w:t>
            </w:r>
          </w:p>
        </w:tc>
        <w:tc>
          <w:tcPr>
            <w:tcW w:w="10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10.2</w:t>
            </w:r>
          </w:p>
        </w:tc>
        <w:tc>
          <w:tcPr>
            <w:tcW w:w="4580" w:type="dxa"/>
            <w:vAlign w:val="bottom"/>
            <w:tcBorders>
              <w:bottom w:val="single" w:sz="8" w:color="0000FF"/>
            </w:tcBorders>
            <w:gridSpan w:val="31"/>
          </w:tcPr>
          <w:p>
            <w:pPr>
              <w:spacing w:after="0"/>
              <w:rPr>
                <w:rFonts w:ascii="Arial" w:cs="Arial" w:eastAsia="Arial" w:hAnsi="Arial"/>
                <w:sz w:val="16"/>
                <w:szCs w:val="16"/>
                <w:color w:val="0000FF"/>
              </w:rPr>
            </w:pPr>
            <w:hyperlink r:id="rId66">
              <w:r>
                <w:rPr>
                  <w:rFonts w:ascii="Arial" w:cs="Arial" w:eastAsia="Arial" w:hAnsi="Arial"/>
                  <w:sz w:val="16"/>
                  <w:szCs w:val="16"/>
                  <w:color w:val="0000FF"/>
                </w:rPr>
                <w:t>Stock Purchase Agreement, dated July 11, 2023, by and among</w:t>
              </w:r>
            </w:hyperlink>
          </w:p>
        </w:tc>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2120" w:type="dxa"/>
            <w:vAlign w:val="bottom"/>
          </w:tcPr>
          <w:p>
            <w:pPr>
              <w:jc w:val="center"/>
              <w:ind w:right="519"/>
              <w:spacing w:after="0"/>
              <w:rPr>
                <w:sz w:val="20"/>
                <w:szCs w:val="20"/>
                <w:color w:val="auto"/>
              </w:rPr>
            </w:pPr>
            <w:r>
              <w:rPr>
                <w:rFonts w:ascii="Arial" w:cs="Arial" w:eastAsia="Arial" w:hAnsi="Arial"/>
                <w:sz w:val="16"/>
                <w:szCs w:val="16"/>
                <w:color w:val="auto"/>
              </w:rPr>
              <w:t>July 12, 2023</w:t>
            </w:r>
          </w:p>
        </w:tc>
      </w:tr>
      <w:tr>
        <w:trPr>
          <w:trHeight w:val="142"/>
        </w:trPr>
        <w:tc>
          <w:tcPr>
            <w:tcW w:w="900" w:type="dxa"/>
            <w:vAlign w:val="bottom"/>
          </w:tcPr>
          <w:p>
            <w:pPr>
              <w:spacing w:after="0"/>
              <w:rPr>
                <w:sz w:val="12"/>
                <w:szCs w:val="12"/>
                <w:color w:val="auto"/>
              </w:rPr>
            </w:pPr>
          </w:p>
        </w:tc>
        <w:tc>
          <w:tcPr>
            <w:tcW w:w="196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the Registrant and NVIDIA.</w:t>
              </w:r>
            </w:hyperlink>
          </w:p>
        </w:tc>
        <w:tc>
          <w:tcPr>
            <w:tcW w:w="2620" w:type="dxa"/>
            <w:vAlign w:val="bottom"/>
            <w:gridSpan w:val="26"/>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10.3</w:t>
            </w:r>
          </w:p>
        </w:tc>
        <w:tc>
          <w:tcPr>
            <w:tcW w:w="4580" w:type="dxa"/>
            <w:vAlign w:val="bottom"/>
            <w:gridSpan w:val="31"/>
          </w:tcPr>
          <w:p>
            <w:pPr>
              <w:spacing w:after="0"/>
              <w:rPr>
                <w:rFonts w:ascii="Arial" w:cs="Arial" w:eastAsia="Arial" w:hAnsi="Arial"/>
                <w:sz w:val="16"/>
                <w:szCs w:val="16"/>
                <w:color w:val="0000FF"/>
              </w:rPr>
            </w:pPr>
            <w:hyperlink r:id="rId67">
              <w:r>
                <w:rPr>
                  <w:rFonts w:ascii="Arial" w:cs="Arial" w:eastAsia="Arial" w:hAnsi="Arial"/>
                  <w:sz w:val="16"/>
                  <w:szCs w:val="16"/>
                  <w:color w:val="0000FF"/>
                </w:rPr>
                <w:t>Registration Rights Agreement, dated July 11, 2023, by and</w:t>
              </w:r>
            </w:hyperlink>
          </w:p>
        </w:tc>
        <w:tc>
          <w:tcPr>
            <w:tcW w:w="8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320" w:type="dxa"/>
            <w:vAlign w:val="bottom"/>
          </w:tcPr>
          <w:p>
            <w:pPr>
              <w:jc w:val="center"/>
              <w:spacing w:after="0"/>
              <w:rPr>
                <w:sz w:val="20"/>
                <w:szCs w:val="20"/>
                <w:color w:val="auto"/>
              </w:rPr>
            </w:pPr>
            <w:r>
              <w:rPr>
                <w:rFonts w:ascii="Arial" w:cs="Arial" w:eastAsia="Arial" w:hAnsi="Arial"/>
                <w:sz w:val="16"/>
                <w:szCs w:val="16"/>
                <w:color w:val="auto"/>
              </w:rPr>
              <w:t>001-40323</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2120" w:type="dxa"/>
            <w:vAlign w:val="bottom"/>
          </w:tcPr>
          <w:p>
            <w:pPr>
              <w:jc w:val="center"/>
              <w:ind w:right="519"/>
              <w:spacing w:after="0"/>
              <w:rPr>
                <w:sz w:val="20"/>
                <w:szCs w:val="20"/>
                <w:color w:val="auto"/>
              </w:rPr>
            </w:pPr>
            <w:r>
              <w:rPr>
                <w:rFonts w:ascii="Arial" w:cs="Arial" w:eastAsia="Arial" w:hAnsi="Arial"/>
                <w:sz w:val="16"/>
                <w:szCs w:val="16"/>
                <w:color w:val="auto"/>
              </w:rPr>
              <w:t>July 12, 2023</w:t>
            </w:r>
          </w:p>
        </w:tc>
      </w:tr>
      <w:tr>
        <w:trPr>
          <w:trHeight w:val="142"/>
        </w:trPr>
        <w:tc>
          <w:tcPr>
            <w:tcW w:w="90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among the Registrant and NVIDIA.</w:t>
              </w:r>
            </w:hyperlink>
          </w:p>
        </w:tc>
        <w:tc>
          <w:tcPr>
            <w:tcW w:w="18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10.4</w:t>
            </w:r>
          </w:p>
        </w:tc>
        <w:tc>
          <w:tcPr>
            <w:tcW w:w="4580" w:type="dxa"/>
            <w:vAlign w:val="bottom"/>
            <w:gridSpan w:val="31"/>
          </w:tcPr>
          <w:p>
            <w:pPr>
              <w:spacing w:after="0"/>
              <w:rPr>
                <w:rFonts w:ascii="Arial" w:cs="Arial" w:eastAsia="Arial" w:hAnsi="Arial"/>
                <w:sz w:val="16"/>
                <w:szCs w:val="16"/>
                <w:color w:val="0000FF"/>
              </w:rPr>
            </w:pPr>
            <w:hyperlink r:id="rId68">
              <w:r>
                <w:rPr>
                  <w:rFonts w:ascii="Arial" w:cs="Arial" w:eastAsia="Arial" w:hAnsi="Arial"/>
                  <w:sz w:val="16"/>
                  <w:szCs w:val="16"/>
                  <w:color w:val="0000FF"/>
                </w:rPr>
                <w:t>Cyclica Inc. Second Amended and Restated Stock Option Plan</w:t>
              </w:r>
            </w:hyperlink>
          </w:p>
        </w:tc>
        <w:tc>
          <w:tcPr>
            <w:tcW w:w="84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333-272282</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120" w:type="dxa"/>
            <w:vAlign w:val="bottom"/>
          </w:tcPr>
          <w:p>
            <w:pPr>
              <w:jc w:val="center"/>
              <w:ind w:right="539"/>
              <w:spacing w:after="0"/>
              <w:rPr>
                <w:sz w:val="20"/>
                <w:szCs w:val="20"/>
                <w:color w:val="auto"/>
              </w:rPr>
            </w:pPr>
            <w:r>
              <w:rPr>
                <w:rFonts w:ascii="Arial" w:cs="Arial" w:eastAsia="Arial" w:hAnsi="Arial"/>
                <w:sz w:val="16"/>
                <w:szCs w:val="16"/>
                <w:color w:val="auto"/>
              </w:rPr>
              <w:t>May 30, 2023</w:t>
            </w: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10.5</w:t>
            </w:r>
          </w:p>
        </w:tc>
        <w:tc>
          <w:tcPr>
            <w:tcW w:w="4500" w:type="dxa"/>
            <w:vAlign w:val="bottom"/>
            <w:tcBorders>
              <w:top w:val="single" w:sz="8" w:color="0000FF"/>
            </w:tcBorders>
            <w:gridSpan w:val="30"/>
          </w:tcPr>
          <w:p>
            <w:pPr>
              <w:spacing w:after="0"/>
              <w:rPr>
                <w:rFonts w:ascii="Arial" w:cs="Arial" w:eastAsia="Arial" w:hAnsi="Arial"/>
                <w:sz w:val="16"/>
                <w:szCs w:val="16"/>
                <w:color w:val="0000FF"/>
              </w:rPr>
            </w:pPr>
            <w:hyperlink r:id="rId69">
              <w:r>
                <w:rPr>
                  <w:rFonts w:ascii="Arial" w:cs="Arial" w:eastAsia="Arial" w:hAnsi="Arial"/>
                  <w:sz w:val="16"/>
                  <w:szCs w:val="16"/>
                  <w:color w:val="0000FF"/>
                </w:rPr>
                <w:t>Valence Discovery Inc. Stock Option Plan dated April 17, 2018</w:t>
              </w:r>
            </w:hyperlink>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S-8</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333-272027</w:t>
            </w:r>
          </w:p>
        </w:tc>
        <w:tc>
          <w:tcPr>
            <w:tcW w:w="76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2120" w:type="dxa"/>
            <w:vAlign w:val="bottom"/>
          </w:tcPr>
          <w:p>
            <w:pPr>
              <w:jc w:val="center"/>
              <w:ind w:right="539"/>
              <w:spacing w:after="0"/>
              <w:rPr>
                <w:sz w:val="20"/>
                <w:szCs w:val="20"/>
                <w:color w:val="auto"/>
              </w:rPr>
            </w:pPr>
            <w:r>
              <w:rPr>
                <w:rFonts w:ascii="Arial" w:cs="Arial" w:eastAsia="Arial" w:hAnsi="Arial"/>
                <w:sz w:val="16"/>
                <w:szCs w:val="16"/>
                <w:color w:val="auto"/>
              </w:rPr>
              <w:t>May 18, 2023</w:t>
            </w:r>
          </w:p>
        </w:tc>
      </w:tr>
      <w:tr>
        <w:trPr>
          <w:trHeight w:val="142"/>
        </w:trPr>
        <w:tc>
          <w:tcPr>
            <w:tcW w:w="900" w:type="dxa"/>
            <w:vAlign w:val="bottom"/>
          </w:tcPr>
          <w:p>
            <w:pPr>
              <w:spacing w:after="0"/>
              <w:rPr>
                <w:sz w:val="12"/>
                <w:szCs w:val="12"/>
                <w:color w:val="auto"/>
              </w:rPr>
            </w:pPr>
          </w:p>
        </w:tc>
        <w:tc>
          <w:tcPr>
            <w:tcW w:w="35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as amended and restated on November 16, 2021</w:t>
              </w:r>
            </w:hyperlink>
          </w:p>
        </w:tc>
        <w:tc>
          <w:tcPr>
            <w:tcW w:w="9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10.6</w:t>
            </w:r>
          </w:p>
        </w:tc>
        <w:tc>
          <w:tcPr>
            <w:tcW w:w="4580" w:type="dxa"/>
            <w:vAlign w:val="bottom"/>
            <w:gridSpan w:val="31"/>
          </w:tcPr>
          <w:p>
            <w:pPr>
              <w:spacing w:after="0"/>
              <w:rPr>
                <w:sz w:val="20"/>
                <w:szCs w:val="20"/>
                <w:color w:val="auto"/>
              </w:rPr>
            </w:pPr>
            <w:r>
              <w:rPr>
                <w:rFonts w:ascii="Arial" w:cs="Arial" w:eastAsia="Arial" w:hAnsi="Arial"/>
                <w:sz w:val="16"/>
                <w:szCs w:val="16"/>
                <w:color w:val="0000FF"/>
              </w:rPr>
              <w:t>Open Market Sales Agreement dated August 8, 2023 by and</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between the Registrant and Jefferies LLC</w:t>
            </w:r>
          </w:p>
        </w:tc>
        <w:tc>
          <w:tcPr>
            <w:tcW w:w="1400" w:type="dxa"/>
            <w:vAlign w:val="bottom"/>
            <w:tcBorders>
              <w:top w:val="single" w:sz="8" w:color="0000FF"/>
            </w:tcBorders>
            <w:gridSpan w:val="15"/>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8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23.1</w:t>
            </w:r>
          </w:p>
        </w:tc>
        <w:tc>
          <w:tcPr>
            <w:tcW w:w="4580" w:type="dxa"/>
            <w:vAlign w:val="bottom"/>
            <w:gridSpan w:val="31"/>
          </w:tcPr>
          <w:p>
            <w:pPr>
              <w:spacing w:after="0"/>
              <w:rPr>
                <w:sz w:val="20"/>
                <w:szCs w:val="20"/>
                <w:color w:val="auto"/>
              </w:rPr>
            </w:pPr>
            <w:r>
              <w:rPr>
                <w:rFonts w:ascii="Arial" w:cs="Arial" w:eastAsia="Arial" w:hAnsi="Arial"/>
                <w:sz w:val="16"/>
                <w:szCs w:val="16"/>
                <w:color w:val="auto"/>
              </w:rPr>
              <w:t>Consent of Wilson Sonsini Goodrich &amp; Rosati, P.C. (included in</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72"/>
        </w:trPr>
        <w:tc>
          <w:tcPr>
            <w:tcW w:w="900" w:type="dxa"/>
            <w:vAlign w:val="bottom"/>
          </w:tcPr>
          <w:p>
            <w:pPr>
              <w:spacing w:after="0"/>
              <w:rPr>
                <w:sz w:val="14"/>
                <w:szCs w:val="14"/>
                <w:color w:val="auto"/>
              </w:rPr>
            </w:pPr>
          </w:p>
        </w:tc>
        <w:tc>
          <w:tcPr>
            <w:tcW w:w="4580" w:type="dxa"/>
            <w:vAlign w:val="bottom"/>
            <w:gridSpan w:val="31"/>
          </w:tcPr>
          <w:p>
            <w:pPr>
              <w:spacing w:after="0" w:line="172" w:lineRule="exact"/>
              <w:rPr>
                <w:sz w:val="20"/>
                <w:szCs w:val="20"/>
                <w:color w:val="auto"/>
              </w:rPr>
            </w:pPr>
            <w:r>
              <w:rPr>
                <w:rFonts w:ascii="Arial" w:cs="Arial" w:eastAsia="Arial" w:hAnsi="Arial"/>
                <w:sz w:val="16"/>
                <w:szCs w:val="16"/>
                <w:color w:val="auto"/>
              </w:rPr>
              <w:t xml:space="preserve">the opinion filed as </w:t>
            </w:r>
            <w:r>
              <w:rPr>
                <w:rFonts w:ascii="Arial" w:cs="Arial" w:eastAsia="Arial" w:hAnsi="Arial"/>
                <w:sz w:val="16"/>
                <w:szCs w:val="16"/>
                <w:color w:val="0000FF"/>
              </w:rPr>
              <w:t>Exhibit 5.1</w:t>
            </w: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8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23.2</w:t>
            </w:r>
          </w:p>
        </w:tc>
        <w:tc>
          <w:tcPr>
            <w:tcW w:w="4580" w:type="dxa"/>
            <w:vAlign w:val="bottom"/>
            <w:gridSpan w:val="31"/>
          </w:tcPr>
          <w:p>
            <w:pPr>
              <w:spacing w:after="0"/>
              <w:rPr>
                <w:sz w:val="20"/>
                <w:szCs w:val="20"/>
                <w:color w:val="auto"/>
              </w:rPr>
            </w:pPr>
            <w:r>
              <w:rPr>
                <w:rFonts w:ascii="Arial" w:cs="Arial" w:eastAsia="Arial" w:hAnsi="Arial"/>
                <w:sz w:val="16"/>
                <w:szCs w:val="16"/>
                <w:color w:val="auto"/>
              </w:rPr>
              <w:t>Consent of Wilson Sonsini Goodrich &amp; Rosati, P.C. (included in</w:t>
            </w: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72"/>
        </w:trPr>
        <w:tc>
          <w:tcPr>
            <w:tcW w:w="900" w:type="dxa"/>
            <w:vAlign w:val="bottom"/>
          </w:tcPr>
          <w:p>
            <w:pPr>
              <w:spacing w:after="0"/>
              <w:rPr>
                <w:sz w:val="14"/>
                <w:szCs w:val="14"/>
                <w:color w:val="auto"/>
              </w:rPr>
            </w:pPr>
          </w:p>
        </w:tc>
        <w:tc>
          <w:tcPr>
            <w:tcW w:w="4580" w:type="dxa"/>
            <w:vAlign w:val="bottom"/>
            <w:gridSpan w:val="31"/>
          </w:tcPr>
          <w:p>
            <w:pPr>
              <w:spacing w:after="0" w:line="172" w:lineRule="exact"/>
              <w:rPr>
                <w:sz w:val="20"/>
                <w:szCs w:val="20"/>
                <w:color w:val="auto"/>
              </w:rPr>
            </w:pPr>
            <w:r>
              <w:rPr>
                <w:rFonts w:ascii="Arial" w:cs="Arial" w:eastAsia="Arial" w:hAnsi="Arial"/>
                <w:sz w:val="16"/>
                <w:szCs w:val="16"/>
                <w:color w:val="auto"/>
              </w:rPr>
              <w:t xml:space="preserve">the opinion filed as </w:t>
            </w:r>
            <w:r>
              <w:rPr>
                <w:rFonts w:ascii="Arial" w:cs="Arial" w:eastAsia="Arial" w:hAnsi="Arial"/>
                <w:sz w:val="16"/>
                <w:szCs w:val="16"/>
                <w:color w:val="0000FF"/>
              </w:rPr>
              <w:t>Exhibit 5.2</w:t>
            </w: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31.1</w:t>
            </w:r>
          </w:p>
        </w:tc>
        <w:tc>
          <w:tcPr>
            <w:tcW w:w="4580" w:type="dxa"/>
            <w:vAlign w:val="bottom"/>
            <w:gridSpan w:val="31"/>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36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220" w:type="dxa"/>
            <w:vAlign w:val="bottom"/>
            <w:gridSpan w:val="7"/>
          </w:tcPr>
          <w:p>
            <w:pPr>
              <w:spacing w:after="0" w:line="142" w:lineRule="exact"/>
              <w:rPr>
                <w:sz w:val="20"/>
                <w:szCs w:val="20"/>
                <w:color w:val="auto"/>
              </w:rPr>
            </w:pPr>
            <w:r>
              <w:rPr>
                <w:rFonts w:ascii="Arial" w:cs="Arial" w:eastAsia="Arial" w:hAnsi="Arial"/>
                <w:sz w:val="16"/>
                <w:szCs w:val="16"/>
                <w:color w:val="0000FF"/>
              </w:rPr>
              <w:t>of</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29"/>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Oxley Act of 2002.</w:t>
            </w:r>
          </w:p>
        </w:tc>
        <w:tc>
          <w:tcPr>
            <w:tcW w:w="3000" w:type="dxa"/>
            <w:vAlign w:val="bottom"/>
            <w:tcBorders>
              <w:top w:val="single" w:sz="8" w:color="0000FF"/>
            </w:tcBorders>
            <w:gridSpan w:val="19"/>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31.2</w:t>
            </w:r>
          </w:p>
        </w:tc>
        <w:tc>
          <w:tcPr>
            <w:tcW w:w="4580" w:type="dxa"/>
            <w:vAlign w:val="bottom"/>
            <w:gridSpan w:val="31"/>
          </w:tcPr>
          <w:p>
            <w:pPr>
              <w:spacing w:after="0"/>
              <w:rPr>
                <w:sz w:val="20"/>
                <w:szCs w:val="20"/>
                <w:color w:val="auto"/>
              </w:rPr>
            </w:pPr>
            <w:r>
              <w:rPr>
                <w:rFonts w:ascii="Arial" w:cs="Arial" w:eastAsia="Arial" w:hAnsi="Arial"/>
                <w:sz w:val="16"/>
                <w:szCs w:val="16"/>
                <w:color w:val="0000FF"/>
              </w:rPr>
              <w:t>Certification of Principal Financial Officer Pursuant to Rules</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26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w w:val="99"/>
              </w:rPr>
              <w:t>13a-14(a) and 15d-14(a) under the Securities Exchange Act</w:t>
            </w:r>
          </w:p>
        </w:tc>
        <w:tc>
          <w:tcPr>
            <w:tcW w:w="320" w:type="dxa"/>
            <w:vAlign w:val="bottom"/>
            <w:gridSpan w:val="12"/>
          </w:tcPr>
          <w:p>
            <w:pPr>
              <w:ind w:left="80"/>
              <w:spacing w:after="0" w:line="142" w:lineRule="exact"/>
              <w:rPr>
                <w:sz w:val="20"/>
                <w:szCs w:val="20"/>
                <w:color w:val="auto"/>
              </w:rPr>
            </w:pPr>
            <w:r>
              <w:rPr>
                <w:rFonts w:ascii="Arial" w:cs="Arial" w:eastAsia="Arial" w:hAnsi="Arial"/>
                <w:sz w:val="16"/>
                <w:szCs w:val="16"/>
                <w:color w:val="0000FF"/>
              </w:rPr>
              <w:t>of</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480" w:type="dxa"/>
            <w:vAlign w:val="bottom"/>
            <w:tcBorders>
              <w:top w:val="single" w:sz="8" w:color="0000FF"/>
            </w:tcBorders>
            <w:gridSpan w:val="29"/>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9"/>
              </w:rPr>
              <w:t>Oxley Act of 2002.</w:t>
            </w:r>
          </w:p>
        </w:tc>
        <w:tc>
          <w:tcPr>
            <w:tcW w:w="3000" w:type="dxa"/>
            <w:vAlign w:val="bottom"/>
            <w:tcBorders>
              <w:top w:val="single" w:sz="8" w:color="0000FF"/>
            </w:tcBorders>
            <w:gridSpan w:val="19"/>
          </w:tcPr>
          <w:p>
            <w:pPr>
              <w:spacing w:after="0"/>
              <w:rPr>
                <w:sz w:val="12"/>
                <w:szCs w:val="12"/>
                <w:color w:val="auto"/>
              </w:rPr>
            </w:pPr>
          </w:p>
        </w:tc>
        <w:tc>
          <w:tcPr>
            <w:tcW w:w="160" w:type="dxa"/>
            <w:vAlign w:val="bottom"/>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9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32.1*</w:t>
            </w:r>
          </w:p>
        </w:tc>
        <w:tc>
          <w:tcPr>
            <w:tcW w:w="39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62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42"/>
        </w:trPr>
        <w:tc>
          <w:tcPr>
            <w:tcW w:w="900" w:type="dxa"/>
            <w:vAlign w:val="bottom"/>
          </w:tcPr>
          <w:p>
            <w:pPr>
              <w:spacing w:after="0"/>
              <w:rPr>
                <w:sz w:val="12"/>
                <w:szCs w:val="12"/>
                <w:color w:val="auto"/>
              </w:rPr>
            </w:pPr>
          </w:p>
        </w:tc>
        <w:tc>
          <w:tcPr>
            <w:tcW w:w="4580" w:type="dxa"/>
            <w:vAlign w:val="bottom"/>
            <w:gridSpan w:val="31"/>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4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540" w:type="dxa"/>
            <w:vAlign w:val="bottom"/>
            <w:gridSpan w:val="15"/>
          </w:tcPr>
          <w:p>
            <w:pPr>
              <w:ind w:left="40"/>
              <w:spacing w:after="0" w:line="142" w:lineRule="exact"/>
              <w:rPr>
                <w:sz w:val="20"/>
                <w:szCs w:val="20"/>
                <w:color w:val="auto"/>
              </w:rPr>
            </w:pPr>
            <w:r>
              <w:rPr>
                <w:rFonts w:ascii="Arial" w:cs="Arial" w:eastAsia="Arial" w:hAnsi="Arial"/>
                <w:sz w:val="16"/>
                <w:szCs w:val="16"/>
                <w:color w:val="0000FF"/>
              </w:rPr>
              <w:t>Act of</w:t>
            </w: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4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230"/>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101.INS</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Instance Document</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101.SCH</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Taxonomy Extension Schema Document</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w w:val="99"/>
              </w:rPr>
              <w:t>101.CAL</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79"/>
              <w:spacing w:after="0"/>
              <w:rPr>
                <w:sz w:val="20"/>
                <w:szCs w:val="20"/>
                <w:color w:val="auto"/>
              </w:rPr>
            </w:pPr>
            <w:r>
              <w:rPr>
                <w:rFonts w:ascii="Arial" w:cs="Arial" w:eastAsia="Arial" w:hAnsi="Arial"/>
                <w:sz w:val="16"/>
                <w:szCs w:val="16"/>
                <w:color w:val="auto"/>
              </w:rPr>
              <w:t>101.DEF</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59"/>
              <w:spacing w:after="0"/>
              <w:rPr>
                <w:sz w:val="20"/>
                <w:szCs w:val="20"/>
                <w:color w:val="auto"/>
              </w:rPr>
            </w:pPr>
            <w:r>
              <w:rPr>
                <w:rFonts w:ascii="Arial" w:cs="Arial" w:eastAsia="Arial" w:hAnsi="Arial"/>
                <w:sz w:val="16"/>
                <w:szCs w:val="16"/>
                <w:color w:val="auto"/>
              </w:rPr>
              <w:t>101.LAB</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Taxonomy Extension Label Linkbase Document</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216"/>
        </w:trPr>
        <w:tc>
          <w:tcPr>
            <w:tcW w:w="900" w:type="dxa"/>
            <w:vAlign w:val="bottom"/>
          </w:tcPr>
          <w:p>
            <w:pPr>
              <w:jc w:val="center"/>
              <w:ind w:right="119"/>
              <w:spacing w:after="0"/>
              <w:rPr>
                <w:sz w:val="20"/>
                <w:szCs w:val="20"/>
                <w:color w:val="auto"/>
              </w:rPr>
            </w:pPr>
            <w:r>
              <w:rPr>
                <w:rFonts w:ascii="Arial" w:cs="Arial" w:eastAsia="Arial" w:hAnsi="Arial"/>
                <w:sz w:val="16"/>
                <w:szCs w:val="16"/>
                <w:color w:val="auto"/>
              </w:rPr>
              <w:t>101.PRE</w:t>
            </w:r>
          </w:p>
        </w:tc>
        <w:tc>
          <w:tcPr>
            <w:tcW w:w="4580" w:type="dxa"/>
            <w:vAlign w:val="bottom"/>
            <w:gridSpan w:val="31"/>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20" w:type="dxa"/>
            <w:vAlign w:val="bottom"/>
          </w:tcPr>
          <w:p>
            <w:pPr>
              <w:ind w:left="2020"/>
              <w:spacing w:after="0"/>
              <w:rPr>
                <w:sz w:val="20"/>
                <w:szCs w:val="20"/>
                <w:color w:val="auto"/>
              </w:rPr>
            </w:pPr>
            <w:r>
              <w:rPr>
                <w:rFonts w:ascii="Arial" w:cs="Arial" w:eastAsia="Arial" w:hAnsi="Arial"/>
                <w:sz w:val="16"/>
                <w:szCs w:val="16"/>
                <w:color w:val="auto"/>
                <w:w w:val="74"/>
              </w:rPr>
              <w:t>X</w:t>
            </w:r>
          </w:p>
        </w:tc>
      </w:tr>
      <w:tr>
        <w:trPr>
          <w:trHeight w:val="171"/>
        </w:trPr>
        <w:tc>
          <w:tcPr>
            <w:tcW w:w="900" w:type="dxa"/>
            <w:vAlign w:val="bottom"/>
          </w:tcPr>
          <w:p>
            <w:pPr>
              <w:jc w:val="center"/>
              <w:ind w:right="159"/>
              <w:spacing w:after="0" w:line="171" w:lineRule="exact"/>
              <w:rPr>
                <w:sz w:val="20"/>
                <w:szCs w:val="20"/>
                <w:color w:val="auto"/>
              </w:rPr>
            </w:pPr>
            <w:r>
              <w:rPr>
                <w:rFonts w:ascii="Arial" w:cs="Arial" w:eastAsia="Arial" w:hAnsi="Arial"/>
                <w:sz w:val="16"/>
                <w:szCs w:val="16"/>
                <w:color w:val="auto"/>
                <w:w w:val="97"/>
              </w:rPr>
              <w:t>104</w:t>
            </w:r>
          </w:p>
        </w:tc>
        <w:tc>
          <w:tcPr>
            <w:tcW w:w="4580" w:type="dxa"/>
            <w:vAlign w:val="bottom"/>
            <w:gridSpan w:val="31"/>
          </w:tcPr>
          <w:p>
            <w:pPr>
              <w:spacing w:after="0" w:line="171" w:lineRule="exact"/>
              <w:rPr>
                <w:sz w:val="20"/>
                <w:szCs w:val="20"/>
                <w:color w:val="auto"/>
              </w:rPr>
            </w:pPr>
            <w:r>
              <w:rPr>
                <w:rFonts w:ascii="Arial" w:cs="Arial" w:eastAsia="Arial" w:hAnsi="Arial"/>
                <w:sz w:val="16"/>
                <w:szCs w:val="16"/>
                <w:color w:val="auto"/>
              </w:rPr>
              <w:t>Cover Page Interactive Data File (formatted as Inline XBRL and</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ind w:left="2020"/>
              <w:spacing w:after="0" w:line="171" w:lineRule="exact"/>
              <w:rPr>
                <w:sz w:val="20"/>
                <w:szCs w:val="20"/>
                <w:color w:val="auto"/>
              </w:rPr>
            </w:pPr>
            <w:r>
              <w:rPr>
                <w:rFonts w:ascii="Arial" w:cs="Arial" w:eastAsia="Arial" w:hAnsi="Arial"/>
                <w:sz w:val="16"/>
                <w:szCs w:val="16"/>
                <w:color w:val="auto"/>
                <w:w w:val="74"/>
              </w:rPr>
              <w:t>X</w:t>
            </w:r>
          </w:p>
        </w:tc>
      </w:tr>
      <w:tr>
        <w:trPr>
          <w:trHeight w:val="207"/>
        </w:trPr>
        <w:tc>
          <w:tcPr>
            <w:tcW w:w="900" w:type="dxa"/>
            <w:vAlign w:val="bottom"/>
          </w:tcPr>
          <w:p>
            <w:pPr>
              <w:spacing w:after="0"/>
              <w:rPr>
                <w:sz w:val="17"/>
                <w:szCs w:val="17"/>
                <w:color w:val="auto"/>
              </w:rPr>
            </w:pPr>
          </w:p>
        </w:tc>
        <w:tc>
          <w:tcPr>
            <w:tcW w:w="4580" w:type="dxa"/>
            <w:vAlign w:val="bottom"/>
            <w:gridSpan w:val="31"/>
          </w:tcPr>
          <w:p>
            <w:pPr>
              <w:spacing w:after="0"/>
              <w:rPr>
                <w:sz w:val="20"/>
                <w:szCs w:val="20"/>
                <w:color w:val="auto"/>
              </w:rPr>
            </w:pPr>
            <w:r>
              <w:rPr>
                <w:rFonts w:ascii="Arial" w:cs="Arial" w:eastAsia="Arial" w:hAnsi="Arial"/>
                <w:sz w:val="16"/>
                <w:szCs w:val="16"/>
                <w:color w:val="auto"/>
              </w:rPr>
              <w:t>contained in Exhibit 101)</w:t>
            </w: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40" w:hanging="615"/>
        <w:spacing w:after="0" w:line="21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August 8, 2023.</w:t>
      </w:r>
    </w:p>
    <w:p>
      <w:pPr>
        <w:spacing w:after="0" w:line="12" w:lineRule="exact"/>
        <w:rPr>
          <w:sz w:val="20"/>
          <w:szCs w:val="20"/>
          <w:color w:val="auto"/>
        </w:rPr>
      </w:pPr>
    </w:p>
    <w:tbl>
      <w:tblPr>
        <w:tblLayout w:type="fixed"/>
        <w:tblInd w:w="624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3"/>
        </w:trPr>
        <w:tc>
          <w:tcPr>
            <w:tcW w:w="460" w:type="dxa"/>
            <w:vAlign w:val="bottom"/>
          </w:tcPr>
          <w:p>
            <w:pPr>
              <w:ind w:left="200"/>
              <w:spacing w:after="0"/>
              <w:rPr>
                <w:sz w:val="20"/>
                <w:szCs w:val="20"/>
                <w:color w:val="auto"/>
              </w:rPr>
            </w:pPr>
            <w:r>
              <w:rPr>
                <w:rFonts w:ascii="Arial" w:cs="Arial" w:eastAsia="Arial" w:hAnsi="Arial"/>
                <w:sz w:val="18"/>
                <w:szCs w:val="18"/>
                <w:color w:val="auto"/>
                <w:w w:val="92"/>
              </w:rPr>
              <w:t>By:</w:t>
            </w:r>
          </w:p>
        </w:tc>
        <w:tc>
          <w:tcPr>
            <w:tcW w:w="1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Christopher Gibson</w:t>
            </w:r>
          </w:p>
        </w:tc>
      </w:tr>
      <w:tr>
        <w:trPr>
          <w:trHeight w:val="24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Christopher Gibson</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4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4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6"/>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70"/>
        </w:trPr>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2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9" w:name="page50"/>
    <w:bookmarkEnd w:id="49"/>
    <w:p>
      <w:pPr>
        <w:ind w:left="10240"/>
        <w:spacing w:after="0"/>
        <w:rPr>
          <w:sz w:val="20"/>
          <w:szCs w:val="20"/>
          <w:color w:val="auto"/>
        </w:rPr>
      </w:pPr>
      <w:r>
        <w:rPr>
          <w:rFonts w:ascii="Arial" w:cs="Arial" w:eastAsia="Arial" w:hAnsi="Arial"/>
          <w:sz w:val="19"/>
          <w:szCs w:val="19"/>
          <w:b w:val="1"/>
          <w:bCs w:val="1"/>
          <w:color w:val="auto"/>
        </w:rPr>
        <w:t>Exhibit 5.1</w:t>
      </w:r>
    </w:p>
    <w:p>
      <w:pPr>
        <w:spacing w:after="0" w:line="200" w:lineRule="exact"/>
        <w:rPr>
          <w:sz w:val="20"/>
          <w:szCs w:val="20"/>
          <w:color w:val="auto"/>
        </w:rPr>
      </w:pPr>
    </w:p>
    <w:p>
      <w:pPr>
        <w:spacing w:after="0" w:line="213"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Wilson Sonsini Goodrich &amp; Rosati</w:t>
      </w:r>
    </w:p>
    <w:p>
      <w:pPr>
        <w:jc w:val="right"/>
        <w:ind w:right="140"/>
        <w:spacing w:after="0" w:line="211" w:lineRule="auto"/>
        <w:rPr>
          <w:sz w:val="20"/>
          <w:szCs w:val="20"/>
          <w:color w:val="auto"/>
        </w:rPr>
      </w:pPr>
      <w:r>
        <w:rPr>
          <w:rFonts w:ascii="Arial" w:cs="Arial" w:eastAsia="Arial" w:hAnsi="Arial"/>
          <w:sz w:val="16"/>
          <w:szCs w:val="16"/>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-78740</wp:posOffset>
            </wp:positionV>
            <wp:extent cx="1088390" cy="419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8390" cy="419735"/>
                    </a:xfrm>
                    <a:prstGeom prst="rect">
                      <a:avLst/>
                    </a:prstGeom>
                    <a:noFill/>
                  </pic:spPr>
                </pic:pic>
              </a:graphicData>
            </a:graphic>
          </wp:anchor>
        </w:drawing>
      </w:r>
    </w:p>
    <w:p>
      <w:pPr>
        <w:jc w:val="right"/>
        <w:ind w:right="140"/>
        <w:spacing w:after="0" w:line="211" w:lineRule="auto"/>
        <w:rPr>
          <w:sz w:val="20"/>
          <w:szCs w:val="20"/>
          <w:color w:val="auto"/>
        </w:rPr>
      </w:pPr>
      <w:r>
        <w:rPr>
          <w:rFonts w:ascii="Arial" w:cs="Arial" w:eastAsia="Arial" w:hAnsi="Arial"/>
          <w:sz w:val="16"/>
          <w:szCs w:val="16"/>
          <w:color w:val="auto"/>
        </w:rPr>
        <w:t>701 Fifth Avenue</w:t>
      </w:r>
    </w:p>
    <w:p>
      <w:pPr>
        <w:jc w:val="right"/>
        <w:ind w:right="140"/>
        <w:spacing w:after="0" w:line="211" w:lineRule="auto"/>
        <w:rPr>
          <w:sz w:val="20"/>
          <w:szCs w:val="20"/>
          <w:color w:val="auto"/>
        </w:rPr>
      </w:pPr>
      <w:r>
        <w:rPr>
          <w:rFonts w:ascii="Arial" w:cs="Arial" w:eastAsia="Arial" w:hAnsi="Arial"/>
          <w:sz w:val="16"/>
          <w:szCs w:val="16"/>
          <w:color w:val="auto"/>
        </w:rPr>
        <w:t>Suite 5100</w:t>
      </w:r>
    </w:p>
    <w:p>
      <w:pPr>
        <w:jc w:val="right"/>
        <w:ind w:right="140"/>
        <w:spacing w:after="0" w:line="212" w:lineRule="auto"/>
        <w:rPr>
          <w:sz w:val="20"/>
          <w:szCs w:val="20"/>
          <w:color w:val="auto"/>
        </w:rPr>
      </w:pPr>
      <w:r>
        <w:rPr>
          <w:rFonts w:ascii="Arial" w:cs="Arial" w:eastAsia="Arial" w:hAnsi="Arial"/>
          <w:sz w:val="16"/>
          <w:szCs w:val="16"/>
          <w:color w:val="auto"/>
        </w:rPr>
        <w:t>Seattle, Washington 98104-7036</w:t>
      </w:r>
    </w:p>
    <w:p>
      <w:pPr>
        <w:jc w:val="right"/>
        <w:ind w:right="140"/>
        <w:spacing w:after="0" w:line="211" w:lineRule="auto"/>
        <w:rPr>
          <w:sz w:val="20"/>
          <w:szCs w:val="20"/>
          <w:color w:val="auto"/>
        </w:rPr>
      </w:pPr>
      <w:r>
        <w:rPr>
          <w:rFonts w:ascii="Arial" w:cs="Arial" w:eastAsia="Arial" w:hAnsi="Arial"/>
          <w:sz w:val="16"/>
          <w:szCs w:val="16"/>
          <w:color w:val="auto"/>
        </w:rPr>
        <w:t>o: 206.883.2500</w:t>
      </w:r>
    </w:p>
    <w:p>
      <w:pPr>
        <w:jc w:val="right"/>
        <w:ind w:right="140"/>
        <w:spacing w:after="0"/>
        <w:rPr>
          <w:sz w:val="20"/>
          <w:szCs w:val="20"/>
          <w:color w:val="auto"/>
        </w:rPr>
      </w:pPr>
      <w:r>
        <w:rPr>
          <w:rFonts w:ascii="Arial" w:cs="Arial" w:eastAsia="Arial" w:hAnsi="Arial"/>
          <w:sz w:val="16"/>
          <w:szCs w:val="16"/>
          <w:color w:val="auto"/>
        </w:rPr>
        <w:t>f: 206.883.2699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8, 2023</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Recursion Pharmaceuticals, Inc</w:t>
      </w:r>
    </w:p>
    <w:p>
      <w:pPr>
        <w:spacing w:after="0" w:line="204" w:lineRule="auto"/>
        <w:rPr>
          <w:sz w:val="20"/>
          <w:szCs w:val="20"/>
          <w:color w:val="auto"/>
        </w:rPr>
      </w:pPr>
      <w:r>
        <w:rPr>
          <w:rFonts w:ascii="Arial" w:cs="Arial" w:eastAsia="Arial" w:hAnsi="Arial"/>
          <w:sz w:val="22"/>
          <w:szCs w:val="22"/>
          <w:color w:val="auto"/>
        </w:rPr>
        <w:t>41 S. Rio Grand St.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 84101</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Registration Statement on Form S-3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We have acted as counsel to Recursion Pharmaceuticals, Inc., a Delaware corporation (the “Company”), in connection with the registration of the proposed offer and sale of up to $300,000,000 of shares (the “Shares”) of the Company’s Class A common stock, $0.00001 par value per share, pursuant to the Company’s Registration Statement on Form S-3ASR (File No. 333-264845) (the “Registration Statement”) including the prospectus dated May 10, 2022 included therein (the “Base Prospectus”), filed by the Company with the Securities and Exchange Commission (the “Commission”) in connection with the registration pursuant to the Securities Act of 1933, as amended (the “Act”), of the Shares.</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offering and sale of the Shares are being made pursuant to the Open Market Sales Agreement, dated as of August 8, 2023 (the “Sales Agreement”), by and between the Company and Jefferies LLC.</w:t>
      </w:r>
    </w:p>
    <w:p>
      <w:pPr>
        <w:spacing w:after="0" w:line="18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We have examined copies of the Sales Agreement, the Registration Statement, the Base Prospectus, and the prospectus supplement thereto related to the offering of the Shares, which prospectus supplement is dated as of August 8, 2023 and will be filed by the Company in accordance with Rule 424(b) promulgated under the Act (the “Prospectus Supplement” and together with the Base Prospectus, the “Prospectus”). We have also examined instruments, documents and records which we deemed relevant and necessary for the basis of our opinion hereinafter expressed.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such examination, we have assumed (a) the authenticity of original documents and the genuineness of all signatures;</w:t>
      </w:r>
    </w:p>
    <w:p>
      <w:pPr>
        <w:spacing w:after="0" w:line="16" w:lineRule="exact"/>
        <w:rPr>
          <w:sz w:val="20"/>
          <w:szCs w:val="20"/>
          <w:color w:val="auto"/>
        </w:rPr>
      </w:pPr>
    </w:p>
    <w:p>
      <w:pPr>
        <w:jc w:val="both"/>
        <w:ind w:firstLine="8"/>
        <w:spacing w:after="0" w:line="237" w:lineRule="auto"/>
        <w:tabs>
          <w:tab w:leader="none" w:pos="32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conformity to the originals of all documents submitted to us as copies; (c) the truth, accuracy and completeness of the information, representations and warranties contained in the instruments, documents, certificates and records we have reviewed;</w:t>
      </w:r>
    </w:p>
    <w:p>
      <w:pPr>
        <w:jc w:val="both"/>
        <w:ind w:firstLine="8"/>
        <w:spacing w:after="0" w:line="212" w:lineRule="auto"/>
        <w:tabs>
          <w:tab w:leader="none" w:pos="352"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that the Registration Statement, and any amendments thereto (including post-effective amendments), will have become effective under the Act; (e) that the Prospectus Supplement will have been filed with the Commission describing the Shares offered thereby; (f) that the Shares will be sold in compliance with applicable U.S. federal and state securities laws and in the manner stated in the Registration Statement and the Prospectus; and (g) the legal capacity of all natural persons. As to any facts material to the opinions expressed herein that were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BRUSSELS HONG KONG LONDON LOS ANGELES NEW YORK PALO ALTO</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SAN DIEGO SAN FRANCISCO SEATTLE SHANGHAI WASHINGTON, DC WILMINGTON, DE</w:t>
      </w:r>
    </w:p>
    <w:p>
      <w:pPr>
        <w:sectPr>
          <w:pgSz w:w="11900" w:h="16838" w:orient="portrait"/>
          <w:cols w:equalWidth="0" w:num="1">
            <w:col w:w="11240"/>
          </w:cols>
          <w:pgMar w:left="320" w:top="9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Recursion Pharmaceuticals, Inc.</w:t>
      </w:r>
    </w:p>
    <w:p>
      <w:pPr>
        <w:spacing w:after="0" w:line="204" w:lineRule="auto"/>
        <w:rPr>
          <w:sz w:val="20"/>
          <w:szCs w:val="20"/>
          <w:color w:val="auto"/>
        </w:rPr>
      </w:pPr>
      <w:r>
        <w:rPr>
          <w:rFonts w:ascii="Arial" w:cs="Arial" w:eastAsia="Arial" w:hAnsi="Arial"/>
          <w:sz w:val="22"/>
          <w:szCs w:val="22"/>
          <w:color w:val="auto"/>
        </w:rPr>
        <w:t>August 8,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independently established or verified, we have relied upon oral or written statements and representations of officers and other representatives of the Company.</w:t>
      </w:r>
    </w:p>
    <w:p>
      <w:pPr>
        <w:spacing w:after="0" w:line="18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We express no opinion as to the laws of any other jurisdiction other than the federal laws of the United States of America and the General Corporation Law of the State of Delaware.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jc w:val="both"/>
        <w:ind w:firstLine="648"/>
        <w:spacing w:after="0" w:line="214" w:lineRule="auto"/>
        <w:rPr>
          <w:sz w:val="20"/>
          <w:szCs w:val="20"/>
          <w:color w:val="auto"/>
        </w:rPr>
      </w:pPr>
      <w:r>
        <w:rPr>
          <w:rFonts w:ascii="Arial" w:cs="Arial" w:eastAsia="Arial" w:hAnsi="Arial"/>
          <w:sz w:val="22"/>
          <w:szCs w:val="22"/>
          <w:color w:val="auto"/>
        </w:rPr>
        <w:t>We hereby consent to the use of this opinion as an exhibit to the Company’s Quarterly Report on Form 10-Q, filed on or about August 8, 2023, for incorporation by reference into the Registration Statement and the Prospectus.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 Wilson Sonsini Goodrich &amp; Rosati, P.C.</w:t>
      </w:r>
    </w:p>
    <w:p>
      <w:pPr>
        <w:spacing w:after="0" w:line="18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WILSON SONSINI GOODRICH &amp; ROSATI</w:t>
      </w:r>
    </w:p>
    <w:p>
      <w:pPr>
        <w:ind w:left="374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74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5.2</w:t>
      </w:r>
    </w:p>
    <w:p>
      <w:pPr>
        <w:spacing w:after="0" w:line="379"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Wilson Sonsini Goodrich &amp; Rosati</w:t>
      </w:r>
    </w:p>
    <w:p>
      <w:pPr>
        <w:jc w:val="right"/>
        <w:ind w:right="140"/>
        <w:spacing w:after="0" w:line="211" w:lineRule="auto"/>
        <w:rPr>
          <w:sz w:val="20"/>
          <w:szCs w:val="20"/>
          <w:color w:val="auto"/>
        </w:rPr>
      </w:pPr>
      <w:r>
        <w:rPr>
          <w:rFonts w:ascii="Arial" w:cs="Arial" w:eastAsia="Arial" w:hAnsi="Arial"/>
          <w:sz w:val="16"/>
          <w:szCs w:val="16"/>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-78740</wp:posOffset>
            </wp:positionV>
            <wp:extent cx="1097280" cy="419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jc w:val="right"/>
        <w:ind w:right="140"/>
        <w:spacing w:after="0" w:line="211" w:lineRule="auto"/>
        <w:rPr>
          <w:sz w:val="20"/>
          <w:szCs w:val="20"/>
          <w:color w:val="auto"/>
        </w:rPr>
      </w:pPr>
      <w:r>
        <w:rPr>
          <w:rFonts w:ascii="Arial" w:cs="Arial" w:eastAsia="Arial" w:hAnsi="Arial"/>
          <w:sz w:val="16"/>
          <w:szCs w:val="16"/>
          <w:color w:val="auto"/>
        </w:rPr>
        <w:t>701 Fifth Avenue</w:t>
      </w:r>
    </w:p>
    <w:p>
      <w:pPr>
        <w:jc w:val="right"/>
        <w:ind w:right="140"/>
        <w:spacing w:after="0" w:line="211" w:lineRule="auto"/>
        <w:rPr>
          <w:sz w:val="20"/>
          <w:szCs w:val="20"/>
          <w:color w:val="auto"/>
        </w:rPr>
      </w:pPr>
      <w:r>
        <w:rPr>
          <w:rFonts w:ascii="Arial" w:cs="Arial" w:eastAsia="Arial" w:hAnsi="Arial"/>
          <w:sz w:val="16"/>
          <w:szCs w:val="16"/>
          <w:color w:val="auto"/>
        </w:rPr>
        <w:t>Suite 5100</w:t>
      </w:r>
    </w:p>
    <w:p>
      <w:pPr>
        <w:jc w:val="right"/>
        <w:ind w:right="140"/>
        <w:spacing w:after="0" w:line="212" w:lineRule="auto"/>
        <w:rPr>
          <w:sz w:val="20"/>
          <w:szCs w:val="20"/>
          <w:color w:val="auto"/>
        </w:rPr>
      </w:pPr>
      <w:r>
        <w:rPr>
          <w:rFonts w:ascii="Arial" w:cs="Arial" w:eastAsia="Arial" w:hAnsi="Arial"/>
          <w:sz w:val="16"/>
          <w:szCs w:val="16"/>
          <w:color w:val="auto"/>
        </w:rPr>
        <w:t>Seattle, Washington 98104-7036</w:t>
      </w:r>
    </w:p>
    <w:p>
      <w:pPr>
        <w:jc w:val="right"/>
        <w:ind w:right="140"/>
        <w:spacing w:after="0" w:line="211" w:lineRule="auto"/>
        <w:rPr>
          <w:sz w:val="20"/>
          <w:szCs w:val="20"/>
          <w:color w:val="auto"/>
        </w:rPr>
      </w:pPr>
      <w:r>
        <w:rPr>
          <w:rFonts w:ascii="Arial" w:cs="Arial" w:eastAsia="Arial" w:hAnsi="Arial"/>
          <w:sz w:val="16"/>
          <w:szCs w:val="16"/>
          <w:color w:val="auto"/>
        </w:rPr>
        <w:t>o: 206.883.2500</w:t>
      </w:r>
    </w:p>
    <w:p>
      <w:pPr>
        <w:jc w:val="right"/>
        <w:ind w:right="140"/>
        <w:spacing w:after="0"/>
        <w:rPr>
          <w:sz w:val="20"/>
          <w:szCs w:val="20"/>
          <w:color w:val="auto"/>
        </w:rPr>
      </w:pPr>
      <w:r>
        <w:rPr>
          <w:rFonts w:ascii="Arial" w:cs="Arial" w:eastAsia="Arial" w:hAnsi="Arial"/>
          <w:sz w:val="16"/>
          <w:szCs w:val="16"/>
          <w:color w:val="auto"/>
        </w:rPr>
        <w:t>f: 206.883.2699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8, 2023</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Recursion Pharmaceuticals, Inc.</w:t>
      </w:r>
    </w:p>
    <w:p>
      <w:pPr>
        <w:spacing w:after="0" w:line="204" w:lineRule="auto"/>
        <w:rPr>
          <w:sz w:val="20"/>
          <w:szCs w:val="20"/>
          <w:color w:val="auto"/>
        </w:rPr>
      </w:pPr>
      <w:r>
        <w:rPr>
          <w:rFonts w:ascii="Arial" w:cs="Arial" w:eastAsia="Arial" w:hAnsi="Arial"/>
          <w:sz w:val="22"/>
          <w:szCs w:val="22"/>
          <w:color w:val="auto"/>
        </w:rPr>
        <w:t>41 S. Rio Grand St.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Salt Lake City, Utah 84101</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Registration Statement on Form S-3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20" w:firstLine="648"/>
        <w:spacing w:after="0" w:line="216" w:lineRule="auto"/>
        <w:rPr>
          <w:sz w:val="20"/>
          <w:szCs w:val="20"/>
          <w:color w:val="auto"/>
        </w:rPr>
      </w:pPr>
      <w:r>
        <w:rPr>
          <w:rFonts w:ascii="Arial" w:cs="Arial" w:eastAsia="Arial" w:hAnsi="Arial"/>
          <w:sz w:val="22"/>
          <w:szCs w:val="22"/>
          <w:color w:val="auto"/>
        </w:rPr>
        <w:t>At your request, we have examined the Registration Statement on Form S-3ASR (File No. 333-264845) (the “Registration Statement”), including the prospectus dated May 10, 2022 included therein (the “Base Prospectus”), filed by Recursion Pharmaceuticals, Inc., a Delaware corporation (the “Company”), with the Securities and Exchange Commission (the “Commission”) in connection with the registration pursuant to the Securities Act of 1933, as amended (the “Act”), of the Securities (as defined below).</w:t>
      </w:r>
    </w:p>
    <w:p>
      <w:pPr>
        <w:spacing w:after="0" w:line="185" w:lineRule="exact"/>
        <w:rPr>
          <w:sz w:val="20"/>
          <w:szCs w:val="20"/>
          <w:color w:val="auto"/>
        </w:rPr>
      </w:pPr>
    </w:p>
    <w:p>
      <w:pPr>
        <w:ind w:right="120" w:firstLine="648"/>
        <w:spacing w:after="0" w:line="216" w:lineRule="auto"/>
        <w:rPr>
          <w:sz w:val="20"/>
          <w:szCs w:val="20"/>
          <w:color w:val="auto"/>
        </w:rPr>
      </w:pPr>
      <w:r>
        <w:rPr>
          <w:rFonts w:ascii="Arial" w:cs="Arial" w:eastAsia="Arial" w:hAnsi="Arial"/>
          <w:sz w:val="22"/>
          <w:szCs w:val="22"/>
          <w:color w:val="auto"/>
        </w:rPr>
        <w:t>The Registration Statement relates to the proposed offer and sale by the selling stockholder (the “Selling Stockholder”), from time to time, pursuant to Rule 415 under the Act, as set forth in the Registration Statement, the Base Prospectus and a prospectus supplement dated as of August 8, 2022 (the “Prospectus Supplement” and together with the Base Prospectus, the “Prospectus”), of up to an aggregate of 7,706,363 shares of the Company’s Class A common stock, $0.00001 par value per share (the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Securities are to be sold from time to time as set forth in the Registration Statement and the Prospectus.</w:t>
      </w:r>
    </w:p>
    <w:p>
      <w:pPr>
        <w:spacing w:after="0" w:line="206" w:lineRule="exact"/>
        <w:rPr>
          <w:sz w:val="20"/>
          <w:szCs w:val="20"/>
          <w:color w:val="auto"/>
        </w:rPr>
      </w:pPr>
    </w:p>
    <w:p>
      <w:pPr>
        <w:ind w:right="120" w:firstLine="648"/>
        <w:spacing w:after="0" w:line="243" w:lineRule="auto"/>
        <w:rPr>
          <w:sz w:val="20"/>
          <w:szCs w:val="20"/>
          <w:color w:val="auto"/>
        </w:rPr>
      </w:pPr>
      <w:r>
        <w:rPr>
          <w:rFonts w:ascii="Arial" w:cs="Arial" w:eastAsia="Arial" w:hAnsi="Arial"/>
          <w:sz w:val="19"/>
          <w:szCs w:val="19"/>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the Prospectus Supplement will have been filed with the Commission describing the Securities offered thereby; (f) that the Securities will be sold in compliance with applicable U.S. federal and state securities laws and in the manner stated in the Registration Statement and the Prospectus; and (g)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AUSTIN BEIJING BOSTON BRUSSELS HONG KONG LONDON LOS ANGELES NEW YORK PALO ALTO</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003D4C"/>
        </w:rPr>
        <w:t>SAN DIEGO SAN FRANCISCO SEATTLE SHANGHAI WASHINGTON, DC WILMINGTON, DE</w:t>
      </w:r>
    </w:p>
    <w:p>
      <w:pPr>
        <w:sectPr>
          <w:pgSz w:w="11900" w:h="16838" w:orient="portrait"/>
          <w:cols w:equalWidth="0" w:num="1">
            <w:col w:w="11240"/>
          </w:cols>
          <w:pgMar w:left="320" w:top="98"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Recursion Pharmaceuticals, Inc.</w:t>
      </w:r>
    </w:p>
    <w:p>
      <w:pPr>
        <w:spacing w:after="0" w:line="204" w:lineRule="auto"/>
        <w:rPr>
          <w:sz w:val="20"/>
          <w:szCs w:val="20"/>
          <w:color w:val="auto"/>
        </w:rPr>
      </w:pPr>
      <w:r>
        <w:rPr>
          <w:rFonts w:ascii="Arial" w:cs="Arial" w:eastAsia="Arial" w:hAnsi="Arial"/>
          <w:sz w:val="22"/>
          <w:szCs w:val="22"/>
          <w:color w:val="auto"/>
        </w:rPr>
        <w:t>August 8, 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648"/>
        <w:spacing w:after="0" w:line="224" w:lineRule="auto"/>
        <w:rPr>
          <w:sz w:val="20"/>
          <w:szCs w:val="20"/>
          <w:color w:val="auto"/>
        </w:rPr>
      </w:pPr>
      <w:r>
        <w:rPr>
          <w:rFonts w:ascii="Arial" w:cs="Arial" w:eastAsia="Arial" w:hAnsi="Arial"/>
          <w:sz w:val="21"/>
          <w:szCs w:val="21"/>
          <w:color w:val="auto"/>
        </w:rPr>
        <w:t>Based on such examination, we are of the opinion that when issued the Securities will be duly authorized, validly issued, fully paid and nonassessable. It is understood that this opinion is to be used only in connection with the offer and resale of the Securities while the Registration Statement is in effect. We assume no obligation to supplement this opinion if any applicable law changes after the date hereof or if we become aware of any fact that might change the opinion expressed herein after the date hereof. We express no opinion as to the laws of any other jurisdiction, other than the federal laws of the United States of America and the General Corporation Law of the State of Delaware.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206" w:lineRule="exact"/>
        <w:rPr>
          <w:sz w:val="20"/>
          <w:szCs w:val="20"/>
          <w:color w:val="auto"/>
        </w:rPr>
      </w:pPr>
    </w:p>
    <w:p>
      <w:pPr>
        <w:jc w:val="both"/>
        <w:ind w:right="100" w:firstLine="648"/>
        <w:spacing w:after="0" w:line="218" w:lineRule="auto"/>
        <w:rPr>
          <w:sz w:val="20"/>
          <w:szCs w:val="20"/>
          <w:color w:val="auto"/>
        </w:rPr>
      </w:pPr>
      <w:r>
        <w:rPr>
          <w:rFonts w:ascii="Arial" w:cs="Arial" w:eastAsia="Arial" w:hAnsi="Arial"/>
          <w:sz w:val="22"/>
          <w:szCs w:val="22"/>
          <w:color w:val="auto"/>
        </w:rPr>
        <w:t>We hereby consent to the use of this opinion as an exhibit to the Company’s Quarterly Report on Form 10-Q, filed on or about August 8, 2023, for incorporation by reference into the Registration Statement and the Prospectus.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/s/ Wilson Sonsini Goodrich &amp; Rosati, P.C.</w:t>
      </w:r>
    </w:p>
    <w:p>
      <w:pPr>
        <w:spacing w:after="0" w:line="18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WILSON SONSINI GOODRICH &amp; ROSATI</w:t>
      </w:r>
    </w:p>
    <w:p>
      <w:pPr>
        <w:ind w:left="374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180"/>
          </w:cols>
          <w:pgMar w:left="320" w:top="747"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929292"/>
        </w:rPr>
        <w:t>41 S. Rio Grande Street</w:t>
      </w:r>
    </w:p>
    <w:p>
      <w:pPr>
        <w:jc w:val="right"/>
        <w:spacing w:after="0" w:line="219" w:lineRule="auto"/>
        <w:rPr>
          <w:sz w:val="20"/>
          <w:szCs w:val="20"/>
          <w:color w:val="auto"/>
        </w:rPr>
      </w:pPr>
      <w:r>
        <w:rPr>
          <w:rFonts w:ascii="Arial" w:cs="Arial" w:eastAsia="Arial" w:hAnsi="Arial"/>
          <w:sz w:val="18"/>
          <w:szCs w:val="18"/>
          <w:color w:val="929292"/>
        </w:rPr>
        <w:t>Salt Lake City, Utah 84101</w:t>
      </w:r>
    </w:p>
    <w:p>
      <w:pPr>
        <w:jc w:val="right"/>
        <w:spacing w:after="0" w:line="203" w:lineRule="auto"/>
        <w:rPr>
          <w:sz w:val="20"/>
          <w:szCs w:val="20"/>
          <w:color w:val="auto"/>
        </w:rPr>
      </w:pPr>
      <w:r>
        <w:rPr>
          <w:rFonts w:ascii="Arial" w:cs="Arial" w:eastAsia="Arial" w:hAnsi="Arial"/>
          <w:sz w:val="18"/>
          <w:szCs w:val="18"/>
          <w:color w:val="929292"/>
        </w:rPr>
        <w:t>(385) 269-0203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929292"/>
        </w:rPr>
        <w:t>recursionpharma.com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349250</wp:posOffset>
            </wp:positionV>
            <wp:extent cx="1645920" cy="480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May 19,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Mauro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Offer Letter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39" w:lineRule="exact"/>
        <w:rPr>
          <w:sz w:val="20"/>
          <w:szCs w:val="20"/>
          <w:color w:val="auto"/>
        </w:rPr>
      </w:pPr>
    </w:p>
    <w:p>
      <w:pPr>
        <w:jc w:val="both"/>
        <w:ind w:right="240" w:firstLine="648"/>
        <w:spacing w:after="0" w:line="270" w:lineRule="auto"/>
        <w:rPr>
          <w:sz w:val="20"/>
          <w:szCs w:val="20"/>
          <w:color w:val="auto"/>
        </w:rPr>
      </w:pPr>
      <w:r>
        <w:rPr>
          <w:rFonts w:ascii="Arial" w:cs="Arial" w:eastAsia="Arial" w:hAnsi="Arial"/>
          <w:sz w:val="18"/>
          <w:szCs w:val="18"/>
          <w:color w:val="auto"/>
        </w:rPr>
        <w:t>Recursion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is truly excited to extend you an offer on the terms and conditions in this letter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and hope that you will be joining us in our mission of decoding biology to radically improve lives.</w:t>
      </w:r>
    </w:p>
    <w:p>
      <w:pPr>
        <w:spacing w:after="0" w:line="206" w:lineRule="exact"/>
        <w:rPr>
          <w:sz w:val="20"/>
          <w:szCs w:val="20"/>
          <w:color w:val="auto"/>
        </w:rPr>
      </w:pPr>
    </w:p>
    <w:p>
      <w:pPr>
        <w:jc w:val="both"/>
        <w:ind w:firstLine="652"/>
        <w:spacing w:after="0" w:line="22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Position. You will be the Company’s Chief Medical Officer, and will report to the Company’s Chief Executive Officer. This is a full-time position. You will perform the duties and have the responsibilities and authority customarily performed and held by an employee in your position or as otherwise may be assigned or delegated to you by the Company.</w:t>
      </w:r>
    </w:p>
    <w:p>
      <w:pPr>
        <w:spacing w:after="0" w:line="203" w:lineRule="exact"/>
        <w:rPr>
          <w:rFonts w:ascii="Arial" w:cs="Arial" w:eastAsia="Arial" w:hAnsi="Arial"/>
          <w:sz w:val="18"/>
          <w:szCs w:val="18"/>
          <w:color w:val="auto"/>
        </w:rPr>
      </w:pPr>
    </w:p>
    <w:p>
      <w:pPr>
        <w:jc w:val="both"/>
        <w:ind w:firstLine="651"/>
        <w:spacing w:after="0" w:line="222" w:lineRule="auto"/>
        <w:tabs>
          <w:tab w:leader="none" w:pos="10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Location. You are required to spend a minimum of 40-50% of standard working days onsite at the Company’s headquarters in Salt Lake City. For executives who choose to live in other cities, because we believe in the value of onsite interaction for our teams, we will cover up to an average of four round- trip flights per month to/from Company Headquarters and we may make use of Company-leased apartments within walking distance of the office to offset hotel costs for the Company.</w:t>
      </w:r>
    </w:p>
    <w:p>
      <w:pPr>
        <w:spacing w:after="0" w:line="196" w:lineRule="exact"/>
        <w:rPr>
          <w:rFonts w:ascii="Arial" w:cs="Arial" w:eastAsia="Arial" w:hAnsi="Arial"/>
          <w:sz w:val="18"/>
          <w:szCs w:val="18"/>
          <w:color w:val="auto"/>
        </w:rPr>
      </w:pPr>
    </w:p>
    <w:p>
      <w:pPr>
        <w:jc w:val="both"/>
        <w:ind w:right="100" w:firstLine="651"/>
        <w:spacing w:after="0" w:line="276" w:lineRule="auto"/>
        <w:tabs>
          <w:tab w:leader="none" w:pos="1081"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annual base salary will be $520,000, which will be payable, less applicable withholdings and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Company’s normal payroll practices. Your annual base salary may be modified from time to time at the discretion of the Company.</w:t>
      </w:r>
    </w:p>
    <w:p>
      <w:pPr>
        <w:spacing w:after="0" w:line="190" w:lineRule="exact"/>
        <w:rPr>
          <w:rFonts w:ascii="Arial" w:cs="Arial" w:eastAsia="Arial" w:hAnsi="Arial"/>
          <w:sz w:val="18"/>
          <w:szCs w:val="18"/>
          <w:color w:val="auto"/>
        </w:rPr>
      </w:pPr>
    </w:p>
    <w:p>
      <w:pPr>
        <w:jc w:val="both"/>
        <w:ind w:right="100" w:firstLine="651"/>
        <w:spacing w:after="0" w:line="264" w:lineRule="auto"/>
        <w:tabs>
          <w:tab w:leader="none" w:pos="1081"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You are eligible to earn an annual cash bonus with a target value of 25% of your annual base salary and</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equity bonus with a target value of 25% of your annual base salary paid in fully vested equity awards, in each case based on achieving performance objectives established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or an authorized committee thereof (the “</w:t>
      </w:r>
      <w:r>
        <w:rPr>
          <w:rFonts w:ascii="Arial" w:cs="Arial" w:eastAsia="Arial" w:hAnsi="Arial"/>
          <w:sz w:val="18"/>
          <w:szCs w:val="18"/>
          <w:u w:val="single" w:color="auto"/>
          <w:color w:val="auto"/>
        </w:rPr>
        <w:t>Committee</w:t>
      </w:r>
      <w:r>
        <w:rPr>
          <w:rFonts w:ascii="Arial" w:cs="Arial" w:eastAsia="Arial" w:hAnsi="Arial"/>
          <w:sz w:val="18"/>
          <w:szCs w:val="18"/>
          <w:color w:val="auto"/>
        </w:rPr>
        <w:t>”) in its sole discretion and payable upon achievement of those objectives as determined by the Committee. If any portion of any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ectPr>
          <w:pgSz w:w="11900" w:h="16838" w:orient="portrait"/>
          <w:cols w:equalWidth="0" w:num="1">
            <w:col w:w="11020"/>
          </w:cols>
          <w:pgMar w:left="540" w:top="580" w:right="339" w:bottom="1440" w:gutter="0" w:footer="0" w:header="0"/>
        </w:sectPr>
      </w:pPr>
    </w:p>
    <w:bookmarkStart w:id="54" w:name="page55"/>
    <w:bookmarkEnd w:id="54"/>
    <w:p>
      <w:pPr>
        <w:spacing w:after="0" w:line="230" w:lineRule="exact"/>
        <w:rPr>
          <w:sz w:val="20"/>
          <w:szCs w:val="20"/>
          <w:color w:val="auto"/>
        </w:rPr>
      </w:pPr>
    </w:p>
    <w:p>
      <w:pPr>
        <w:jc w:val="both"/>
        <w:ind w:firstLine="651"/>
        <w:spacing w:after="0" w:line="252" w:lineRule="auto"/>
        <w:tabs>
          <w:tab w:leader="none" w:pos="108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Subject to the approval of the Committee, the Company will grant you an award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(“RSUs”) with a target value of $1,000,000. If the RSU award is approved by the Committee, on the grant date, the target value will be converted into a number of RSUs determined in accordance with the Company’s equity practices. Each RSU subject to the award will represent a right to receive one share of our Class A Common Stock upon vesting. The RSU award will vest as follows: 25% of the RSUs subject to the award shall vest on the first Company Vesting Date (each of February 15, May 15, August 15, and November 15 is a “Company Vesting Date”) occurring after the first anniversary of your Start Date (as defined below) and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RSUs subject to the award will vest every Company Vesting Date thereafter until the RSU award is fully vested, subject to your continued employment with the Company through each such Company Vesting Date. The RSU award will be subject to the terms and conditions of the Company’s equity incentive plan as then in effect and the applicable form of RSU agreement thereunder.</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Subject to the approval of the Committee, the Company will grant you an option to purchase shares of our Class A Common Stock at a price per share equal to the fair market value of a share of our Class A Common Stock on the date of grant (as determined by the Committee), with such option having a target value of $1,000,000. If the option is approved by the Committee, on the grant date, the target value will be converted into a number of shares determined in accordance with the Company’s equity practices. The option will vest as follows: 25% of the shares subject to the option shall vest on the first anniversary of your Start Date and 1/48th of the shares subject to the option award will vest each month thereafter until the option award is fully vested, subject to your continued employment with the Company through each such vesting date. Your option grant shall be subject to the terms and conditions of the of the Company’s equity incentive plan as then in effect and the applicable form of option agreement thereunder.</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addition, you will be eligible to receive other awards of stock options, restricted stock units or other equity awards pursuant to any plans or arrangements the Company may have in 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210" w:lineRule="exact"/>
        <w:rPr>
          <w:sz w:val="20"/>
          <w:szCs w:val="20"/>
          <w:color w:val="auto"/>
        </w:rPr>
      </w:pPr>
    </w:p>
    <w:p>
      <w:pPr>
        <w:jc w:val="both"/>
        <w:ind w:firstLine="651"/>
        <w:spacing w:after="0" w:line="264" w:lineRule="auto"/>
        <w:tabs>
          <w:tab w:leader="none" w:pos="1081"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 time, employee of the Company, you will be eligible to participate in Company-sponsored benefits in accordance with the terms of the Company’s policies and benefits plan. In addition, you will be entitled to paid vacation in accordance with the Company’s vacation policy, as in effect from time to time. Information regarding coverage, eligibility, and other information regarding these benefits is set forth in more detailed documents that are available from the Company. With the exception of the Company’s at-will employment policy, discussed below, the Company may, from time to time, in its sole discretion, modify or eliminate its policies and/or benefits offered to employees.</w:t>
      </w:r>
    </w:p>
    <w:p>
      <w:pPr>
        <w:spacing w:after="0" w:line="240" w:lineRule="exact"/>
        <w:rPr>
          <w:rFonts w:ascii="Arial" w:cs="Arial" w:eastAsia="Arial" w:hAnsi="Arial"/>
          <w:sz w:val="18"/>
          <w:szCs w:val="18"/>
          <w:color w:val="auto"/>
        </w:rPr>
      </w:pPr>
    </w:p>
    <w:p>
      <w:pPr>
        <w:jc w:val="both"/>
        <w:ind w:firstLine="652"/>
        <w:spacing w:after="0" w:line="26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Severance</w:t>
      </w:r>
      <w:r>
        <w:rPr>
          <w:rFonts w:ascii="Arial" w:cs="Arial" w:eastAsia="Arial" w:hAnsi="Arial"/>
          <w:sz w:val="18"/>
          <w:szCs w:val="18"/>
          <w:color w:val="auto"/>
        </w:rPr>
        <w:t>. You will be eligible for the Company’s Executive Change in Control and Severance Plan (the “</w:t>
      </w:r>
      <w:r>
        <w:rPr>
          <w:rFonts w:ascii="Arial" w:cs="Arial" w:eastAsia="Arial" w:hAnsi="Arial"/>
          <w:sz w:val="18"/>
          <w:szCs w:val="18"/>
          <w:u w:val="single" w:color="auto"/>
          <w:color w:val="auto"/>
        </w:rPr>
        <w:t>Severance Plan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entering into a Participation Agreement under the Severance Plan, which is being provided to you concurrently with this Agreement. Your Participation Agreement under the Severance Plan will specify the severance payments and benefits you could be eligible to receive in connection with certain terminations of your employment with the Company.</w:t>
      </w:r>
    </w:p>
    <w:p>
      <w:pPr>
        <w:spacing w:after="0" w:line="212" w:lineRule="exact"/>
        <w:rPr>
          <w:rFonts w:ascii="Arial" w:cs="Arial" w:eastAsia="Arial" w:hAnsi="Arial"/>
          <w:sz w:val="18"/>
          <w:szCs w:val="18"/>
          <w:color w:val="auto"/>
        </w:rPr>
      </w:pPr>
    </w:p>
    <w:p>
      <w:pPr>
        <w:jc w:val="both"/>
        <w:ind w:firstLine="652"/>
        <w:spacing w:after="0" w:line="26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will be for no specific period of time.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and your other terms and conditions of employment, may change from time to time, the “at will” nature of your employment may only be changed in an express written agreement signed by you and the CEO of the Company.</w:t>
      </w:r>
    </w:p>
    <w:p>
      <w:pPr>
        <w:sectPr>
          <w:pgSz w:w="11900" w:h="16838" w:orient="portrait"/>
          <w:cols w:equalWidth="0" w:num="1">
            <w:col w:w="10920"/>
          </w:cols>
          <w:pgMar w:left="540" w:top="1440" w:right="439" w:bottom="1440" w:gutter="0" w:footer="0" w:header="0"/>
        </w:sectPr>
      </w:pPr>
    </w:p>
    <w:bookmarkStart w:id="55" w:name="page56"/>
    <w:bookmarkEnd w:id="55"/>
    <w:p>
      <w:pPr>
        <w:spacing w:after="0" w:line="189" w:lineRule="exact"/>
        <w:rPr>
          <w:sz w:val="20"/>
          <w:szCs w:val="20"/>
          <w:color w:val="auto"/>
        </w:rPr>
      </w:pPr>
    </w:p>
    <w:p>
      <w:pPr>
        <w:jc w:val="both"/>
        <w:ind w:left="-651" w:firstLine="652"/>
        <w:spacing w:after="0" w:line="276"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Background Check</w:t>
      </w:r>
      <w:r>
        <w:rPr>
          <w:rFonts w:ascii="Arial" w:cs="Arial" w:eastAsia="Arial" w:hAnsi="Arial"/>
          <w:sz w:val="18"/>
          <w:szCs w:val="18"/>
          <w:color w:val="auto"/>
        </w:rPr>
        <w:t>. The Company reserves the right to conduct background investigations and/or reference checks on all</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potential employees. Your job offer, therefore, is contingent upon a clearance of such a background investigation and/or reference check.</w:t>
      </w:r>
    </w:p>
    <w:p>
      <w:pPr>
        <w:spacing w:after="0" w:line="190" w:lineRule="exact"/>
        <w:rPr>
          <w:rFonts w:ascii="Arial" w:cs="Arial" w:eastAsia="Arial" w:hAnsi="Arial"/>
          <w:sz w:val="18"/>
          <w:szCs w:val="18"/>
          <w:color w:val="auto"/>
        </w:rPr>
      </w:pPr>
    </w:p>
    <w:p>
      <w:pPr>
        <w:jc w:val="both"/>
        <w:ind w:left="-651" w:firstLine="651"/>
        <w:spacing w:after="0" w:line="276" w:lineRule="auto"/>
        <w:tabs>
          <w:tab w:leader="none" w:pos="4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Immigration Laws</w:t>
      </w:r>
      <w:r>
        <w:rPr>
          <w:rFonts w:ascii="Arial" w:cs="Arial" w:eastAsia="Arial" w:hAnsi="Arial"/>
          <w:sz w:val="18"/>
          <w:szCs w:val="18"/>
          <w:color w:val="auto"/>
        </w:rPr>
        <w:t>. For purposes of federal immigration law, you will be required to provide to the Company documentary</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your identity and eligibility for employment in the United States. Such documentation must be provided within three (3) business days of the effective date of your employment, or your employment relationship with the Company may be terminated.</w:t>
      </w:r>
    </w:p>
    <w:p>
      <w:pPr>
        <w:spacing w:after="0" w:line="203" w:lineRule="exact"/>
        <w:rPr>
          <w:rFonts w:ascii="Arial" w:cs="Arial" w:eastAsia="Arial" w:hAnsi="Arial"/>
          <w:sz w:val="18"/>
          <w:szCs w:val="18"/>
          <w:color w:val="auto"/>
        </w:rPr>
      </w:pPr>
    </w:p>
    <w:p>
      <w:pPr>
        <w:jc w:val="both"/>
        <w:ind w:left="-651" w:firstLine="652"/>
        <w:spacing w:after="0" w:line="262" w:lineRule="auto"/>
        <w:tabs>
          <w:tab w:leader="none" w:pos="41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Prior Employment/Third Party Information/Conflicting Obligations</w:t>
      </w:r>
      <w:r>
        <w:rPr>
          <w:rFonts w:ascii="Arial" w:cs="Arial" w:eastAsia="Arial" w:hAnsi="Arial"/>
          <w:sz w:val="18"/>
          <w:szCs w:val="18"/>
          <w:color w:val="auto"/>
        </w:rPr>
        <w:t>. We ask that, if you have not already done so, you</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Similarly, you agree not to bring any third-party confidential information to the Company, including that of any former employer, and that you will not in any way utilize any such information in performing your duties for the Company.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247" w:lineRule="exact"/>
        <w:rPr>
          <w:rFonts w:ascii="Arial" w:cs="Arial" w:eastAsia="Arial" w:hAnsi="Arial"/>
          <w:sz w:val="18"/>
          <w:szCs w:val="18"/>
          <w:color w:val="auto"/>
        </w:rPr>
      </w:pPr>
    </w:p>
    <w:p>
      <w:pPr>
        <w:jc w:val="both"/>
        <w:ind w:left="-651" w:firstLine="652"/>
        <w:spacing w:after="0" w:line="262"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Employee Confidentiality and Invention Assignment</w:t>
      </w:r>
      <w:r>
        <w:rPr>
          <w:rFonts w:ascii="Arial" w:cs="Arial" w:eastAsia="Arial" w:hAnsi="Arial"/>
          <w:sz w:val="18"/>
          <w:szCs w:val="18"/>
          <w:color w:val="auto"/>
        </w:rPr>
        <w:t>. As a condition of your employment with the Company,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sign and comply with an At-Will Employment, Confidential Information, Invention Assignment, and Arbitration Agreement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requires, among other provisions, the assignment of patent rights to any invention made during your employment at the Company, non-disclosure of Company proprietary information, and arbitration of any disputes or claims relating to or arising out of our employment relationship, subject to the terms and conditions set forth in the Confidentiality Agreement. Please note that we must receive your signed Confidentiality Agreement before your first day of employment with the Company. Nothing in this Agreement, the Confidentiality Agreement, or any other Company agreement or policy will prohibit you from engaging in protected conduct, as described in the Protected Activity Not Prohibited section of the Confidentiality Agreement.</w:t>
      </w:r>
    </w:p>
    <w:p>
      <w:pPr>
        <w:spacing w:after="0" w:line="217" w:lineRule="exact"/>
        <w:rPr>
          <w:rFonts w:ascii="Arial" w:cs="Arial" w:eastAsia="Arial" w:hAnsi="Arial"/>
          <w:sz w:val="18"/>
          <w:szCs w:val="18"/>
          <w:color w:val="auto"/>
        </w:rPr>
      </w:pPr>
    </w:p>
    <w:p>
      <w:pPr>
        <w:jc w:val="both"/>
        <w:ind w:left="-651" w:firstLine="652"/>
        <w:spacing w:after="0" w:line="276"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Company Policies. </w:t>
      </w:r>
      <w:r>
        <w:rPr>
          <w:rFonts w:ascii="Arial" w:cs="Arial" w:eastAsia="Arial" w:hAnsi="Arial"/>
          <w:sz w:val="18"/>
          <w:szCs w:val="18"/>
          <w:color w:val="auto"/>
        </w:rPr>
        <w:t>As a Company employee, you will be expected to abide by the Company’s rules and standards.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specifically required to sign an acknowledgment that you have read and understand the Company’s Code of Conduct, and the Company’s employee handbook, along with other Company policies.</w:t>
      </w:r>
    </w:p>
    <w:p>
      <w:pPr>
        <w:spacing w:after="0" w:line="190" w:lineRule="exact"/>
        <w:rPr>
          <w:rFonts w:ascii="Arial" w:cs="Arial" w:eastAsia="Arial" w:hAnsi="Arial"/>
          <w:sz w:val="18"/>
          <w:szCs w:val="18"/>
          <w:color w:val="auto"/>
        </w:rPr>
      </w:pPr>
    </w:p>
    <w:p>
      <w:pPr>
        <w:jc w:val="both"/>
        <w:ind w:left="-651" w:firstLine="652"/>
        <w:spacing w:after="0" w:line="267"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FDA Disbarment</w:t>
      </w:r>
      <w:r>
        <w:rPr>
          <w:rFonts w:ascii="Arial" w:cs="Arial" w:eastAsia="Arial" w:hAnsi="Arial"/>
          <w:sz w:val="18"/>
          <w:szCs w:val="18"/>
          <w:color w:val="auto"/>
        </w:rPr>
        <w:t>. As a condition of the acceptance of this Agreement, you certify that you are not and have never been</w:t>
      </w:r>
      <w:r>
        <w:rPr>
          <w:rFonts w:ascii="Arial" w:cs="Arial" w:eastAsia="Arial" w:hAnsi="Arial"/>
          <w:sz w:val="18"/>
          <w:szCs w:val="18"/>
          <w:b w:val="1"/>
          <w:bCs w:val="1"/>
          <w:color w:val="auto"/>
        </w:rPr>
        <w:t xml:space="preserve"> </w:t>
      </w:r>
      <w:r>
        <w:rPr>
          <w:rFonts w:ascii="Arial" w:cs="Arial" w:eastAsia="Arial" w:hAnsi="Arial"/>
          <w:sz w:val="18"/>
          <w:szCs w:val="18"/>
          <w:color w:val="auto"/>
        </w:rPr>
        <w:t>debarred by the FDA pursuant to 21 USC 335, are not listed on the FDA’s disqualified/restricted list, are not excluded from participating in federal health care programs, and have not committed any actions that could lead to FDA debarment or exclusion from federal health care programs. If you become aware of a proceeding that could lead to debarment or disqualification/restriction by FDA or exclusion from federal health care programs, you will immediately inform the Board.</w:t>
      </w:r>
    </w:p>
    <w:p>
      <w:pPr>
        <w:spacing w:after="0" w:line="198" w:lineRule="exact"/>
        <w:rPr>
          <w:rFonts w:ascii="Arial" w:cs="Arial" w:eastAsia="Arial" w:hAnsi="Arial"/>
          <w:sz w:val="18"/>
          <w:szCs w:val="18"/>
          <w:color w:val="auto"/>
        </w:rPr>
      </w:pPr>
    </w:p>
    <w:p>
      <w:pPr>
        <w:jc w:val="both"/>
        <w:ind w:left="-651" w:firstLine="652"/>
        <w:spacing w:after="0" w:line="264" w:lineRule="auto"/>
        <w:tabs>
          <w:tab w:leader="none" w:pos="42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Governing Law; Venue</w:t>
      </w:r>
      <w:r>
        <w:rPr>
          <w:rFonts w:ascii="Arial" w:cs="Arial" w:eastAsia="Arial" w:hAnsi="Arial"/>
          <w:sz w:val="18"/>
          <w:szCs w:val="18"/>
          <w:color w:val="auto"/>
        </w:rPr>
        <w:t>. All questions concerning the construction, validity and interpretation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exhibits hereto shall be governed by and construed in accordance with the domestic laws of the State of Utah, without giving effect to any choice of law or conflict of law provision or rule (whether of the State of Utah or any other jurisdiction) that would cause the application of the laws of any jurisdiction other than the State of Utah. Any lawsuit arising out of or in any way related to this Agreement to the Parties’ relationship hereunder shall be brought only in those state or federal courts having jurisdiction over actions arising in Salt Lake County in the State of Utah.</w:t>
      </w:r>
    </w:p>
    <w:p>
      <w:pPr>
        <w:sectPr>
          <w:pgSz w:w="11900" w:h="16838" w:orient="portrait"/>
          <w:cols w:equalWidth="0" w:num="1">
            <w:col w:w="10269"/>
          </w:cols>
          <w:pgMar w:left="1191" w:top="1440" w:right="439" w:bottom="1440" w:gutter="0" w:footer="0" w:header="0"/>
        </w:sectPr>
      </w:pPr>
    </w:p>
    <w:bookmarkStart w:id="56" w:name="page57"/>
    <w:bookmarkEnd w:id="56"/>
    <w:p>
      <w:pPr>
        <w:spacing w:after="0" w:line="230" w:lineRule="exact"/>
        <w:rPr>
          <w:sz w:val="20"/>
          <w:szCs w:val="20"/>
          <w:color w:val="auto"/>
        </w:rPr>
      </w:pPr>
    </w:p>
    <w:p>
      <w:pPr>
        <w:jc w:val="both"/>
        <w:ind w:left="20" w:firstLine="652"/>
        <w:spacing w:after="0" w:line="260"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To accept the Company’s offer, please sign and date this Agreement in the space provided below. If you</w:t>
      </w:r>
      <w:r>
        <w:rPr>
          <w:rFonts w:ascii="Arial" w:cs="Arial" w:eastAsia="Arial" w:hAnsi="Arial"/>
          <w:sz w:val="18"/>
          <w:szCs w:val="18"/>
          <w:b w:val="1"/>
          <w:bCs w:val="1"/>
          <w:color w:val="auto"/>
        </w:rPr>
        <w:t xml:space="preserve"> </w:t>
      </w:r>
      <w:r>
        <w:rPr>
          <w:rFonts w:ascii="Arial" w:cs="Arial" w:eastAsia="Arial" w:hAnsi="Arial"/>
          <w:sz w:val="18"/>
          <w:szCs w:val="18"/>
          <w:color w:val="auto"/>
        </w:rPr>
        <w:t>accept our offer, your first day of employment is expected to be June 1, 2023 (the actual date your employment begins, the “Start Date”). You understand and agree that your compensation set forth herein will be remuneration for all services rendered to the Company and any subsidiaries or affiliates of Company. This Agreement, the Severance Plan, the Participation Agreement, and the Confidentiality Agreement constitute the entire agreement between you and the Company regarding the subject matters discussed, and they supersede all prior negotiations, representations or agreements between you and the Company (including, but not limited to, any representations made during your recruitment, interviews or pre-employment negotiations, whether written or oral). This Agreement may only be modified by a written agreement signed by you and the Company’s Chief Executive Officer. This offer of employment will terminate if it is not accepted, signed and returned by May 26,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of employment, please sign and date in the spaces indicated and return this Agreement to the Company.</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6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Recursion</w:t>
      </w:r>
    </w:p>
    <w:p>
      <w:pPr>
        <w:ind w:left="5920"/>
        <w:spacing w:after="0" w:line="203" w:lineRule="auto"/>
        <w:rPr>
          <w:sz w:val="20"/>
          <w:szCs w:val="20"/>
          <w:color w:val="auto"/>
        </w:rPr>
      </w:pPr>
      <w:r>
        <w:rPr>
          <w:rFonts w:ascii="Arial" w:cs="Arial" w:eastAsia="Arial" w:hAnsi="Arial"/>
          <w:sz w:val="18"/>
          <w:szCs w:val="18"/>
          <w:color w:val="auto"/>
        </w:rPr>
        <w:t>Pharmaceuticals,</w:t>
      </w:r>
    </w:p>
    <w:p>
      <w:pPr>
        <w:ind w:left="5920"/>
        <w:spacing w:after="0"/>
        <w:rPr>
          <w:sz w:val="20"/>
          <w:szCs w:val="20"/>
          <w:color w:val="auto"/>
        </w:rPr>
      </w:pPr>
      <w:r>
        <w:rPr>
          <w:rFonts w:ascii="Arial" w:cs="Arial" w:eastAsia="Arial" w:hAnsi="Arial"/>
          <w:sz w:val="18"/>
          <w:szCs w:val="18"/>
          <w:color w:val="auto"/>
        </w:rPr>
        <w:t>Inc.</w:t>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w:t>
      </w:r>
    </w:p>
    <w:p>
      <w:pPr>
        <w:ind w:left="6260"/>
        <w:spacing w:after="0"/>
        <w:rPr>
          <w:sz w:val="20"/>
          <w:szCs w:val="20"/>
          <w:color w:val="auto"/>
        </w:rPr>
      </w:pPr>
      <w:r>
        <w:rPr>
          <w:rFonts w:ascii="Arial" w:cs="Arial" w:eastAsia="Arial" w:hAnsi="Arial"/>
          <w:sz w:val="18"/>
          <w:szCs w:val="18"/>
          <w:color w:val="auto"/>
        </w:rPr>
        <w:t>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6350</wp:posOffset>
            </wp:positionV>
            <wp:extent cx="882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Christopher Gibson</w:t>
      </w:r>
    </w:p>
    <w:p>
      <w:pPr>
        <w:spacing w:after="0" w:line="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Executive</w:t>
      </w:r>
    </w:p>
    <w:p>
      <w:pPr>
        <w:ind w:left="59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78" w:lineRule="exact"/>
        <w:rPr>
          <w:sz w:val="20"/>
          <w:szCs w:val="20"/>
          <w:color w:val="auto"/>
        </w:rPr>
      </w:pPr>
    </w:p>
    <w:p>
      <w:pPr>
        <w:ind w:left="20" w:firstLine="648"/>
        <w:spacing w:after="0" w:line="275" w:lineRule="auto"/>
        <w:rPr>
          <w:sz w:val="20"/>
          <w:szCs w:val="20"/>
          <w:color w:val="auto"/>
        </w:rPr>
      </w:pPr>
      <w:r>
        <w:rPr>
          <w:rFonts w:ascii="Arial" w:cs="Arial" w:eastAsia="Arial" w:hAnsi="Arial"/>
          <w:sz w:val="18"/>
          <w:szCs w:val="18"/>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25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David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13970</wp:posOffset>
            </wp:positionV>
            <wp:extent cx="18084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Mauro</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May 19, 2023</w:t>
      </w:r>
    </w:p>
    <w:p>
      <w:pPr>
        <w:sectPr>
          <w:pgSz w:w="11900" w:h="16838" w:orient="portrait"/>
          <w:cols w:equalWidth="0" w:num="1">
            <w:col w:w="10940"/>
          </w:cols>
          <w:pgMar w:left="520" w:top="1440" w:right="43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OPEN MARKET SALES AGREEMENT</w:t>
      </w:r>
      <w:r>
        <w:rPr>
          <w:rFonts w:ascii="Arial" w:cs="Arial" w:eastAsia="Arial" w:hAnsi="Arial"/>
          <w:sz w:val="28"/>
          <w:szCs w:val="28"/>
          <w:b w:val="1"/>
          <w:bCs w:val="1"/>
          <w:color w:val="auto"/>
          <w:vertAlign w:val="superscript"/>
        </w:rPr>
        <w:t>1</w:t>
      </w:r>
    </w:p>
    <w:p>
      <w:pPr>
        <w:spacing w:after="0" w:line="122" w:lineRule="exact"/>
        <w:rPr>
          <w:sz w:val="20"/>
          <w:szCs w:val="20"/>
          <w:color w:val="auto"/>
        </w:rPr>
      </w:pPr>
    </w:p>
    <w:p>
      <w:pPr>
        <w:ind w:left="9920"/>
        <w:spacing w:after="0"/>
        <w:rPr>
          <w:sz w:val="20"/>
          <w:szCs w:val="20"/>
          <w:color w:val="auto"/>
        </w:rPr>
      </w:pPr>
      <w:r>
        <w:rPr>
          <w:rFonts w:ascii="Arial" w:cs="Arial" w:eastAsia="Arial" w:hAnsi="Arial"/>
          <w:sz w:val="19"/>
          <w:szCs w:val="19"/>
          <w:color w:val="auto"/>
        </w:rPr>
        <w:t>August 8, 2023</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04" w:lineRule="auto"/>
        <w:rPr>
          <w:sz w:val="20"/>
          <w:szCs w:val="20"/>
          <w:color w:val="auto"/>
        </w:rPr>
      </w:pPr>
      <w:r>
        <w:rPr>
          <w:rFonts w:ascii="Arial" w:cs="Arial" w:eastAsia="Arial" w:hAnsi="Arial"/>
          <w:sz w:val="22"/>
          <w:szCs w:val="22"/>
          <w:color w:val="auto"/>
        </w:rPr>
        <w:t>520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Recursion Pharmaceuticals,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proposes, subject to the terms and conditions stated herein, to issue and sell from time to time through Jefferies LLC, as sales agent and/or principal (the “</w:t>
      </w:r>
      <w:r>
        <w:rPr>
          <w:rFonts w:ascii="Arial" w:cs="Arial" w:eastAsia="Arial" w:hAnsi="Arial"/>
          <w:sz w:val="22"/>
          <w:szCs w:val="22"/>
          <w:b w:val="1"/>
          <w:bCs w:val="1"/>
          <w:color w:val="auto"/>
        </w:rPr>
        <w:t>Agent</w:t>
      </w:r>
      <w:r>
        <w:rPr>
          <w:rFonts w:ascii="Arial" w:cs="Arial" w:eastAsia="Arial" w:hAnsi="Arial"/>
          <w:sz w:val="22"/>
          <w:szCs w:val="22"/>
          <w:color w:val="auto"/>
        </w:rPr>
        <w:t>”), shares of the Company’s Class A common stock, par value $0.00001 per share (the “</w:t>
      </w:r>
      <w:r>
        <w:rPr>
          <w:rFonts w:ascii="Arial" w:cs="Arial" w:eastAsia="Arial" w:hAnsi="Arial"/>
          <w:sz w:val="22"/>
          <w:szCs w:val="22"/>
          <w:b w:val="1"/>
          <w:bCs w:val="1"/>
          <w:color w:val="auto"/>
        </w:rPr>
        <w:t>Class A Common Shares</w:t>
      </w:r>
      <w:r>
        <w:rPr>
          <w:rFonts w:ascii="Arial" w:cs="Arial" w:eastAsia="Arial" w:hAnsi="Arial"/>
          <w:sz w:val="22"/>
          <w:szCs w:val="22"/>
          <w:color w:val="auto"/>
        </w:rPr>
        <w:t>”), having an aggregate offering price of up to $300,000,000 on the terms set forth in this sales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The Class A Common Shares and the shares of the Company’s Class B common stock, par value $0.00001 per share, are referred to herein as the “</w:t>
      </w:r>
      <w:r>
        <w:rPr>
          <w:rFonts w:ascii="Arial" w:cs="Arial" w:eastAsia="Arial" w:hAnsi="Arial"/>
          <w:sz w:val="22"/>
          <w:szCs w:val="22"/>
          <w:b w:val="1"/>
          <w:bCs w:val="1"/>
          <w:color w:val="auto"/>
        </w:rPr>
        <w:t>Common Stock</w:t>
      </w:r>
      <w:r>
        <w:rPr>
          <w:rFonts w:ascii="Arial" w:cs="Arial" w:eastAsia="Arial" w:hAnsi="Arial"/>
          <w:sz w:val="22"/>
          <w:szCs w:val="22"/>
          <w:color w:val="auto"/>
        </w:rPr>
        <w:t>.”</w:t>
      </w:r>
    </w:p>
    <w:p>
      <w:pPr>
        <w:spacing w:after="0" w:line="15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2"/>
          <w:szCs w:val="22"/>
          <w:b w:val="1"/>
          <w:bCs w:val="1"/>
          <w:color w:val="auto"/>
        </w:rPr>
        <w:t>DEFINITIONS</w:t>
      </w:r>
    </w:p>
    <w:p>
      <w:pPr>
        <w:spacing w:after="0" w:line="185" w:lineRule="exact"/>
        <w:rPr>
          <w:sz w:val="20"/>
          <w:szCs w:val="20"/>
          <w:color w:val="auto"/>
        </w:rPr>
      </w:pPr>
    </w:p>
    <w:p>
      <w:pPr>
        <w:ind w:firstLine="656"/>
        <w:spacing w:after="0" w:line="232" w:lineRule="auto"/>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capitalized terms used herein and not otherwise defined shall have the following respective meanings: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Agency Period</w:t>
      </w:r>
      <w:r>
        <w:rPr>
          <w:rFonts w:ascii="Arial" w:cs="Arial" w:eastAsia="Arial" w:hAnsi="Arial"/>
          <w:sz w:val="22"/>
          <w:szCs w:val="22"/>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Commission</w:t>
      </w:r>
      <w:r>
        <w:rPr>
          <w:rFonts w:ascii="Arial" w:cs="Arial" w:eastAsia="Arial" w:hAnsi="Arial"/>
          <w:sz w:val="22"/>
          <w:szCs w:val="22"/>
          <w:color w:val="auto"/>
        </w:rPr>
        <w:t>” means the U.S. Securities and Exchange Commission.</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of the Commission thereunder.</w:t>
      </w:r>
    </w:p>
    <w:p>
      <w:pPr>
        <w:spacing w:after="0" w:line="1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Amount</w:t>
      </w:r>
      <w:r>
        <w:rPr>
          <w:rFonts w:ascii="Arial" w:cs="Arial" w:eastAsia="Arial" w:hAnsi="Arial"/>
          <w:sz w:val="19"/>
          <w:szCs w:val="19"/>
          <w:color w:val="auto"/>
        </w:rPr>
        <w:t>” means the aggregate Sales Price of the Shares to be sold by the Agent pursuant to any Issuance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SM</w:t>
      </w:r>
      <w:r>
        <w:rPr>
          <w:rFonts w:ascii="Arial" w:cs="Arial" w:eastAsia="Arial" w:hAnsi="Arial"/>
          <w:sz w:val="18"/>
          <w:szCs w:val="18"/>
          <w:color w:val="auto"/>
        </w:rPr>
        <w:t xml:space="preserve"> “Open Market Sales Agreement” is a service mark of Jefferies LLC</w:t>
      </w:r>
    </w:p>
    <w:p>
      <w:pPr>
        <w:sectPr>
          <w:pgSz w:w="11900" w:h="16838" w:orient="portrait"/>
          <w:cols w:equalWidth="0" w:num="1">
            <w:col w:w="11240"/>
          </w:cols>
          <w:pgMar w:left="320" w:top="98" w:right="339" w:bottom="1440" w:gutter="0" w:footer="0" w:header="0"/>
        </w:sectPr>
      </w:pPr>
    </w:p>
    <w:bookmarkStart w:id="58" w:name="page59"/>
    <w:bookmarkEnd w:id="58"/>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Issuance Notice</w:t>
      </w:r>
      <w:r>
        <w:rPr>
          <w:rFonts w:ascii="Arial" w:cs="Arial" w:eastAsia="Arial" w:hAnsi="Arial"/>
          <w:sz w:val="19"/>
          <w:szCs w:val="19"/>
          <w:color w:val="auto"/>
        </w:rPr>
        <w:t xml:space="preserve">” means a written notice delivered to the Agent by the Company in accordance with this Agreement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is executed by its Chief Executive Officer or Chief Financial Officer.</w:t>
      </w:r>
    </w:p>
    <w:p>
      <w:pPr>
        <w:spacing w:after="0" w:line="9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Notice Date</w:t>
      </w:r>
      <w:r>
        <w:rPr>
          <w:rFonts w:ascii="Arial" w:cs="Arial" w:eastAsia="Arial" w:hAnsi="Arial"/>
          <w:sz w:val="22"/>
          <w:szCs w:val="22"/>
          <w:color w:val="auto"/>
        </w:rPr>
        <w:t xml:space="preserve">” means any Trading Day during the Agency Period that an Issuance Notice is delivered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Price</w:t>
      </w:r>
      <w:r>
        <w:rPr>
          <w:rFonts w:ascii="Arial" w:cs="Arial" w:eastAsia="Arial" w:hAnsi="Arial"/>
          <w:sz w:val="22"/>
          <w:szCs w:val="22"/>
          <w:color w:val="auto"/>
        </w:rPr>
        <w:t>” means the Sales Price less the Selling Commission.</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Maximum Program Amount</w:t>
      </w:r>
      <w:r>
        <w:rPr>
          <w:rFonts w:ascii="Arial" w:cs="Arial" w:eastAsia="Arial" w:hAnsi="Arial"/>
          <w:sz w:val="19"/>
          <w:szCs w:val="19"/>
          <w:color w:val="auto"/>
        </w:rPr>
        <w:t>” means Class A Common Shares with an aggregate Sales Price of the lesser of (a) the number or dollar amount of Class A Common Shares registered under the effective Registration Statement (defined below) pursuant to which the offering is being made, (b) the number of authorized but unissued Class A Common Shares (less Class A Common Shares issuable upon exercise, conversion or exchange of any outstanding securities of the Company or otherwise reserved from the Company’s authorized capital stock), (c) the number or dollar amount of Class A Common Shares permitted to be sold under Form S-3 (including General Instruction I.B.6 thereof, if applicable), (d) the number or dollar amount of Class A Common Shares for which the Company has filed a Prospectus (defined below) or (e) $300,000,000.</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 Market</w:t>
      </w:r>
      <w:r>
        <w:rPr>
          <w:rFonts w:ascii="Arial" w:cs="Arial" w:eastAsia="Arial" w:hAnsi="Arial"/>
          <w:sz w:val="22"/>
          <w:szCs w:val="22"/>
          <w:color w:val="auto"/>
        </w:rPr>
        <w:t>” means the Nasdaq Global Select Market or such other national securities exchange on which the Class A Common Shares, including any Shares, are then listed.</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462(b) Registration Statement</w:t>
      </w:r>
      <w:r>
        <w:rPr>
          <w:rFonts w:ascii="Arial" w:cs="Arial" w:eastAsia="Arial" w:hAnsi="Arial"/>
          <w:sz w:val="22"/>
          <w:szCs w:val="22"/>
          <w:color w:val="auto"/>
        </w:rPr>
        <w:t>” means any registration statement filed by the Company pursuant to Rule 462(b) under the Securities Act in connection with the offer and sale of Shares.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Sales Price</w:t>
      </w:r>
      <w:r>
        <w:rPr>
          <w:rFonts w:ascii="Arial" w:cs="Arial" w:eastAsia="Arial" w:hAnsi="Arial"/>
          <w:sz w:val="19"/>
          <w:szCs w:val="19"/>
          <w:color w:val="auto"/>
        </w:rPr>
        <w:t>” means the actual sale execution price of each Share placed by the Agent pursuant to this Agreement.</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 and the rules and regulations of the Commission thereunder.</w:t>
      </w:r>
    </w:p>
    <w:p>
      <w:pPr>
        <w:spacing w:after="0" w:line="1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three percent (3.0%) of the gross proceeds of Shares sold pursuant to this Agreement, or as otherwise agreed between the Company and the Agent with respect to any Shares sold pursuant to this Agreement.</w:t>
      </w:r>
    </w:p>
    <w:p>
      <w:pPr>
        <w:spacing w:after="0" w:line="9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Settlement Date</w:t>
      </w:r>
      <w:r>
        <w:rPr>
          <w:rFonts w:ascii="Arial" w:cs="Arial" w:eastAsia="Arial" w:hAnsi="Arial"/>
          <w:sz w:val="21"/>
          <w:szCs w:val="21"/>
          <w:color w:val="auto"/>
        </w:rPr>
        <w:t>” means the second business day, or such other time period as required by the Exchange Act or by the rules promulgated thereunder,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Company’s Class A Common Shares issued or issuable pursuant to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any day on which the Principal Market is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59" w:name="page60"/>
    <w:bookmarkEnd w:id="59"/>
    <w:p>
      <w:pPr>
        <w:spacing w:after="0"/>
        <w:tabs>
          <w:tab w:leader="none" w:pos="13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REPRESENTATIONS AND WARRANTIES OF THE COMPANY</w:t>
      </w:r>
    </w:p>
    <w:p>
      <w:pPr>
        <w:spacing w:after="0" w:line="18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The Company represents and warrants to, and agrees with, the Agent that as of (1) the date of this Agreement, (2) each Issuance Notice Date, (3) each Settlement Date, (4) each Triggering Event Date (as defined below) with respect to which the Company is required to deliver a certificate pursuant to Section 4(o) (and such requirement is not waived) and (5) as of each Time of Sale (as defined below) (each of the times referenced above is referred to herein as a “</w:t>
      </w:r>
      <w:r>
        <w:rPr>
          <w:rFonts w:ascii="Arial" w:cs="Arial" w:eastAsia="Arial" w:hAnsi="Arial"/>
          <w:sz w:val="22"/>
          <w:szCs w:val="22"/>
          <w:b w:val="1"/>
          <w:bCs w:val="1"/>
          <w:color w:val="auto"/>
        </w:rPr>
        <w:t>Representation Date</w:t>
      </w:r>
      <w:r>
        <w:rPr>
          <w:rFonts w:ascii="Arial" w:cs="Arial" w:eastAsia="Arial" w:hAnsi="Arial"/>
          <w:sz w:val="22"/>
          <w:szCs w:val="22"/>
          <w:color w:val="auto"/>
        </w:rPr>
        <w:t>”), except as may be disclosed in the Prospectus (including any documents incorporated by reference therein and any supplements thereto) on or before a Representation Date:</w:t>
      </w:r>
    </w:p>
    <w:p>
      <w:pPr>
        <w:spacing w:after="0" w:line="159" w:lineRule="exact"/>
        <w:rPr>
          <w:sz w:val="20"/>
          <w:szCs w:val="20"/>
          <w:color w:val="auto"/>
        </w:rPr>
      </w:pPr>
    </w:p>
    <w:p>
      <w:pPr>
        <w:jc w:val="both"/>
        <w:ind w:firstLine="656"/>
        <w:spacing w:after="0"/>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Company has prepared and filed with the Commission an automatic shelf registration statement, as defined under Rule 405 of the Securities Act, on Form S-3ASR (File No. 333-264845)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9"/>
          <w:szCs w:val="19"/>
          <w:b w:val="1"/>
          <w:bCs w:val="1"/>
          <w:color w:val="auto"/>
        </w:rPr>
        <w:t>Prospectus</w:t>
      </w:r>
      <w:r>
        <w:rPr>
          <w:rFonts w:ascii="Arial" w:cs="Arial" w:eastAsia="Arial" w:hAnsi="Arial"/>
          <w:sz w:val="19"/>
          <w:szCs w:val="19"/>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9"/>
          <w:szCs w:val="19"/>
          <w:b w:val="1"/>
          <w:bCs w:val="1"/>
          <w:color w:val="auto"/>
        </w:rPr>
        <w:t>Prospectus</w:t>
      </w:r>
      <w:r>
        <w:rPr>
          <w:rFonts w:ascii="Arial" w:cs="Arial" w:eastAsia="Arial" w:hAnsi="Arial"/>
          <w:sz w:val="19"/>
          <w:szCs w:val="19"/>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Registration Statement</w:t>
      </w:r>
      <w:r>
        <w:rPr>
          <w:rFonts w:ascii="Arial" w:cs="Arial" w:eastAsia="Arial" w:hAnsi="Arial"/>
          <w:sz w:val="19"/>
          <w:szCs w:val="19"/>
          <w:color w:val="auto"/>
        </w:rPr>
        <w:t>.” As used in this Agreement, the terms “amendment” or “supplement” when applied to the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or the Prospectus shall be deemed to include the filing by the Company with the Commission of any document under the Exchange Act after the date hereof that is or is deemed to be incorporated therein by reference.</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 copies of any report or statement shall be deemed satisfied if the same is filed with the Commission through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60" w:name="page61"/>
    <w:bookmarkEnd w:id="60"/>
    <w:p>
      <w:pPr>
        <w:jc w:val="both"/>
        <w:ind w:firstLine="648"/>
        <w:spacing w:after="0" w:line="247" w:lineRule="auto"/>
        <w:rPr>
          <w:sz w:val="20"/>
          <w:szCs w:val="20"/>
          <w:color w:val="auto"/>
        </w:rPr>
      </w:pPr>
      <w:r>
        <w:rPr>
          <w:rFonts w:ascii="Arial" w:cs="Arial" w:eastAsia="Arial" w:hAnsi="Arial"/>
          <w:sz w:val="19"/>
          <w:szCs w:val="19"/>
          <w:color w:val="auto"/>
        </w:rPr>
        <w:t>The Original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At the time the Registration Statement became or will become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54" w:lineRule="exact"/>
        <w:rPr>
          <w:sz w:val="20"/>
          <w:szCs w:val="20"/>
          <w:color w:val="auto"/>
        </w:rPr>
      </w:pPr>
    </w:p>
    <w:p>
      <w:pPr>
        <w:jc w:val="both"/>
        <w:ind w:firstLine="656"/>
        <w:spacing w:after="0" w:line="214"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Compliance with Registration Requirements</w:t>
      </w:r>
      <w:r>
        <w:rPr>
          <w:rFonts w:ascii="Arial" w:cs="Arial" w:eastAsia="Arial" w:hAnsi="Arial"/>
          <w:sz w:val="22"/>
          <w:szCs w:val="22"/>
          <w:color w:val="auto"/>
        </w:rPr>
        <w:t>. The Original Registration Statement and any Rule 462(b) Registration Statement became or will become effective under the Securities Act.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Company’s knowledge, are contemplated or threatened by the Commission.</w:t>
      </w:r>
    </w:p>
    <w:p>
      <w:pPr>
        <w:spacing w:after="0" w:line="159" w:lineRule="exact"/>
        <w:rPr>
          <w:sz w:val="20"/>
          <w:szCs w:val="20"/>
          <w:color w:val="auto"/>
        </w:rPr>
      </w:pPr>
    </w:p>
    <w:p>
      <w:pPr>
        <w:jc w:val="both"/>
        <w:ind w:firstLine="333"/>
        <w:spacing w:after="0"/>
        <w:rPr>
          <w:sz w:val="20"/>
          <w:szCs w:val="20"/>
          <w:color w:val="auto"/>
        </w:rPr>
      </w:pPr>
      <w:r>
        <w:rPr>
          <w:rFonts w:ascii="Arial" w:cs="Arial" w:eastAsia="Arial" w:hAnsi="Arial"/>
          <w:sz w:val="19"/>
          <w:szCs w:val="19"/>
          <w:color w:val="auto"/>
        </w:rPr>
        <w:t>The Prospectus when filed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9"/>
          <w:szCs w:val="19"/>
          <w:b w:val="1"/>
          <w:bCs w:val="1"/>
          <w:color w:val="auto"/>
        </w:rPr>
        <w:t>Time of Sale Information</w:t>
      </w:r>
      <w:r>
        <w:rPr>
          <w:rFonts w:ascii="Arial" w:cs="Arial" w:eastAsia="Arial" w:hAnsi="Arial"/>
          <w:sz w:val="19"/>
          <w:szCs w:val="19"/>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at each Representation Date and at each Settlement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0" w:lineRule="exact"/>
        <w:rPr>
          <w:sz w:val="20"/>
          <w:szCs w:val="20"/>
          <w:color w:val="auto"/>
        </w:rPr>
      </w:pPr>
    </w:p>
    <w:p>
      <w:pPr>
        <w:spacing w:after="0" w:line="209" w:lineRule="exact"/>
        <w:rPr>
          <w:sz w:val="20"/>
          <w:szCs w:val="20"/>
          <w:color w:val="auto"/>
        </w:rPr>
      </w:pPr>
    </w:p>
    <w:p>
      <w:pPr>
        <w:jc w:val="both"/>
        <w:ind w:firstLine="656"/>
        <w:spacing w:after="0" w:line="249"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Ineligible Issuer Status</w:t>
      </w:r>
      <w:r>
        <w:rPr>
          <w:rFonts w:ascii="Arial" w:cs="Arial" w:eastAsia="Arial" w:hAnsi="Arial"/>
          <w:sz w:val="19"/>
          <w:szCs w:val="19"/>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61" w:name="page62"/>
    <w:bookmarkEnd w:id="61"/>
    <w:p>
      <w:pPr>
        <w:jc w:val="both"/>
        <w:spacing w:after="0" w:line="222" w:lineRule="auto"/>
        <w:rPr>
          <w:sz w:val="20"/>
          <w:szCs w:val="20"/>
          <w:color w:val="auto"/>
        </w:rPr>
      </w:pPr>
      <w:r>
        <w:rPr>
          <w:rFonts w:ascii="Arial" w:cs="Arial" w:eastAsia="Arial" w:hAnsi="Arial"/>
          <w:sz w:val="21"/>
          <w:szCs w:val="21"/>
          <w:color w:val="auto"/>
        </w:rPr>
        <w:t>Commission or retention where required and legending, and each such Free Writing Prospectus, as of its issue date, at each Representation Date and at each Settlement Date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which consent shall not be unreasonably withheld, conditioned or delayed, prepare, use or refer to, any Free Writing Prospectus.</w:t>
      </w:r>
    </w:p>
    <w:p>
      <w:pPr>
        <w:spacing w:after="0" w:line="164" w:lineRule="exact"/>
        <w:rPr>
          <w:sz w:val="20"/>
          <w:szCs w:val="20"/>
          <w:color w:val="auto"/>
        </w:rPr>
      </w:pPr>
    </w:p>
    <w:p>
      <w:pPr>
        <w:jc w:val="both"/>
        <w:ind w:firstLine="656"/>
        <w:spacing w:after="0" w:line="252"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Incorporated Documents</w:t>
      </w:r>
      <w:r>
        <w:rPr>
          <w:rFonts w:ascii="Arial" w:cs="Arial" w:eastAsia="Arial" w:hAnsi="Arial"/>
          <w:sz w:val="19"/>
          <w:szCs w:val="19"/>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48"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became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53" w:lineRule="exact"/>
        <w:rPr>
          <w:rFonts w:ascii="Arial" w:cs="Arial" w:eastAsia="Arial" w:hAnsi="Arial"/>
          <w:sz w:val="19"/>
          <w:szCs w:val="19"/>
          <w:color w:val="auto"/>
        </w:rPr>
      </w:pPr>
    </w:p>
    <w:p>
      <w:pPr>
        <w:jc w:val="both"/>
        <w:ind w:firstLine="656"/>
        <w:spacing w:after="0" w:line="212" w:lineRule="auto"/>
        <w:tabs>
          <w:tab w:leader="none" w:pos="129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Well-Known Seasoned Issuer</w:t>
      </w:r>
      <w:r>
        <w:rPr>
          <w:rFonts w:ascii="Arial" w:cs="Arial" w:eastAsia="Arial" w:hAnsi="Arial"/>
          <w:sz w:val="22"/>
          <w:szCs w:val="22"/>
          <w:color w:val="auto"/>
        </w:rPr>
        <w:t>. (A) At the time of effectiveness of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Shares in reliance on the exemption of Rule 163 under the Securities Act, and (D) as of the Time of Sale, the Company was and is a “well-known seasoned issuer,” as defined in Rule 405 under the Securities Act.</w:t>
      </w:r>
    </w:p>
    <w:p>
      <w:pPr>
        <w:spacing w:after="0" w:line="163" w:lineRule="exact"/>
        <w:rPr>
          <w:rFonts w:ascii="Arial" w:cs="Arial" w:eastAsia="Arial" w:hAnsi="Arial"/>
          <w:sz w:val="22"/>
          <w:szCs w:val="22"/>
          <w:color w:val="auto"/>
        </w:rPr>
      </w:pPr>
    </w:p>
    <w:p>
      <w:pPr>
        <w:jc w:val="both"/>
        <w:ind w:firstLine="656"/>
        <w:spacing w:after="0" w:line="268" w:lineRule="auto"/>
        <w:tabs>
          <w:tab w:leader="none" w:pos="129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Statistical and Market-Related Data</w:t>
      </w:r>
      <w:r>
        <w:rPr>
          <w:rFonts w:ascii="Arial" w:cs="Arial" w:eastAsia="Arial" w:hAnsi="Arial"/>
          <w:sz w:val="19"/>
          <w:szCs w:val="19"/>
          <w:color w:val="auto"/>
        </w:rPr>
        <w:t>. Nothing has come to the attention of the Company that has caused the Company to believe that the statistical and market-related data included or incorporated by reference in the Registration Statement or the Prospectus are not based on or derived from sources that are reliable and accurate in all material respects.</w:t>
      </w:r>
    </w:p>
    <w:p>
      <w:pPr>
        <w:spacing w:after="0" w:line="132"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Disclosure Controls and Procedures; Deficiencies in or Changes to Internal Control Over Financial Reporting</w:t>
      </w:r>
      <w:r>
        <w:rPr>
          <w:rFonts w:ascii="Arial" w:cs="Arial" w:eastAsia="Arial" w:hAnsi="Arial"/>
          <w:sz w:val="21"/>
          <w:szCs w:val="21"/>
          <w:color w:val="auto"/>
        </w:rPr>
        <w:t>. The Company has established and maintains disclosure controls and procedures (as such term is defined in Rules 13a-15(e) and 15d-15(e) under the Exchange Act). Such disclosure controls and procedures (i) comply with the requirements of the Exchange Act applicable to the Company, (ii) have been designed to ensure that information relating to the Company and its subsidiaries, including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its principal executive and principal financial officers,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62" w:name="page63"/>
    <w:bookmarkEnd w:id="62"/>
    <w:p>
      <w:pPr>
        <w:jc w:val="both"/>
        <w:spacing w:after="0" w:line="220" w:lineRule="auto"/>
        <w:rPr>
          <w:sz w:val="20"/>
          <w:szCs w:val="20"/>
          <w:color w:val="auto"/>
        </w:rPr>
      </w:pPr>
      <w:r>
        <w:rPr>
          <w:rFonts w:ascii="Arial" w:cs="Arial" w:eastAsia="Arial" w:hAnsi="Arial"/>
          <w:sz w:val="21"/>
          <w:szCs w:val="21"/>
          <w:color w:val="auto"/>
        </w:rPr>
        <w:t>performing similar functions, as appropriate to allow timely decisions regarding required disclosure, particularly during the periods in which the Company’s periodic reports required under the Exchange Act are being prepared, (iii) have been evaluated by management of the Company for effectiveness as of the end of the Company’s most recent fiscal quarter; and (iv)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2"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This Agreement</w:t>
      </w:r>
      <w:r>
        <w:rPr>
          <w:rFonts w:ascii="Arial" w:cs="Arial" w:eastAsia="Arial" w:hAnsi="Arial"/>
          <w:sz w:val="22"/>
          <w:szCs w:val="22"/>
          <w:color w:val="auto"/>
        </w:rPr>
        <w:t>. This Agreement has been duly authorized, executed and delivered by the Company.</w:t>
      </w:r>
    </w:p>
    <w:p>
      <w:pPr>
        <w:spacing w:after="0" w:line="179" w:lineRule="exact"/>
        <w:rPr>
          <w:rFonts w:ascii="Arial" w:cs="Arial" w:eastAsia="Arial" w:hAnsi="Arial"/>
          <w:sz w:val="22"/>
          <w:szCs w:val="22"/>
          <w:color w:val="auto"/>
        </w:rPr>
      </w:pPr>
    </w:p>
    <w:p>
      <w:pPr>
        <w:jc w:val="both"/>
        <w:ind w:firstLine="656"/>
        <w:spacing w:after="0" w:line="216" w:lineRule="auto"/>
        <w:tabs>
          <w:tab w:leader="none" w:pos="1296"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Authorization of the Shares</w:t>
      </w:r>
      <w:r>
        <w:rPr>
          <w:rFonts w:ascii="Arial" w:cs="Arial" w:eastAsia="Arial" w:hAnsi="Arial"/>
          <w:sz w:val="22"/>
          <w:szCs w:val="22"/>
          <w:color w:val="auto"/>
        </w:rPr>
        <w:t>. The unissued Shares to be issued and sold pursuant to this Agreement have been duly and validly authorized and, when issued and delivered against payment therefor as provided herein, will be duly and validly issued and fully paid and non assessable and will conform in all material respects to the description of the Class A Common Shares contained in the Registration Statement and the Prospectus; and the issuance of the Shares is not subject to any preemptive or similar rights that have not been duly waived.</w:t>
      </w:r>
    </w:p>
    <w:p>
      <w:pPr>
        <w:spacing w:after="0" w:line="157"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No Applicable Registration or Other Similar Rights</w:t>
      </w:r>
      <w:r>
        <w:rPr>
          <w:rFonts w:ascii="Arial" w:cs="Arial" w:eastAsia="Arial" w:hAnsi="Arial"/>
          <w:sz w:val="21"/>
          <w:szCs w:val="21"/>
          <w:color w:val="auto"/>
        </w:rPr>
        <w:t>. There are no persons with registration or other similar rights to have any equity or debt securities included in the offering contemplated by this Agreement, except for such rights as have been duly waived or satisfied and have been disclosed in the Registration Statement and Prospectus.</w:t>
      </w:r>
    </w:p>
    <w:p>
      <w:pPr>
        <w:spacing w:after="0" w:line="157" w:lineRule="exact"/>
        <w:rPr>
          <w:rFonts w:ascii="Arial" w:cs="Arial" w:eastAsia="Arial" w:hAnsi="Arial"/>
          <w:sz w:val="21"/>
          <w:szCs w:val="21"/>
          <w:color w:val="auto"/>
        </w:rPr>
      </w:pPr>
    </w:p>
    <w:p>
      <w:pPr>
        <w:jc w:val="both"/>
        <w:ind w:firstLine="656"/>
        <w:spacing w:after="0"/>
        <w:tabs>
          <w:tab w:leader="none" w:pos="129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Neither the Company nor any of its subsidiaries has, since the date of the latest audited financial statements included or incorporated by reference in the Registration Statement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and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Registration Statement and the Prospectus or (ii) the issuance, if any, of stock upon conversion or settlement of Company securities as described in the Registration Statement and the Prospectus) or long term debt of the Company or any of its subsidiaries or (y) any Material Adverse Effect (as defined below); as used in this Agreement, “</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material adverse change or effect, or any development that would reasonably be expected to result in a material adverse change or effect, in or affecting (i) the business, properties, general affairs, management, financial position, stockholders’ equity, results of operations or prospects of the Company and its subsidiaries, taken as a whole, except as set forth or contemplated in the Registration Statement and the Prospectus, or (ii) the ability of the Company to perform its obligations under this Agreement, including the issuance and sale of the Shares, or to consummate the transactions contemplated in the Registration Statement and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63" w:name="page64"/>
    <w:bookmarkEnd w:id="63"/>
    <w:p>
      <w:pPr>
        <w:jc w:val="both"/>
        <w:ind w:firstLine="656"/>
        <w:spacing w:after="0" w:line="216"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Independent Accountants</w:t>
      </w:r>
      <w:r>
        <w:rPr>
          <w:rFonts w:ascii="Arial" w:cs="Arial" w:eastAsia="Arial" w:hAnsi="Arial"/>
          <w:sz w:val="22"/>
          <w:szCs w:val="22"/>
          <w:color w:val="auto"/>
        </w:rPr>
        <w:t>. Ernst &amp; Young LLP, which has audited certain financial statements of the Company and its subsidiaries, is (i) an independent public accountant as required by the Securities Act, the Exchange Act and the rules and regulations of the Commission thereunder and (ii) a registered public accounting firm as defined by the Public Company Accounting Oversight Board (“</w:t>
      </w:r>
      <w:r>
        <w:rPr>
          <w:rFonts w:ascii="Arial" w:cs="Arial" w:eastAsia="Arial" w:hAnsi="Arial"/>
          <w:sz w:val="22"/>
          <w:szCs w:val="22"/>
          <w:b w:val="1"/>
          <w:bCs w:val="1"/>
          <w:color w:val="auto"/>
        </w:rPr>
        <w:t>PCAOB</w:t>
      </w:r>
      <w:r>
        <w:rPr>
          <w:rFonts w:ascii="Arial" w:cs="Arial" w:eastAsia="Arial" w:hAnsi="Arial"/>
          <w:sz w:val="22"/>
          <w:szCs w:val="22"/>
          <w:color w:val="auto"/>
        </w:rPr>
        <w:t>”) whose registration has not been suspended or revoked and who has not requested such registration to be withdrawn.</w:t>
      </w:r>
    </w:p>
    <w:p>
      <w:pPr>
        <w:spacing w:after="0" w:line="157"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or incorporated by reference in the Registration Statement and the Prospectus, together with the related schedules and notes, present fairly, in all material respects, the financial position of the Company and its subsidiaries at the dates indicated and the statement of operations, comprehensive loss, convertible preferred stock and stockholders’ equity (deficit) and cash flows of the Company and its subsidiaries for the periods specified; said financial statements have been prepared in conformity with U.S.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 periods involved. The supporting schedules, if any, present fairly in all material respects and in accordance with GAAP the information required to be stated therein. The selected financial data and the summary financial information included or incorporated by reference in the Registration Statement and the Prospectus present fairly, in all material respects the information shown therein and have been compiled on a basis consistent with that of the audited financial statements included therein.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60" w:lineRule="exact"/>
        <w:rPr>
          <w:rFonts w:ascii="Arial" w:cs="Arial" w:eastAsia="Arial" w:hAnsi="Arial"/>
          <w:sz w:val="19"/>
          <w:szCs w:val="19"/>
          <w:color w:val="auto"/>
        </w:rPr>
      </w:pPr>
    </w:p>
    <w:p>
      <w:pPr>
        <w:jc w:val="both"/>
        <w:ind w:firstLine="656"/>
        <w:spacing w:after="0" w:line="241"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Company’s Accounting System</w:t>
      </w:r>
      <w:r>
        <w:rPr>
          <w:rFonts w:ascii="Arial" w:cs="Arial" w:eastAsia="Arial" w:hAnsi="Arial"/>
          <w:sz w:val="19"/>
          <w:szCs w:val="19"/>
          <w:color w:val="auto"/>
        </w:rPr>
        <w:t>. The Company and each of its subsidiaries maintain a system of internal control over financial reporting (as such term is defined in Rule 13a-15(f) under the Exchange Act) that (i) complies with the requirements of the Exchange Act applicable to the Company and its subsidiaries,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as applied in the United States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and the rules and regulations promulgated in connection therewith (the “</w:t>
      </w:r>
      <w:r>
        <w:rPr>
          <w:rFonts w:ascii="Arial" w:cs="Arial" w:eastAsia="Arial" w:hAnsi="Arial"/>
          <w:sz w:val="19"/>
          <w:szCs w:val="19"/>
          <w:b w:val="1"/>
          <w:bCs w:val="1"/>
          <w:color w:val="auto"/>
        </w:rPr>
        <w:t>Sarbanes-Oxley Act</w:t>
      </w:r>
      <w:r>
        <w:rPr>
          <w:rFonts w:ascii="Arial" w:cs="Arial" w:eastAsia="Arial" w:hAnsi="Arial"/>
          <w:sz w:val="19"/>
          <w:szCs w:val="19"/>
          <w:color w:val="auto"/>
        </w:rPr>
        <w:t>”) as of an earlier date than it would otherwise be required to so comply under applicable law).</w:t>
      </w:r>
    </w:p>
    <w:p>
      <w:pPr>
        <w:spacing w:after="0" w:line="168"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 of the Company</w:t>
      </w:r>
      <w:r>
        <w:rPr>
          <w:rFonts w:ascii="Arial" w:cs="Arial" w:eastAsia="Arial" w:hAnsi="Arial"/>
          <w:sz w:val="19"/>
          <w:szCs w:val="19"/>
          <w:i w:val="1"/>
          <w:iCs w:val="1"/>
          <w:color w:val="auto"/>
        </w:rPr>
        <w:t>.</w:t>
      </w:r>
      <w:r>
        <w:rPr>
          <w:rFonts w:ascii="Arial" w:cs="Arial" w:eastAsia="Arial" w:hAnsi="Arial"/>
          <w:sz w:val="19"/>
          <w:szCs w:val="19"/>
          <w:color w:val="auto"/>
        </w:rPr>
        <w:t xml:space="preserve"> Each of the Company and its subsidiaries has been (i) duly organized and is validly existing and in good standing under the laws of its jurisdiction of organization, with power and authority (corporate and other) to own its properties and conduct its business as described in the Registration Statement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64" w:name="page65"/>
    <w:bookmarkEnd w:id="64"/>
    <w:p>
      <w:pPr>
        <w:jc w:val="both"/>
        <w:spacing w:after="0" w:line="223" w:lineRule="auto"/>
        <w:rPr>
          <w:sz w:val="20"/>
          <w:szCs w:val="20"/>
          <w:color w:val="auto"/>
        </w:rPr>
      </w:pPr>
      <w:r>
        <w:rPr>
          <w:rFonts w:ascii="Arial" w:cs="Arial" w:eastAsia="Arial" w:hAnsi="Arial"/>
          <w:sz w:val="22"/>
          <w:szCs w:val="22"/>
          <w:color w:val="auto"/>
        </w:rPr>
        <w:t>individually or in the aggregate, reasonably be expected to have a Material Adverse Effect, and each subsidiary of the Company that is required to be listed in the Registration Statement, the Prospectus or Exhibit 21 to the Company’s Annual Report on Form 10-K for the most recent fiscal year has been so listed.</w:t>
      </w:r>
    </w:p>
    <w:p>
      <w:pPr>
        <w:spacing w:after="0" w:line="159" w:lineRule="exact"/>
        <w:rPr>
          <w:sz w:val="20"/>
          <w:szCs w:val="20"/>
          <w:color w:val="auto"/>
        </w:rPr>
      </w:pPr>
    </w:p>
    <w:p>
      <w:pPr>
        <w:jc w:val="both"/>
        <w:ind w:firstLine="656"/>
        <w:spacing w:after="0" w:line="221"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Capitalization and Other Capital Stock Matters</w:t>
      </w:r>
      <w:r>
        <w:rPr>
          <w:rFonts w:ascii="Arial" w:cs="Arial" w:eastAsia="Arial" w:hAnsi="Arial"/>
          <w:sz w:val="21"/>
          <w:szCs w:val="21"/>
          <w:color w:val="auto"/>
        </w:rPr>
        <w:t>. The Company has an authorized capitalization as set forth in the Registration Statement and the Prospectus and all of the issued shares of capital stock of the Company have been duly and validly authorized and issued and are fully paid and non-assessable and were not issued in violation of any preemptive or similar rights and conform in all material respects to the description of the Common Stock contained in the Registration Statement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58" w:lineRule="exact"/>
        <w:rPr>
          <w:rFonts w:ascii="Arial" w:cs="Arial" w:eastAsia="Arial" w:hAnsi="Arial"/>
          <w:sz w:val="21"/>
          <w:szCs w:val="21"/>
          <w:color w:val="auto"/>
        </w:rPr>
      </w:pPr>
    </w:p>
    <w:p>
      <w:pPr>
        <w:jc w:val="both"/>
        <w:ind w:firstLine="656"/>
        <w:spacing w:after="0" w:line="214"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Stock Exchange Listing</w:t>
      </w:r>
      <w:r>
        <w:rPr>
          <w:rFonts w:ascii="Arial" w:cs="Arial" w:eastAsia="Arial" w:hAnsi="Arial"/>
          <w:sz w:val="22"/>
          <w:szCs w:val="22"/>
          <w:color w:val="auto"/>
        </w:rPr>
        <w:t>. The Class A Common Shares are registered pursuant to Section 12(b) or 12(g) of the Exchange Act and are listed on the Principal Market, and the Company has taken no action designed to, or likely to have the effect of, terminating the registration of the Class A Common Shares under the Exchange Act or delisting the Class A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58" w:lineRule="exact"/>
        <w:rPr>
          <w:rFonts w:ascii="Arial" w:cs="Arial" w:eastAsia="Arial" w:hAnsi="Arial"/>
          <w:sz w:val="22"/>
          <w:szCs w:val="22"/>
          <w:color w:val="auto"/>
        </w:rPr>
      </w:pPr>
    </w:p>
    <w:p>
      <w:pPr>
        <w:jc w:val="both"/>
        <w:ind w:firstLine="656"/>
        <w:spacing w:after="0"/>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Non-Contravention of Existing Instruments; No Further Authorizations or Approvals Required</w:t>
      </w:r>
      <w:r>
        <w:rPr>
          <w:rFonts w:ascii="Arial" w:cs="Arial" w:eastAsia="Arial" w:hAnsi="Arial"/>
          <w:sz w:val="19"/>
          <w:szCs w:val="19"/>
          <w:color w:val="auto"/>
        </w:rPr>
        <w:t>. The issue and sale of the Shares and the compliance by the Company with this Agreement and the consummation by the Company of the transactions contemplated in this Agreement, the Registration Statement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Securities Act, the approval by the Financial Industry Regulatory Authority (“</w:t>
      </w:r>
      <w:r>
        <w:rPr>
          <w:rFonts w:ascii="Arial" w:cs="Arial" w:eastAsia="Arial" w:hAnsi="Arial"/>
          <w:sz w:val="19"/>
          <w:szCs w:val="19"/>
          <w:b w:val="1"/>
          <w:bCs w:val="1"/>
          <w:color w:val="auto"/>
        </w:rPr>
        <w:t>FINRA</w:t>
      </w:r>
      <w:r>
        <w:rPr>
          <w:rFonts w:ascii="Arial" w:cs="Arial" w:eastAsia="Arial" w:hAnsi="Arial"/>
          <w:sz w:val="19"/>
          <w:szCs w:val="19"/>
          <w:color w:val="auto"/>
        </w:rPr>
        <w:t>”) of the underwriting terms and arrangements, the approval for listing additional shares on the Principal Market and such consents, approvals, authorizations, registrations or qualifications as may be required under state securities or Blue Sky laws in connection with the issue and sale of the Shares and the compliance by the Company with this Agreement.</w:t>
      </w:r>
    </w:p>
    <w:p>
      <w:pPr>
        <w:spacing w:after="0" w:line="389"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 Material Actions or Proceedings</w:t>
      </w:r>
      <w:r>
        <w:rPr>
          <w:rFonts w:ascii="Arial" w:cs="Arial" w:eastAsia="Arial" w:hAnsi="Arial"/>
          <w:sz w:val="22"/>
          <w:szCs w:val="22"/>
          <w:color w:val="auto"/>
        </w:rPr>
        <w:t>. Other than as set forth in the Registration Statement and the Prospectus, there are no legal, governmental or regulatory investigations, actions, demands, claims, suits, arbitrations, inquiries or proceedings pending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65" w:name="page66"/>
    <w:bookmarkEnd w:id="65"/>
    <w:p>
      <w:pPr>
        <w:jc w:val="both"/>
        <w:spacing w:after="0" w:line="246" w:lineRule="auto"/>
        <w:rPr>
          <w:sz w:val="20"/>
          <w:szCs w:val="20"/>
          <w:color w:val="auto"/>
        </w:rPr>
      </w:pPr>
      <w:r>
        <w:rPr>
          <w:rFonts w:ascii="Arial" w:cs="Arial" w:eastAsia="Arial" w:hAnsi="Arial"/>
          <w:sz w:val="19"/>
          <w:szCs w:val="19"/>
          <w:color w:val="auto"/>
        </w:rPr>
        <w:t>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Securities Act to be described in the Registration Statement or the Prospectus that are not so described therein; and there are no statutes, regulations or contracts or other documents that are required under the Securities Act to be filed as exhibits to or described in the Registration Statement, as applicable, that are not so filed or described.</w:t>
      </w:r>
    </w:p>
    <w:p>
      <w:pPr>
        <w:spacing w:after="0" w:line="152" w:lineRule="exact"/>
        <w:rPr>
          <w:sz w:val="20"/>
          <w:szCs w:val="20"/>
          <w:color w:val="auto"/>
        </w:rPr>
      </w:pPr>
    </w:p>
    <w:p>
      <w:pPr>
        <w:jc w:val="both"/>
        <w:ind w:firstLine="656"/>
        <w:spacing w:after="0"/>
        <w:tabs>
          <w:tab w:leader="none" w:pos="129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Except as described in the Registration Statement and the Prospectus, (i) the Company and its subsidiaries own, possess or license or can obtain on commercially reasonable terms adequate rights to all trademarks, service marks, trade names, domain names, social media accounts and identifiers, and other source identifiers, and all goodwill associated with any of the foregoing, inventions, patents, copyrights and copyrightable works, licenses, approvals, technology, know-how, trade secrets and other unpatented and/or unpatentable proprietary or confidential information, systems or procedures, and all other intellectual property and similar proprietary rights in any jurisdiction throughout the world (including all registrations and applications for registration of any of the foregoing, as applicable)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xml:space="preserve"> </w:t>
      </w:r>
      <w:r>
        <w:rPr>
          <w:rFonts w:ascii="Arial" w:cs="Arial" w:eastAsia="Arial" w:hAnsi="Arial"/>
          <w:sz w:val="19"/>
          <w:szCs w:val="19"/>
          <w:b w:val="1"/>
          <w:bCs w:val="1"/>
          <w:color w:val="auto"/>
        </w:rPr>
        <w:t>Rights</w:t>
      </w:r>
      <w:r>
        <w:rPr>
          <w:rFonts w:ascii="Arial" w:cs="Arial" w:eastAsia="Arial" w:hAnsi="Arial"/>
          <w:sz w:val="19"/>
          <w:szCs w:val="19"/>
          <w:color w:val="auto"/>
        </w:rPr>
        <w:t>”) used or held for use in the conduct of their respective businesses as currently conducted; (ii) to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neither the Company nor any of its subsidiaries infringes, misappropriates or otherwise violates, or has infringed, misappropriated or otherwise violated, any Intellectual Property Rights of any third party; (iii) to the Company’s knowledge, neither the manufacture of, nor the use or sale of, any of the product candidates described in the Registration Statement and the Prospectus will conflict with, infringe, misappropriate or otherwise violate the Intellectual Property Rights of any third party (it being understood that the representations and warranties in clauses (ii) and (iii) are made without giving effect to any exemption under applicable law to which the Company or any of its subsidiaries may be entitled (e.g., 35 U.S.C. Section 271(e)(1))); (iv) other than as described in the Registration Statement and the Prospectus, there are no rights of third parties (including any liens or encumbrances), except for customary retained and reversionary rights of third-party licensors and the rights of customers and strategic partners to use Company Intellectual Property Rights in the ordinary course, consistent with past practice, to any of the Intellectual Property Rights owned or purported to be owned by, or exclusively licensed to, the Company or any of its subsidiaries; (v) there is no pending or, to the Company’s knowledge, threatened action, suit, proceeding or claim by any third party (x) challenging the Company’s or any subsidiary of the Company’s rights in or to, or alleging a violation of any of the terms of, any of their owned or licensed Intellectual Property Rights, (y) alleging that the Company or any of its subsidiaries has infringed, misappropriated or otherwise violated any Intellectual Property Rights of any third party, or (z) challenging the validity, scope or enforceability of any Intellectual Property Rights owned by or exclusively licensed to the Company or any of its subsidiaries, and in the case of each of clauses (x), (y) and (z), the Company and its subsidiaries have not received any notice of and are otherwise unaware of any facts that would form a reasonable basis for any such action, suit, proceeding or claim; (vi) to the Company’s knowledge, there is no infringement, misappropriation, breach or default, or other violation by any third parties of any Intellectual Property Rights owned by or exclusively licensed to the Company or any of its subsidiaries; (vii) the Company and its subsidiaries have at all times taken reasonable steps in accordance with normal industry practice to maintain the confidentiality of all Intellectual Property Rights, the value of which to the Company or any of its subsidiaries is contingent upon maintaining the confidentiality thereof, and no such Intellectual Property Rights have been disclosed other than to employees, representatives and agents of the Company or any of its subsidiaries, or to third parties, each of whom is bound by a written confidentiality agreement; (viii) all founders,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66" w:name="page67"/>
    <w:bookmarkEnd w:id="66"/>
    <w:p>
      <w:pPr>
        <w:jc w:val="both"/>
        <w:spacing w:after="0" w:line="244" w:lineRule="auto"/>
        <w:rPr>
          <w:sz w:val="20"/>
          <w:szCs w:val="20"/>
          <w:color w:val="auto"/>
        </w:rPr>
      </w:pPr>
      <w:r>
        <w:rPr>
          <w:rFonts w:ascii="Arial" w:cs="Arial" w:eastAsia="Arial" w:hAnsi="Arial"/>
          <w:sz w:val="19"/>
          <w:szCs w:val="19"/>
          <w:color w:val="auto"/>
        </w:rPr>
        <w:t>and former employees, and consultants involved in the development of Intellectual Property Rights for or on behalf of the Company or any of its subsidiaries have signed written and enforceable confidentiality and invention assignment agreements with the Company or any of its applicable subsidiaries pursuant to which the Company or the applicable subsidiary either (A) has obtained ownership of and is the exclusive owner of such Intellectual Property Rights, or (B) has obtained a valid and unrestricted right to exploit such Intellectual Property Rights, sufficient for the conduct of the business as currently conducted and as proposed in the Registration Statement and the Prospectus to be conducted; except, in the case of each of (i) through (viii) above, where the outcome of which would not, individually or in the aggregate, reasonably be expected to have a Material Adverse Effect; and (ix) all Intellectual Property Rights owned by or licensed to the Company or any of its subsidiaries are subsisting and, to the Company’s knowledge, solely with respect to issued patents and trademarks, are valid and enforceable.</w:t>
      </w:r>
    </w:p>
    <w:p>
      <w:pPr>
        <w:spacing w:after="0" w:line="161" w:lineRule="exact"/>
        <w:rPr>
          <w:sz w:val="20"/>
          <w:szCs w:val="20"/>
          <w:color w:val="auto"/>
        </w:rPr>
      </w:pPr>
    </w:p>
    <w:p>
      <w:pPr>
        <w:jc w:val="both"/>
        <w:ind w:firstLine="656"/>
        <w:spacing w:after="0" w:line="244" w:lineRule="auto"/>
        <w:tabs>
          <w:tab w:leader="none" w:pos="1296"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Open Source Software</w:t>
      </w:r>
      <w:r>
        <w:rPr>
          <w:rFonts w:ascii="Arial" w:cs="Arial" w:eastAsia="Arial" w:hAnsi="Arial"/>
          <w:sz w:val="19"/>
          <w:szCs w:val="19"/>
          <w:color w:val="auto"/>
        </w:rPr>
        <w:t>. (i) The Company and its subsidiaries use and have used any and all software and other materials distributed under a license approved by the Open Source Initiative at https://opensource.org/licenses (including but not limited to the MIT License, Apache License, GNU General Public License, GNU Lesser General Public License and GNU Affero General Public License) (“</w:t>
      </w:r>
      <w:r>
        <w:rPr>
          <w:rFonts w:ascii="Arial" w:cs="Arial" w:eastAsia="Arial" w:hAnsi="Arial"/>
          <w:sz w:val="19"/>
          <w:szCs w:val="19"/>
          <w:b w:val="1"/>
          <w:bCs w:val="1"/>
          <w:color w:val="auto"/>
        </w:rPr>
        <w:t>Open Source Software</w:t>
      </w:r>
      <w:r>
        <w:rPr>
          <w:rFonts w:ascii="Arial" w:cs="Arial" w:eastAsia="Arial" w:hAnsi="Arial"/>
          <w:sz w:val="19"/>
          <w:szCs w:val="19"/>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in the cases of clause (i) or (ii), individually or in the aggregate, reasonably be expected to have a Material Adverse Effect.</w:t>
      </w:r>
    </w:p>
    <w:p>
      <w:pPr>
        <w:spacing w:after="0" w:line="154" w:lineRule="exact"/>
        <w:rPr>
          <w:rFonts w:ascii="Arial" w:cs="Arial" w:eastAsia="Arial" w:hAnsi="Arial"/>
          <w:sz w:val="19"/>
          <w:szCs w:val="19"/>
          <w:color w:val="auto"/>
        </w:rPr>
      </w:pPr>
    </w:p>
    <w:p>
      <w:pPr>
        <w:jc w:val="both"/>
        <w:ind w:firstLine="656"/>
        <w:spacing w:after="0" w:line="212" w:lineRule="auto"/>
        <w:tabs>
          <w:tab w:leader="none" w:pos="1296"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All Necessary Permits, etc</w:t>
      </w:r>
      <w:r>
        <w:rPr>
          <w:rFonts w:ascii="Arial" w:cs="Arial" w:eastAsia="Arial" w:hAnsi="Arial"/>
          <w:sz w:val="22"/>
          <w:szCs w:val="22"/>
          <w:color w:val="auto"/>
        </w:rPr>
        <w:t>. Except as otherwise disclosed in the Registration Statement and Prospectus, the Company possesses all material licenses, sub-licenses, certificates, authorizations and permits required by the appropriate federal, state or foreign regulatory authorities necessary to conduct its business, as described in the Registration Statement and the Prospectus, including, without limitation, from the U.S. Food and Drug Administration (“</w:t>
      </w:r>
      <w:r>
        <w:rPr>
          <w:rFonts w:ascii="Arial" w:cs="Arial" w:eastAsia="Arial" w:hAnsi="Arial"/>
          <w:sz w:val="22"/>
          <w:szCs w:val="22"/>
          <w:b w:val="1"/>
          <w:bCs w:val="1"/>
          <w:color w:val="auto"/>
        </w:rPr>
        <w:t>FDA</w:t>
      </w:r>
      <w:r>
        <w:rPr>
          <w:rFonts w:ascii="Arial" w:cs="Arial" w:eastAsia="Arial" w:hAnsi="Arial"/>
          <w:sz w:val="22"/>
          <w:szCs w:val="22"/>
          <w:color w:val="auto"/>
        </w:rPr>
        <w:t>”) and equivalent foreign regulatory authorities; and the Company has not received any notice of proceedings relating to the revocation or modification of any such required material license, sub-license, certificate, authorization or permit, except as described in the Registration Statement and the Prospectus.</w:t>
      </w:r>
    </w:p>
    <w:p>
      <w:pPr>
        <w:spacing w:after="0" w:line="163" w:lineRule="exact"/>
        <w:rPr>
          <w:rFonts w:ascii="Arial" w:cs="Arial" w:eastAsia="Arial" w:hAnsi="Arial"/>
          <w:sz w:val="22"/>
          <w:szCs w:val="22"/>
          <w:color w:val="auto"/>
        </w:rPr>
      </w:pPr>
    </w:p>
    <w:p>
      <w:pPr>
        <w:jc w:val="both"/>
        <w:ind w:firstLine="656"/>
        <w:spacing w:after="0" w:line="247" w:lineRule="auto"/>
        <w:tabs>
          <w:tab w:leader="none" w:pos="1296"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Title to Properties</w:t>
      </w:r>
      <w:r>
        <w:rPr>
          <w:rFonts w:ascii="Arial" w:cs="Arial" w:eastAsia="Arial" w:hAnsi="Arial"/>
          <w:sz w:val="19"/>
          <w:szCs w:val="19"/>
          <w:color w:val="auto"/>
        </w:rPr>
        <w:t>. The Company and its subsidiaries do not own any real property and have good and marketable title to all personal property (other than with respect to Intellectual Property Rights, which is addressed exclusively in subsection</w:t>
      </w:r>
    </w:p>
    <w:p>
      <w:pPr>
        <w:jc w:val="both"/>
        <w:ind w:firstLine="8"/>
        <w:spacing w:after="0" w:line="242" w:lineRule="auto"/>
        <w:tabs>
          <w:tab w:leader="none" w:pos="352" w:val="left"/>
        </w:tabs>
        <w:numPr>
          <w:ilvl w:val="0"/>
          <w:numId w:val="35"/>
        </w:numPr>
        <w:rPr>
          <w:rFonts w:ascii="Arial" w:cs="Arial" w:eastAsia="Arial" w:hAnsi="Arial"/>
          <w:sz w:val="19"/>
          <w:szCs w:val="19"/>
          <w:color w:val="auto"/>
        </w:rPr>
      </w:pPr>
      <w:r>
        <w:rPr>
          <w:rFonts w:ascii="Arial" w:cs="Arial" w:eastAsia="Arial" w:hAnsi="Arial"/>
          <w:sz w:val="19"/>
          <w:szCs w:val="19"/>
          <w:color w:val="auto"/>
        </w:rPr>
        <w:t>above) owned by them, in each case free and clear of all liens, encumbrances and defects except as described in the Registration Statement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and (iii)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67" w:name="page68"/>
    <w:bookmarkEnd w:id="67"/>
    <w:p>
      <w:pPr>
        <w:jc w:val="both"/>
        <w:ind w:firstLine="656"/>
        <w:spacing w:after="0" w:line="221" w:lineRule="auto"/>
        <w:tabs>
          <w:tab w:leader="none" w:pos="1296"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Tax Law Compliance</w:t>
      </w:r>
      <w:r>
        <w:rPr>
          <w:rFonts w:ascii="Arial" w:cs="Arial" w:eastAsia="Arial" w:hAnsi="Arial"/>
          <w:sz w:val="21"/>
          <w:szCs w:val="21"/>
          <w:color w:val="auto"/>
        </w:rPr>
        <w:t>. The Company and each of its subsidiaries have filed all federal, state, local and non-U.S. tax returns required to be filed through the date of this Agreement and have paid all taxes required to be paid thereon (except for cases in which the failure to file or pay would not reasonably be expected to have a Material Adverse Effect, or, except as currently being contested in good faith and for which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65" w:lineRule="exact"/>
        <w:rPr>
          <w:rFonts w:ascii="Arial" w:cs="Arial" w:eastAsia="Arial" w:hAnsi="Arial"/>
          <w:sz w:val="21"/>
          <w:szCs w:val="21"/>
          <w:color w:val="auto"/>
        </w:rPr>
      </w:pPr>
    </w:p>
    <w:p>
      <w:pPr>
        <w:jc w:val="both"/>
        <w:ind w:firstLine="656"/>
        <w:spacing w:after="0" w:line="218"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Company Not an “Investment Company</w:t>
      </w:r>
      <w:r>
        <w:rPr>
          <w:rFonts w:ascii="Arial" w:cs="Arial" w:eastAsia="Arial" w:hAnsi="Arial"/>
          <w:sz w:val="22"/>
          <w:szCs w:val="22"/>
          <w:color w:val="auto"/>
        </w:rPr>
        <w:t>.” The Company is not, and will not be, either after receipt of payment for the Shares or after the application of the proceeds therefrom as described under “Use of Proceeds” in the Registration Statement or the Prospectus, an “investment company,” as such term is defined in the Investment Company Act of 1940, as amended (the “</w:t>
      </w:r>
      <w:r>
        <w:rPr>
          <w:rFonts w:ascii="Arial" w:cs="Arial" w:eastAsia="Arial" w:hAnsi="Arial"/>
          <w:sz w:val="22"/>
          <w:szCs w:val="22"/>
          <w:b w:val="1"/>
          <w:bCs w:val="1"/>
          <w:color w:val="auto"/>
        </w:rPr>
        <w:t>Investment Company Act</w:t>
      </w:r>
      <w:r>
        <w:rPr>
          <w:rFonts w:ascii="Arial" w:cs="Arial" w:eastAsia="Arial" w:hAnsi="Arial"/>
          <w:sz w:val="22"/>
          <w:szCs w:val="22"/>
          <w:color w:val="auto"/>
        </w:rPr>
        <w:t>”).</w:t>
      </w:r>
    </w:p>
    <w:p>
      <w:pPr>
        <w:spacing w:after="0" w:line="161" w:lineRule="exact"/>
        <w:rPr>
          <w:sz w:val="20"/>
          <w:szCs w:val="20"/>
          <w:color w:val="auto"/>
        </w:rPr>
      </w:pPr>
    </w:p>
    <w:p>
      <w:pPr>
        <w:jc w:val="both"/>
        <w:ind w:firstLine="656"/>
        <w:spacing w:after="0" w:line="246"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Except as described in or expressly contemplated by the Registration Statement and the Prospectus, the Company has insurance covering its property, operations, personnel and businesses, including clinical trial insurance as applicable and business interruption insurance, which insurance is in amounts and insures against such losses and risks as are generally maintained by similarly situated companies and which the Company believes are reasonably adequate to protect the Company;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5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(ab) </w:t>
      </w:r>
      <w:r>
        <w:rPr>
          <w:rFonts w:ascii="Arial" w:cs="Arial" w:eastAsia="Arial" w:hAnsi="Arial"/>
          <w:sz w:val="22"/>
          <w:szCs w:val="22"/>
          <w:u w:val="single" w:color="auto"/>
          <w:color w:val="auto"/>
        </w:rPr>
        <w:t>No Price Stabilization or Manipulation; Compliance with Regulation M</w:t>
      </w:r>
      <w:r>
        <w:rPr>
          <w:rFonts w:ascii="Arial" w:cs="Arial" w:eastAsia="Arial" w:hAnsi="Arial"/>
          <w:sz w:val="22"/>
          <w:szCs w:val="22"/>
          <w:color w:val="auto"/>
        </w:rPr>
        <w:t>. Neither the Company nor any of its subsidiaries, nor to the Company’s knowledge, Affiliates, has taken, directly or indirectly, any action designed to or that could reasonably be expected to cause or result in any stabilization or manipulation of the price of the Class A Common Shares or of any “reference security” (as defined in Rule 100 of Regulation M under the Exchange Act (“</w:t>
      </w:r>
      <w:r>
        <w:rPr>
          <w:rFonts w:ascii="Arial" w:cs="Arial" w:eastAsia="Arial" w:hAnsi="Arial"/>
          <w:sz w:val="22"/>
          <w:szCs w:val="22"/>
          <w:b w:val="1"/>
          <w:bCs w:val="1"/>
          <w:color w:val="auto"/>
        </w:rPr>
        <w:t>Regulation M</w:t>
      </w:r>
      <w:r>
        <w:rPr>
          <w:rFonts w:ascii="Arial" w:cs="Arial" w:eastAsia="Arial" w:hAnsi="Arial"/>
          <w:sz w:val="22"/>
          <w:szCs w:val="22"/>
          <w:color w:val="auto"/>
        </w:rPr>
        <w:t>”)) with respect to the Class A Common Shares, whether to facilitate the sale or resale of the Shares or otherwise, and has taken no action which would directly or indirectly violate Regulation M.</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(ac) </w:t>
      </w: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(ad) </w:t>
      </w:r>
      <w:r>
        <w:rPr>
          <w:rFonts w:ascii="Arial" w:cs="Arial" w:eastAsia="Arial" w:hAnsi="Arial"/>
          <w:sz w:val="22"/>
          <w:szCs w:val="22"/>
          <w:u w:val="single" w:color="auto"/>
          <w:color w:val="auto"/>
        </w:rPr>
        <w:t>FINRA Matters</w:t>
      </w:r>
      <w:r>
        <w:rPr>
          <w:rFonts w:ascii="Arial" w:cs="Arial" w:eastAsia="Arial" w:hAnsi="Arial"/>
          <w:sz w:val="22"/>
          <w:szCs w:val="22"/>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 rules and any letters, filings or other supplemental information provided to FINRA pursuant to FINRA rules or NASD conduct rules is true, complete and correct.</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(ae) </w:t>
      </w:r>
      <w:r>
        <w:rPr>
          <w:rFonts w:ascii="Arial" w:cs="Arial" w:eastAsia="Arial" w:hAnsi="Arial"/>
          <w:sz w:val="22"/>
          <w:szCs w:val="22"/>
          <w:u w:val="single" w:color="auto"/>
          <w:color w:val="auto"/>
        </w:rPr>
        <w:t>No Unlawful Contributions or Other Payments; Anti-Corruption and Anti-Bribery Laws</w:t>
      </w:r>
      <w:r>
        <w:rPr>
          <w:rFonts w:ascii="Arial" w:cs="Arial" w:eastAsia="Arial" w:hAnsi="Arial"/>
          <w:sz w:val="22"/>
          <w:szCs w:val="22"/>
          <w:color w:val="auto"/>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68" w:name="page69"/>
    <w:bookmarkEnd w:id="68"/>
    <w:p>
      <w:pPr>
        <w:jc w:val="both"/>
        <w:spacing w:after="0" w:line="241" w:lineRule="auto"/>
        <w:rPr>
          <w:sz w:val="20"/>
          <w:szCs w:val="20"/>
          <w:color w:val="auto"/>
        </w:rPr>
      </w:pPr>
      <w:r>
        <w:rPr>
          <w:rFonts w:ascii="Arial" w:cs="Arial" w:eastAsia="Arial" w:hAnsi="Arial"/>
          <w:sz w:val="19"/>
          <w:szCs w:val="19"/>
          <w:color w:val="auto"/>
        </w:rPr>
        <w:t>made, offered, promised or authorized any unlawful contribution, gift, entertainment or other unlawful expense (or taken any act in furtherance thereof); (ii) made, offered, promised or authorized any direct or indirect unlawful payment; (iii)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(iv)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w:t>
      </w:r>
      <w:r>
        <w:rPr>
          <w:rFonts w:ascii="Arial" w:cs="Arial" w:eastAsia="Arial" w:hAnsi="Arial"/>
          <w:sz w:val="19"/>
          <w:szCs w:val="19"/>
          <w:b w:val="1"/>
          <w:bCs w:val="1"/>
          <w:color w:val="auto"/>
        </w:rPr>
        <w:t>Anti-Corruption Laws</w:t>
      </w:r>
      <w:r>
        <w:rPr>
          <w:rFonts w:ascii="Arial" w:cs="Arial" w:eastAsia="Arial" w:hAnsi="Arial"/>
          <w:sz w:val="19"/>
          <w:szCs w:val="19"/>
          <w:color w:val="auto"/>
        </w:rPr>
        <w:t>”); or (v) made, offered, agreed, requested or taken an act in furtherance of any unlawful bribe or other unlawful benefit, including, without limitation, any rebate, payoff, influence payment, kickback or other unlawful or improper payment or benefit; the Company and its subsidiaries have conducted their businesses in compliance with Anti-Corruption Laws and have instituted and maintained and will continue to maintain policies and procedures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(af) </w:t>
      </w: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Except in all cases where such violation, claim, request, notice, proceeding, investigation or other matter would not, individually or in the aggregate, reasonably be expected to have a Material Adverse Effect, the Company and each of its subsidiaries: (x) is in compliance with all, and has not violated any, applicable federal, state or local laws, rules, regulations, requirements, decisions, judgments, decrees and orders relating to pollution, hazardous or toxic substances, wastes, pollutants, contaminants or the protection of human health or safety, the environment or natural resources (collectively, “</w:t>
      </w:r>
      <w:r>
        <w:rPr>
          <w:rFonts w:ascii="Arial" w:cs="Arial" w:eastAsia="Arial" w:hAnsi="Arial"/>
          <w:sz w:val="19"/>
          <w:szCs w:val="19"/>
          <w:b w:val="1"/>
          <w:bCs w:val="1"/>
          <w:color w:val="auto"/>
        </w:rPr>
        <w:t>Environmental Laws</w:t>
      </w:r>
      <w:r>
        <w:rPr>
          <w:rFonts w:ascii="Arial" w:cs="Arial" w:eastAsia="Arial" w:hAnsi="Arial"/>
          <w:sz w:val="19"/>
          <w:szCs w:val="19"/>
          <w:color w:val="auto"/>
        </w:rPr>
        <w:t>”); (y) has received and is in compliance with all, and has not violated any,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the Registration Statement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spacing w:after="0" w:line="16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(ag) </w:t>
      </w:r>
      <w:r>
        <w:rPr>
          <w:rFonts w:ascii="Arial" w:cs="Arial" w:eastAsia="Arial" w:hAnsi="Arial"/>
          <w:sz w:val="22"/>
          <w:szCs w:val="22"/>
          <w:u w:val="single" w:color="auto"/>
          <w:color w:val="auto"/>
        </w:rPr>
        <w:t>ERISA Compliance</w:t>
      </w:r>
      <w:r>
        <w:rPr>
          <w:rFonts w:ascii="Arial" w:cs="Arial" w:eastAsia="Arial" w:hAnsi="Arial"/>
          <w:sz w:val="22"/>
          <w:szCs w:val="22"/>
          <w:color w:val="auto"/>
        </w:rPr>
        <w:t>. (i) Each employee benefit plan, within the meaning of Section 3(3) of the Employee Retirement Income Security Act of 1974, as amended (“</w:t>
      </w:r>
      <w:r>
        <w:rPr>
          <w:rFonts w:ascii="Arial" w:cs="Arial" w:eastAsia="Arial" w:hAnsi="Arial"/>
          <w:sz w:val="22"/>
          <w:szCs w:val="22"/>
          <w:b w:val="1"/>
          <w:bCs w:val="1"/>
          <w:color w:val="auto"/>
        </w:rPr>
        <w:t>ERISA</w:t>
      </w:r>
      <w:r>
        <w:rPr>
          <w:rFonts w:ascii="Arial" w:cs="Arial" w:eastAsia="Arial" w:hAnsi="Arial"/>
          <w:sz w:val="22"/>
          <w:szCs w:val="22"/>
          <w:color w:val="auto"/>
        </w:rPr>
        <w:t>”), for which the Company or any member of its “</w:t>
      </w:r>
      <w:r>
        <w:rPr>
          <w:rFonts w:ascii="Arial" w:cs="Arial" w:eastAsia="Arial" w:hAnsi="Arial"/>
          <w:sz w:val="22"/>
          <w:szCs w:val="22"/>
          <w:b w:val="1"/>
          <w:bCs w:val="1"/>
          <w:color w:val="auto"/>
        </w:rPr>
        <w:t>Controlled</w:t>
      </w:r>
      <w:r>
        <w:rPr>
          <w:rFonts w:ascii="Arial" w:cs="Arial" w:eastAsia="Arial" w:hAnsi="Arial"/>
          <w:sz w:val="22"/>
          <w:szCs w:val="22"/>
          <w:color w:val="auto"/>
        </w:rPr>
        <w:t xml:space="preserve"> </w:t>
      </w:r>
      <w:r>
        <w:rPr>
          <w:rFonts w:ascii="Arial" w:cs="Arial" w:eastAsia="Arial" w:hAnsi="Arial"/>
          <w:sz w:val="22"/>
          <w:szCs w:val="22"/>
          <w:b w:val="1"/>
          <w:bCs w:val="1"/>
          <w:color w:val="auto"/>
        </w:rPr>
        <w:t>Group</w:t>
      </w:r>
      <w:r>
        <w:rPr>
          <w:rFonts w:ascii="Arial" w:cs="Arial" w:eastAsia="Arial" w:hAnsi="Arial"/>
          <w:sz w:val="22"/>
          <w:szCs w:val="22"/>
          <w:color w:val="auto"/>
        </w:rPr>
        <w:t>” (defined as including any entity, whether or not incorporated, that is under common control with the Company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Section 4001(a)(14) of ERISA or that would be regarded as a single employer with the Company under Section 414(b),(c),(m) or (o) of the Internal Revenue Code of 1986,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69" w:name="page70"/>
    <w:bookmarkEnd w:id="69"/>
    <w:p>
      <w:pPr>
        <w:jc w:val="both"/>
        <w:spacing w:after="0" w:line="238" w:lineRule="auto"/>
        <w:rPr>
          <w:sz w:val="20"/>
          <w:szCs w:val="20"/>
          <w:color w:val="auto"/>
        </w:rPr>
      </w:pPr>
      <w:r>
        <w:rPr>
          <w:rFonts w:ascii="Arial" w:cs="Arial" w:eastAsia="Arial" w:hAnsi="Arial"/>
          <w:sz w:val="19"/>
          <w:szCs w:val="19"/>
          <w:color w:val="auto"/>
        </w:rPr>
        <w:t>amended (the “</w:t>
      </w:r>
      <w:r>
        <w:rPr>
          <w:rFonts w:ascii="Arial" w:cs="Arial" w:eastAsia="Arial" w:hAnsi="Arial"/>
          <w:sz w:val="19"/>
          <w:szCs w:val="19"/>
          <w:b w:val="1"/>
          <w:bCs w:val="1"/>
          <w:color w:val="auto"/>
        </w:rPr>
        <w:t>Code</w:t>
      </w:r>
      <w:r>
        <w:rPr>
          <w:rFonts w:ascii="Arial" w:cs="Arial" w:eastAsia="Arial" w:hAnsi="Arial"/>
          <w:sz w:val="19"/>
          <w:szCs w:val="19"/>
          <w:color w:val="auto"/>
        </w:rPr>
        <w:t>”)) would have any liability (each, a “</w:t>
      </w:r>
      <w:r>
        <w:rPr>
          <w:rFonts w:ascii="Arial" w:cs="Arial" w:eastAsia="Arial" w:hAnsi="Arial"/>
          <w:sz w:val="19"/>
          <w:szCs w:val="19"/>
          <w:b w:val="1"/>
          <w:bCs w:val="1"/>
          <w:color w:val="auto"/>
        </w:rPr>
        <w:t>Plan</w:t>
      </w:r>
      <w:r>
        <w:rPr>
          <w:rFonts w:ascii="Arial" w:cs="Arial" w:eastAsia="Arial" w:hAnsi="Arial"/>
          <w:sz w:val="19"/>
          <w:szCs w:val="19"/>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(iii) no Plan has failed, or is reasonably expected to fail, to satisfy the minimum funding standards (within the meaning of Section 302 of ERISA or Section 412 of the Code) applicable to such Plan (whether or not waived);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Code is so qualified, and to the Company’s knowledge, nothing has occurred, whether by action or by failure to act, which would cause the loss of such qualification; (vii)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(viii) none of the following events has occurred or is reasonably likely to occur:</w:t>
      </w:r>
    </w:p>
    <w:p>
      <w:pPr>
        <w:spacing w:after="0" w:line="13" w:lineRule="exact"/>
        <w:rPr>
          <w:sz w:val="20"/>
          <w:szCs w:val="20"/>
          <w:color w:val="auto"/>
        </w:rPr>
      </w:pPr>
    </w:p>
    <w:p>
      <w:pPr>
        <w:jc w:val="both"/>
        <w:ind w:firstLine="8"/>
        <w:spacing w:after="0" w:line="220" w:lineRule="auto"/>
        <w:tabs>
          <w:tab w:leader="none" w:pos="398" w:val="left"/>
        </w:tabs>
        <w:numPr>
          <w:ilvl w:val="0"/>
          <w:numId w:val="38"/>
        </w:numPr>
        <w:rPr>
          <w:rFonts w:ascii="Arial" w:cs="Arial" w:eastAsia="Arial" w:hAnsi="Arial"/>
          <w:sz w:val="21"/>
          <w:szCs w:val="21"/>
          <w:color w:val="auto"/>
        </w:rPr>
      </w:pPr>
      <w:r>
        <w:rPr>
          <w:rFonts w:ascii="Arial" w:cs="Arial" w:eastAsia="Arial" w:hAnsi="Arial"/>
          <w:sz w:val="21"/>
          <w:szCs w:val="21"/>
          <w:color w:val="auto"/>
        </w:rPr>
        <w:t>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Company’s “accumulated post-retirement benefit obligations” (within the meaning of Accounting Standards Codification Topic 715-60) compared to the amount of such obligations in the Company’s most recently completed fiscal year, except in each case with respect to the events or conditions set forth in (i) through (viii) hereof, as would not, individually or in the aggregate, reasonably be expected to have a Material Adverse Effect.</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(ah) </w:t>
      </w:r>
      <w:r>
        <w:rPr>
          <w:rFonts w:ascii="Arial" w:cs="Arial" w:eastAsia="Arial" w:hAnsi="Arial"/>
          <w:sz w:val="22"/>
          <w:szCs w:val="22"/>
          <w:u w:val="single" w:color="auto"/>
          <w:color w:val="auto"/>
        </w:rPr>
        <w:t>Brokers</w:t>
      </w:r>
      <w:r>
        <w:rPr>
          <w:rFonts w:ascii="Arial" w:cs="Arial" w:eastAsia="Arial" w:hAnsi="Arial"/>
          <w:sz w:val="22"/>
          <w:szCs w:val="22"/>
          <w:color w:val="auto"/>
        </w:rPr>
        <w:t>. Except as set forth herein or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(ai) </w:t>
      </w:r>
      <w:r>
        <w:rPr>
          <w:rFonts w:ascii="Arial" w:cs="Arial" w:eastAsia="Arial" w:hAnsi="Arial"/>
          <w:sz w:val="22"/>
          <w:szCs w:val="22"/>
          <w:u w:val="single" w:color="auto"/>
          <w:color w:val="auto"/>
        </w:rPr>
        <w:t>No Outstanding Loans or Other Extensions of Credit</w:t>
      </w:r>
      <w:r>
        <w:rPr>
          <w:rFonts w:ascii="Arial" w:cs="Arial" w:eastAsia="Arial" w:hAnsi="Arial"/>
          <w:sz w:val="22"/>
          <w:szCs w:val="22"/>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5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(aj) </w:t>
      </w:r>
      <w:r>
        <w:rPr>
          <w:rFonts w:ascii="Arial" w:cs="Arial" w:eastAsia="Arial" w:hAnsi="Arial"/>
          <w:sz w:val="21"/>
          <w:szCs w:val="21"/>
          <w:u w:val="single" w:color="auto"/>
          <w:color w:val="auto"/>
        </w:rPr>
        <w:t>Compliance with Applicable Laws</w:t>
      </w:r>
      <w:r>
        <w:rPr>
          <w:rFonts w:ascii="Arial" w:cs="Arial" w:eastAsia="Arial" w:hAnsi="Arial"/>
          <w:sz w:val="21"/>
          <w:szCs w:val="21"/>
          <w:color w:val="auto"/>
        </w:rPr>
        <w:t>. The Company (i) has operated and currently operates its business in compliance in all material respects with all statutes, rules and regulations applicable to the ownership, testing, development, manufacture, packaging, processing, use, distribution, storage, import, export or disposal of any of the Company’s product candidates, including, without limitation, requirements governing investigational drugs and devices under the U.S. Federal Food, Drug and Cosmetic Act and rules and regulations thereunder, regulations relating to Good Clinical Practices and Good Laboratory Practices, the U.S. Animal Welfare Act and rules and regulations thereunder, the Investigational Device Exemption regulations and the Quality System Regulation (collectively, “</w:t>
      </w:r>
      <w:r>
        <w:rPr>
          <w:rFonts w:ascii="Arial" w:cs="Arial" w:eastAsia="Arial" w:hAnsi="Arial"/>
          <w:sz w:val="21"/>
          <w:szCs w:val="21"/>
          <w:b w:val="1"/>
          <w:bCs w:val="1"/>
          <w:color w:val="auto"/>
        </w:rPr>
        <w:t>Applicable Laws</w:t>
      </w:r>
      <w:r>
        <w:rPr>
          <w:rFonts w:ascii="Arial" w:cs="Arial" w:eastAsia="Arial" w:hAnsi="Arial"/>
          <w:sz w:val="21"/>
          <w:szCs w:val="21"/>
          <w:color w:val="auto"/>
        </w:rPr>
        <w:t>”), and (ii) have not received any FDA Form 483, written notice of adverse finding, warning letter, untitled letter or other correspondence or written notice from the FDA, any court or arbitrator or governmental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395" w:right="339" w:bottom="1440" w:gutter="0" w:footer="0" w:header="0"/>
        </w:sectPr>
      </w:pPr>
    </w:p>
    <w:bookmarkStart w:id="70" w:name="page71"/>
    <w:bookmarkEnd w:id="70"/>
    <w:p>
      <w:pPr>
        <w:jc w:val="both"/>
        <w:spacing w:after="0" w:line="232" w:lineRule="auto"/>
        <w:rPr>
          <w:sz w:val="20"/>
          <w:szCs w:val="20"/>
          <w:color w:val="auto"/>
        </w:rPr>
      </w:pPr>
      <w:r>
        <w:rPr>
          <w:rFonts w:ascii="Arial" w:cs="Arial" w:eastAsia="Arial" w:hAnsi="Arial"/>
          <w:sz w:val="22"/>
          <w:szCs w:val="22"/>
          <w:color w:val="auto"/>
        </w:rPr>
        <w:t>regulatory authority alleging or asserting non-compliance with (A) any Applicable Laws or (B) any permits required by any such Applicable Laws.</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(ak) </w:t>
      </w:r>
      <w:r>
        <w:rPr>
          <w:rFonts w:ascii="Arial" w:cs="Arial" w:eastAsia="Arial" w:hAnsi="Arial"/>
          <w:sz w:val="21"/>
          <w:szCs w:val="21"/>
          <w:u w:val="single" w:color="auto"/>
          <w:color w:val="auto"/>
        </w:rPr>
        <w:t>Dividend Restrictions</w:t>
      </w:r>
      <w:r>
        <w:rPr>
          <w:rFonts w:ascii="Arial" w:cs="Arial" w:eastAsia="Arial" w:hAnsi="Arial"/>
          <w:sz w:val="21"/>
          <w:szCs w:val="21"/>
          <w:color w:val="auto"/>
        </w:rPr>
        <w:t>. Except as disclosed in the Registration Statement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(al)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Arial" w:cs="Arial" w:eastAsia="Arial" w:hAnsi="Arial"/>
          <w:sz w:val="19"/>
          <w:szCs w:val="19"/>
          <w:b w:val="1"/>
          <w:bCs w:val="1"/>
          <w:color w:val="auto"/>
        </w:rPr>
        <w:t>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15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(am) </w:t>
      </w:r>
      <w:r>
        <w:rPr>
          <w:rFonts w:ascii="Arial" w:cs="Arial" w:eastAsia="Arial" w:hAnsi="Arial"/>
          <w:sz w:val="19"/>
          <w:szCs w:val="19"/>
          <w:u w:val="single" w:color="auto"/>
          <w:color w:val="auto"/>
        </w:rPr>
        <w:t>Clinical Data and Regulatory Compliance</w:t>
      </w:r>
      <w:r>
        <w:rPr>
          <w:rFonts w:ascii="Arial" w:cs="Arial" w:eastAsia="Arial" w:hAnsi="Arial"/>
          <w:sz w:val="19"/>
          <w:szCs w:val="19"/>
          <w:i w:val="1"/>
          <w:iCs w:val="1"/>
          <w:color w:val="auto"/>
        </w:rPr>
        <w:t>.</w:t>
      </w:r>
      <w:r>
        <w:rPr>
          <w:rFonts w:ascii="Arial" w:cs="Arial" w:eastAsia="Arial" w:hAnsi="Arial"/>
          <w:sz w:val="19"/>
          <w:szCs w:val="19"/>
          <w:color w:val="auto"/>
        </w:rPr>
        <w:t xml:space="preserve"> Any studies, tests and preclinical and clinical trials conducted by the Company and, to the Company’s knowledge,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reasonably be expected to have a Material Adverse Effect; the descriptions of the results of such studies, tests and trials contained in the Registration Statement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spacing w:after="0" w:line="38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 xml:space="preserve">(an) </w:t>
      </w:r>
      <w:r>
        <w:rPr>
          <w:rFonts w:ascii="Arial" w:cs="Arial" w:eastAsia="Arial" w:hAnsi="Arial"/>
          <w:sz w:val="21"/>
          <w:szCs w:val="21"/>
          <w:u w:val="single" w:color="auto"/>
          <w:color w:val="auto"/>
        </w:rPr>
        <w:t>Manufacturing Compliance</w:t>
      </w:r>
      <w:r>
        <w:rPr>
          <w:rFonts w:ascii="Arial" w:cs="Arial" w:eastAsia="Arial" w:hAnsi="Arial"/>
          <w:sz w:val="21"/>
          <w:szCs w:val="21"/>
          <w:color w:val="auto"/>
        </w:rPr>
        <w:t>. The manufacturing facilities and operations of Company’s suppliers and manufacturers are not, to the Company’s knowledge, operated in violation of applicable statutes, rules, regulations and policies of the FDA and comparable regulatory agencies outside of the United States to which the Company is subject.</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(ao) </w:t>
      </w:r>
      <w:r>
        <w:rPr>
          <w:rFonts w:ascii="Arial" w:cs="Arial" w:eastAsia="Arial" w:hAnsi="Arial"/>
          <w:sz w:val="19"/>
          <w:szCs w:val="19"/>
          <w:u w:val="single" w:color="auto"/>
          <w:color w:val="auto"/>
        </w:rPr>
        <w:t>Sanctions</w:t>
      </w:r>
      <w:r>
        <w:rPr>
          <w:rFonts w:ascii="Arial" w:cs="Arial" w:eastAsia="Arial" w:hAnsi="Arial"/>
          <w:sz w:val="19"/>
          <w:szCs w:val="19"/>
          <w:color w:val="auto"/>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is (i) currently the subject or the target of any sanctions administered or enforced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71" w:name="page72"/>
    <w:bookmarkEnd w:id="71"/>
    <w:p>
      <w:pPr>
        <w:jc w:val="both"/>
        <w:spacing w:after="0" w:line="241" w:lineRule="auto"/>
        <w:rPr>
          <w:sz w:val="20"/>
          <w:szCs w:val="20"/>
          <w:color w:val="auto"/>
        </w:rPr>
      </w:pPr>
      <w:r>
        <w:rPr>
          <w:rFonts w:ascii="Arial" w:cs="Arial" w:eastAsia="Arial" w:hAnsi="Arial"/>
          <w:sz w:val="19"/>
          <w:szCs w:val="19"/>
          <w:color w:val="auto"/>
        </w:rPr>
        <w:t>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Arial" w:cs="Arial" w:eastAsia="Arial" w:hAnsi="Arial"/>
          <w:sz w:val="19"/>
          <w:szCs w:val="19"/>
          <w:b w:val="1"/>
          <w:bCs w:val="1"/>
          <w:color w:val="auto"/>
        </w:rPr>
        <w:t>Sanctions</w:t>
      </w:r>
      <w:r>
        <w:rPr>
          <w:rFonts w:ascii="Arial" w:cs="Arial" w:eastAsia="Arial" w:hAnsi="Arial"/>
          <w:sz w:val="19"/>
          <w:szCs w:val="19"/>
          <w:color w:val="auto"/>
        </w:rPr>
        <w:t>”), (ii) located, organized, or resident in a country or territory that is the subject or target of Sanctions including, without limitation, Crimea, Cuba, Iran, North Korea, Syria, the Crimea Region and the non-government controlled areas of the Zaporizhzhia and Kherson Regions of Ukraine, the so-called Donetsk People’s Republic, the so-called Luhansk People’s Republic and any other Covered Region of Ukraine identified pursuant to Executive Order 14065 (a “</w:t>
      </w:r>
      <w:r>
        <w:rPr>
          <w:rFonts w:ascii="Arial" w:cs="Arial" w:eastAsia="Arial" w:hAnsi="Arial"/>
          <w:sz w:val="19"/>
          <w:szCs w:val="19"/>
          <w:b w:val="1"/>
          <w:bCs w:val="1"/>
          <w:color w:val="auto"/>
        </w:rPr>
        <w:t>Sanctioned Jurisdiction</w:t>
      </w:r>
      <w:r>
        <w:rPr>
          <w:rFonts w:ascii="Arial" w:cs="Arial" w:eastAsia="Arial" w:hAnsi="Arial"/>
          <w:sz w:val="19"/>
          <w:szCs w:val="19"/>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any of its subsidiaries, nor any director, officer or employee of the Company or any of its subsidiaries,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37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(ap) </w:t>
      </w:r>
      <w:r>
        <w:rPr>
          <w:rFonts w:ascii="Arial" w:cs="Arial" w:eastAsia="Arial" w:hAnsi="Arial"/>
          <w:sz w:val="22"/>
          <w:szCs w:val="22"/>
          <w:u w:val="single" w:color="auto"/>
          <w:color w:val="auto"/>
        </w:rPr>
        <w:t>Sarbanes-Oxley</w:t>
      </w:r>
      <w:r>
        <w:rPr>
          <w:rFonts w:ascii="Arial" w:cs="Arial" w:eastAsia="Arial" w:hAnsi="Arial"/>
          <w:sz w:val="22"/>
          <w:szCs w:val="22"/>
          <w:color w:val="auto"/>
        </w:rPr>
        <w:t>. To the extent applicable to the Company, there is and has been no failure on the part of the Company or, to the Company’s knowledge, any of the Company’s directors or officers, in their capacities as such, to comply with any provision of the Sarbanes-Oxley Act, including Section 402 related to loans and Sections 302 and 906 related to certifications.</w:t>
      </w:r>
    </w:p>
    <w:p>
      <w:pPr>
        <w:spacing w:after="0" w:line="16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(aq) </w:t>
      </w:r>
      <w:r>
        <w:rPr>
          <w:rFonts w:ascii="Arial" w:cs="Arial" w:eastAsia="Arial" w:hAnsi="Arial"/>
          <w:sz w:val="22"/>
          <w:szCs w:val="22"/>
          <w:u w:val="single" w:color="auto"/>
          <w:color w:val="auto"/>
        </w:rPr>
        <w:t>Duties, Transfer Taxes, Etc</w:t>
      </w:r>
      <w:r>
        <w:rPr>
          <w:rFonts w:ascii="Arial" w:cs="Arial" w:eastAsia="Arial" w:hAnsi="Arial"/>
          <w:sz w:val="22"/>
          <w:szCs w:val="22"/>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(ar) </w:t>
      </w:r>
      <w:r>
        <w:rPr>
          <w:rFonts w:ascii="Arial" w:cs="Arial" w:eastAsia="Arial" w:hAnsi="Arial"/>
          <w:sz w:val="19"/>
          <w:szCs w:val="19"/>
          <w:u w:val="single" w:color="auto"/>
          <w:color w:val="auto"/>
        </w:rPr>
        <w:t>Cybersecurity</w:t>
      </w:r>
      <w:r>
        <w:rPr>
          <w:rFonts w:ascii="Arial" w:cs="Arial" w:eastAsia="Arial" w:hAnsi="Arial"/>
          <w:sz w:val="19"/>
          <w:szCs w:val="19"/>
          <w:color w:val="auto"/>
        </w:rPr>
        <w:t>. Except as would not, individually or in the aggregate, reasonably be expected to have a Material Adverse Effect, (i) the Company and its subsidiaries’ respective information technology assets and equipment, computers, systems, networks, hardware, applications, technology, data and databases (including Personal Data (as defined below) and the data and information of their respective customers, employees, suppliers, vendors and any third party data) used in connection with the operation of the Company’s and its subsidiaries’ respective businesses and in the possession or otherwise in the control of the Company or any of its subsidiaries (collectively, “</w:t>
      </w:r>
      <w:r>
        <w:rPr>
          <w:rFonts w:ascii="Arial" w:cs="Arial" w:eastAsia="Arial" w:hAnsi="Arial"/>
          <w:sz w:val="19"/>
          <w:szCs w:val="19"/>
          <w:b w:val="1"/>
          <w:bCs w:val="1"/>
          <w:color w:val="auto"/>
        </w:rPr>
        <w:t>IT Systems and Data</w:t>
      </w:r>
      <w:r>
        <w:rPr>
          <w:rFonts w:ascii="Arial" w:cs="Arial" w:eastAsia="Arial" w:hAnsi="Arial"/>
          <w:sz w:val="19"/>
          <w:szCs w:val="19"/>
          <w:color w:val="auto"/>
        </w:rPr>
        <w:t>”) are adequate for, and operate and perform in all material respects as required in connection with, the operation of the business of the Company and its subsidiaries as currently conducted, free and clear, to the Company’s knowledge, of all Trojan horses, time bombs, malware and other malicious code; (ii) the Company and each of its subsidiaries have taken reasonable technical and organizational measures to protect the IT Systems and Data and, without limiting the foregoing, the Company and its subsidiaries have used commercially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and physical safeguards and business continuity/disaster recovery and security plans, which controls, policies and procedures are designed to protect against and prevent security breaches,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72" w:name="page73"/>
    <w:bookmarkEnd w:id="72"/>
    <w:p>
      <w:pPr>
        <w:jc w:val="both"/>
        <w:spacing w:after="0" w:line="218" w:lineRule="auto"/>
        <w:rPr>
          <w:sz w:val="20"/>
          <w:szCs w:val="20"/>
          <w:color w:val="auto"/>
        </w:rPr>
      </w:pPr>
      <w:r>
        <w:rPr>
          <w:rFonts w:ascii="Arial" w:cs="Arial" w:eastAsia="Arial" w:hAnsi="Arial"/>
          <w:sz w:val="22"/>
          <w:szCs w:val="22"/>
          <w:color w:val="auto"/>
        </w:rPr>
        <w:t>destruction, loss, distribution, use, access, disablement, misappropriation or modification, or other compromise or misuse of any IT Systems and Data (“</w:t>
      </w:r>
      <w:r>
        <w:rPr>
          <w:rFonts w:ascii="Arial" w:cs="Arial" w:eastAsia="Arial" w:hAnsi="Arial"/>
          <w:sz w:val="22"/>
          <w:szCs w:val="22"/>
          <w:b w:val="1"/>
          <w:bCs w:val="1"/>
          <w:color w:val="auto"/>
        </w:rPr>
        <w:t>Breach</w:t>
      </w:r>
      <w:r>
        <w:rPr>
          <w:rFonts w:ascii="Arial" w:cs="Arial" w:eastAsia="Arial" w:hAnsi="Arial"/>
          <w:sz w:val="22"/>
          <w:szCs w:val="22"/>
          <w:color w:val="auto"/>
        </w:rPr>
        <w:t>”); and (iii) to the Company’s knowledge, there has been no such Breach and the Company and its subsidiaries have not been notified of, and have no knowledge of any event or condition that would reasonably be expected to result in, any such Breach.</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(as) </w:t>
      </w:r>
      <w:r>
        <w:rPr>
          <w:rFonts w:ascii="Arial" w:cs="Arial" w:eastAsia="Arial" w:hAnsi="Arial"/>
          <w:sz w:val="19"/>
          <w:szCs w:val="19"/>
          <w:u w:val="single" w:color="auto"/>
          <w:color w:val="auto"/>
        </w:rPr>
        <w:t>Compliance with Data Privacy Laws</w:t>
      </w:r>
      <w:r>
        <w:rPr>
          <w:rFonts w:ascii="Arial" w:cs="Arial" w:eastAsia="Arial" w:hAnsi="Arial"/>
          <w:sz w:val="19"/>
          <w:szCs w:val="19"/>
          <w:color w:val="auto"/>
        </w:rPr>
        <w:t>. Except as would not, individually or in the aggregate, reasonably be expected to have a Material Adverse Effect, (i) the Company and each of its subsidiaries have complied and are presently in compliance with all of their internal privacy policies, privacy- and data protection-related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personal, personally identifiable, household (in the case of household data, to the extent it is “Personal Information” under the California Consumer Privacy Act, as modified by the California Privacy Rights Act), or sensitive, confidential or regulated data or information (collectively, “</w:t>
      </w:r>
      <w:r>
        <w:rPr>
          <w:rFonts w:ascii="Arial" w:cs="Arial" w:eastAsia="Arial" w:hAnsi="Arial"/>
          <w:sz w:val="19"/>
          <w:szCs w:val="19"/>
          <w:b w:val="1"/>
          <w:bCs w:val="1"/>
          <w:color w:val="auto"/>
        </w:rPr>
        <w:t>Data Security Obligations</w:t>
      </w:r>
      <w:r>
        <w:rPr>
          <w:rFonts w:ascii="Arial" w:cs="Arial" w:eastAsia="Arial" w:hAnsi="Arial"/>
          <w:sz w:val="19"/>
          <w:szCs w:val="19"/>
          <w:color w:val="auto"/>
        </w:rPr>
        <w:t>,” and such data and information, “</w:t>
      </w:r>
      <w:r>
        <w:rPr>
          <w:rFonts w:ascii="Arial" w:cs="Arial" w:eastAsia="Arial" w:hAnsi="Arial"/>
          <w:sz w:val="19"/>
          <w:szCs w:val="19"/>
          <w:b w:val="1"/>
          <w:bCs w:val="1"/>
          <w:color w:val="auto"/>
        </w:rPr>
        <w:t>Personal Data</w:t>
      </w:r>
      <w:r>
        <w:rPr>
          <w:rFonts w:ascii="Arial" w:cs="Arial" w:eastAsia="Arial" w:hAnsi="Arial"/>
          <w:sz w:val="19"/>
          <w:szCs w:val="19"/>
          <w:color w:val="auto"/>
        </w:rPr>
        <w:t>”); (ii) the Company and its subsidiaries have not received any written notification of or written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to the Company’s knowledge, threatened in writing, alleging non-compliance with any Data Security Obligation by the Company or any of its subsidiaries.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Arial" w:cs="Arial" w:eastAsia="Arial" w:hAnsi="Arial"/>
                <w:sz w:val="22"/>
                <w:szCs w:val="22"/>
                <w:color w:val="auto"/>
              </w:rPr>
              <w:t>(at)</w:t>
            </w:r>
          </w:p>
        </w:tc>
        <w:tc>
          <w:tcPr>
            <w:tcW w:w="9940" w:type="dxa"/>
            <w:vAlign w:val="bottom"/>
            <w:gridSpan w:val="2"/>
          </w:tcPr>
          <w:p>
            <w:pPr>
              <w:spacing w:after="0"/>
              <w:rPr>
                <w:sz w:val="20"/>
                <w:szCs w:val="20"/>
                <w:color w:val="auto"/>
              </w:rPr>
            </w:pPr>
            <w:r>
              <w:rPr>
                <w:rFonts w:ascii="Arial" w:cs="Arial" w:eastAsia="Arial" w:hAnsi="Arial"/>
                <w:sz w:val="22"/>
                <w:szCs w:val="22"/>
                <w:color w:val="auto"/>
                <w:w w:val="91"/>
              </w:rPr>
              <w:t>Other Underwriting Agreements. The Company is not a party to any agreement with an agent or underwriter for</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22"/>
                <w:szCs w:val="22"/>
                <w:color w:val="auto"/>
              </w:rPr>
              <w:t>transaction.</w:t>
            </w:r>
          </w:p>
        </w:tc>
        <w:tc>
          <w:tcPr>
            <w:tcW w:w="0" w:type="dxa"/>
            <w:vAlign w:val="bottom"/>
          </w:tcPr>
          <w:p>
            <w:pPr>
              <w:spacing w:after="0" w:line="20" w:lineRule="exact"/>
              <w:rPr>
                <w:sz w:val="1"/>
                <w:szCs w:val="1"/>
                <w:color w:val="auto"/>
              </w:rPr>
            </w:pPr>
          </w:p>
        </w:tc>
      </w:tr>
      <w:tr>
        <w:trPr>
          <w:trHeight w:val="268"/>
        </w:trPr>
        <w:tc>
          <w:tcPr>
            <w:tcW w:w="4140" w:type="dxa"/>
            <w:vAlign w:val="bottom"/>
            <w:gridSpan w:val="2"/>
          </w:tcPr>
          <w:p>
            <w:pPr>
              <w:spacing w:after="0"/>
              <w:rPr>
                <w:sz w:val="20"/>
                <w:szCs w:val="20"/>
                <w:color w:val="auto"/>
              </w:rPr>
            </w:pPr>
            <w:r>
              <w:rPr>
                <w:rFonts w:ascii="Arial" w:cs="Arial" w:eastAsia="Arial" w:hAnsi="Arial"/>
                <w:sz w:val="22"/>
                <w:szCs w:val="22"/>
                <w:color w:val="auto"/>
                <w:w w:val="92"/>
              </w:rPr>
              <w:t>any other “at the market” or continuous equity</w:t>
            </w:r>
          </w:p>
        </w:tc>
        <w:tc>
          <w:tcPr>
            <w:tcW w:w="71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1300" w:type="dxa"/>
            <w:vAlign w:val="bottom"/>
          </w:tcPr>
          <w:p>
            <w:pPr>
              <w:ind w:left="660"/>
              <w:spacing w:after="0"/>
              <w:rPr>
                <w:sz w:val="20"/>
                <w:szCs w:val="20"/>
                <w:color w:val="auto"/>
              </w:rPr>
            </w:pPr>
            <w:r>
              <w:rPr>
                <w:rFonts w:ascii="Arial" w:cs="Arial" w:eastAsia="Arial" w:hAnsi="Arial"/>
                <w:sz w:val="22"/>
                <w:szCs w:val="22"/>
                <w:color w:val="auto"/>
              </w:rPr>
              <w:t>(au)</w:t>
            </w:r>
          </w:p>
        </w:tc>
        <w:tc>
          <w:tcPr>
            <w:tcW w:w="9940" w:type="dxa"/>
            <w:vAlign w:val="bottom"/>
            <w:gridSpan w:val="2"/>
          </w:tcPr>
          <w:p>
            <w:pPr>
              <w:spacing w:after="0"/>
              <w:rPr>
                <w:sz w:val="20"/>
                <w:szCs w:val="20"/>
                <w:color w:val="auto"/>
              </w:rPr>
            </w:pPr>
            <w:r>
              <w:rPr>
                <w:rFonts w:ascii="Arial" w:cs="Arial" w:eastAsia="Arial" w:hAnsi="Arial"/>
                <w:sz w:val="22"/>
                <w:szCs w:val="22"/>
                <w:u w:val="single" w:color="auto"/>
                <w:color w:val="auto"/>
                <w:w w:val="97"/>
              </w:rPr>
              <w:t>Compliance with Health Care Laws</w:t>
            </w:r>
            <w:r>
              <w:rPr>
                <w:rFonts w:ascii="Arial" w:cs="Arial" w:eastAsia="Arial" w:hAnsi="Arial"/>
                <w:sz w:val="22"/>
                <w:szCs w:val="22"/>
                <w:color w:val="auto"/>
                <w:w w:val="97"/>
              </w:rPr>
              <w:t>. The Company and its subsidiaries are, and at all times have been, in</w:t>
            </w:r>
          </w:p>
        </w:tc>
        <w:tc>
          <w:tcPr>
            <w:tcW w:w="0" w:type="dxa"/>
            <w:vAlign w:val="bottom"/>
          </w:tcPr>
          <w:p>
            <w:pPr>
              <w:spacing w:after="0"/>
              <w:rPr>
                <w:sz w:val="1"/>
                <w:szCs w:val="1"/>
                <w:color w:val="auto"/>
              </w:rPr>
            </w:pPr>
          </w:p>
        </w:tc>
      </w:tr>
    </w:tbl>
    <w:p>
      <w:pPr>
        <w:jc w:val="both"/>
        <w:spacing w:after="0"/>
        <w:rPr>
          <w:sz w:val="20"/>
          <w:szCs w:val="20"/>
          <w:color w:val="auto"/>
        </w:rPr>
      </w:pPr>
      <w:r>
        <w:rPr>
          <w:rFonts w:ascii="Arial" w:cs="Arial" w:eastAsia="Arial" w:hAnsi="Arial"/>
          <w:sz w:val="19"/>
          <w:szCs w:val="19"/>
          <w:color w:val="auto"/>
        </w:rPr>
        <w:t>compliance with all Health Care Laws in all material respects and to the extent applicable to the Company’s current business. For purposes of this Agreement, “</w:t>
      </w:r>
      <w:r>
        <w:rPr>
          <w:rFonts w:ascii="Arial" w:cs="Arial" w:eastAsia="Arial" w:hAnsi="Arial"/>
          <w:sz w:val="19"/>
          <w:szCs w:val="19"/>
          <w:b w:val="1"/>
          <w:bCs w:val="1"/>
          <w:color w:val="auto"/>
        </w:rPr>
        <w:t>Health Care Laws</w:t>
      </w:r>
      <w:r>
        <w:rPr>
          <w:rFonts w:ascii="Arial" w:cs="Arial" w:eastAsia="Arial" w:hAnsi="Arial"/>
          <w:sz w:val="19"/>
          <w:szCs w:val="19"/>
          <w:color w:val="auto"/>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Arial" w:cs="Arial" w:eastAsia="Arial" w:hAnsi="Arial"/>
          <w:sz w:val="19"/>
          <w:szCs w:val="19"/>
          <w:b w:val="1"/>
          <w:bCs w:val="1"/>
          <w:color w:val="auto"/>
        </w:rPr>
        <w:t>HIPAA</w:t>
      </w:r>
      <w:r>
        <w:rPr>
          <w:rFonts w:ascii="Arial" w:cs="Arial" w:eastAsia="Arial" w:hAnsi="Arial"/>
          <w:sz w:val="19"/>
          <w:szCs w:val="19"/>
          <w:color w:val="auto"/>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19"/>
          <w:szCs w:val="19"/>
          <w:color w:val="auto"/>
        </w:rPr>
        <w:t>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(av) </w:t>
      </w:r>
      <w:r>
        <w:rPr>
          <w:rFonts w:ascii="Arial" w:cs="Arial" w:eastAsia="Arial" w:hAnsi="Arial"/>
          <w:sz w:val="22"/>
          <w:szCs w:val="22"/>
          <w:u w:val="single" w:color="auto"/>
          <w:color w:val="auto"/>
        </w:rPr>
        <w:t>Authority to Enter into Sales Agreement</w:t>
      </w:r>
      <w:r>
        <w:rPr>
          <w:rFonts w:ascii="Arial" w:cs="Arial" w:eastAsia="Arial" w:hAnsi="Arial"/>
          <w:sz w:val="22"/>
          <w:szCs w:val="22"/>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6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(aw) </w:t>
      </w:r>
      <w:r>
        <w:rPr>
          <w:rFonts w:ascii="Arial" w:cs="Arial" w:eastAsia="Arial" w:hAnsi="Arial"/>
          <w:sz w:val="21"/>
          <w:szCs w:val="21"/>
          <w:u w:val="single" w:color="auto"/>
          <w:color w:val="auto"/>
        </w:rPr>
        <w:t>No Violation of Organizational Documents, Laws or Existing Instruments</w:t>
      </w:r>
      <w:r>
        <w:rPr>
          <w:rFonts w:ascii="Arial" w:cs="Arial" w:eastAsia="Arial" w:hAnsi="Arial"/>
          <w:sz w:val="21"/>
          <w:szCs w:val="21"/>
          <w:color w:val="auto"/>
        </w:rPr>
        <w:t>.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6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(ax) </w:t>
      </w:r>
      <w:r>
        <w:rPr>
          <w:rFonts w:ascii="Arial" w:cs="Arial" w:eastAsia="Arial" w:hAnsi="Arial"/>
          <w:sz w:val="22"/>
          <w:szCs w:val="22"/>
          <w:u w:val="single" w:color="auto"/>
          <w:color w:val="auto"/>
        </w:rPr>
        <w:t>Accuracy of Certain Disclosure</w:t>
      </w:r>
      <w:r>
        <w:rPr>
          <w:rFonts w:ascii="Arial" w:cs="Arial" w:eastAsia="Arial" w:hAnsi="Arial"/>
          <w:sz w:val="22"/>
          <w:szCs w:val="22"/>
          <w:color w:val="auto"/>
        </w:rPr>
        <w:t>. The statements set forth in the Registration Statement and the Prospectus under the caption “Description of Capital Stock,” insofar as they purport to constitute a summary of the terms of the Common Stock are accurate, complete and fair in all material respects.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(ay) </w:t>
      </w:r>
      <w:r>
        <w:rPr>
          <w:rFonts w:ascii="Arial" w:cs="Arial" w:eastAsia="Arial" w:hAnsi="Arial"/>
          <w:sz w:val="22"/>
          <w:szCs w:val="22"/>
          <w:u w:val="single" w:color="auto"/>
          <w:color w:val="auto"/>
        </w:rPr>
        <w:t>No Material Labor Disturbances</w:t>
      </w:r>
      <w:r>
        <w:rPr>
          <w:rFonts w:ascii="Arial" w:cs="Arial" w:eastAsia="Arial" w:hAnsi="Arial"/>
          <w:sz w:val="22"/>
          <w:szCs w:val="22"/>
          <w:color w:val="auto"/>
        </w:rPr>
        <w:t>. No material labor disturbance by or dispute with employees of the Company or any of its subsidiaries exists or, to the Company’s knowledge, is contemplated or threatened, and the Company is not aware of any existing or imminent labor disturbance by, or dispute with, the employees of any of its principal suppliers or contractors, except as would not, individually or in the aggregate, reasonably be expected to have a Material Adverse Effect. The Company has not received any notice of cancellation or termination with respect to any collective bargaining agreement material to the Company.</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(az) </w:t>
      </w:r>
      <w:r>
        <w:rPr>
          <w:rFonts w:ascii="Arial" w:cs="Arial" w:eastAsia="Arial" w:hAnsi="Arial"/>
          <w:sz w:val="22"/>
          <w:szCs w:val="22"/>
          <w:u w:val="single" w:color="auto"/>
          <w:color w:val="auto"/>
        </w:rPr>
        <w:t>No Ratings</w:t>
      </w:r>
      <w:r>
        <w:rPr>
          <w:rFonts w:ascii="Arial" w:cs="Arial" w:eastAsia="Arial" w:hAnsi="Arial"/>
          <w:sz w:val="22"/>
          <w:szCs w:val="22"/>
          <w:color w:val="auto"/>
        </w:rPr>
        <w:t>. There are no debt securities or preferred stock issued or guaranteed by the Company nor any of its subsidiaries that are rated by a “nationally recognized statistical rating organization,” as such term is defined in Section 3(a)(62) under the Exchange Act.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(ba) </w:t>
      </w:r>
      <w:r>
        <w:rPr>
          <w:rFonts w:ascii="Arial" w:cs="Arial" w:eastAsia="Arial" w:hAnsi="Arial"/>
          <w:sz w:val="22"/>
          <w:szCs w:val="22"/>
          <w:u w:val="single" w:color="auto"/>
          <w:color w:val="auto"/>
        </w:rPr>
        <w:t>Forward-Looking Statements</w:t>
      </w:r>
      <w:r>
        <w:rPr>
          <w:rFonts w:ascii="Arial" w:cs="Arial" w:eastAsia="Arial" w:hAnsi="Arial"/>
          <w:sz w:val="22"/>
          <w:szCs w:val="22"/>
          <w:color w:val="auto"/>
        </w:rPr>
        <w:t>. No forward-looking statement (within the meaning of Section 27A of the Securities Act and Section 21E of the Exchange Act) included in the Registration Statement or the Prospectus has been made or reaffirmed without a reasonable basis or has been disclosed other than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74" w:name="page75"/>
    <w:bookmarkEnd w:id="74"/>
    <w:p>
      <w:pPr>
        <w:jc w:val="both"/>
        <w:ind w:firstLine="648"/>
        <w:spacing w:after="0" w:line="223" w:lineRule="auto"/>
        <w:rPr>
          <w:sz w:val="20"/>
          <w:szCs w:val="20"/>
          <w:color w:val="auto"/>
        </w:rPr>
      </w:pPr>
      <w:r>
        <w:rPr>
          <w:rFonts w:ascii="Arial" w:cs="Arial" w:eastAsia="Arial" w:hAnsi="Arial"/>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The Company acknowledges that the Agent and, for purposes of the opinions to be delivered pursuant to </w:t>
      </w:r>
      <w:r>
        <w:rPr>
          <w:rFonts w:ascii="Arial" w:cs="Arial" w:eastAsia="Arial" w:hAnsi="Arial"/>
          <w:sz w:val="22"/>
          <w:szCs w:val="22"/>
          <w:u w:val="single" w:color="auto"/>
          <w:color w:val="auto"/>
        </w:rPr>
        <w:t>Section 4(o)</w:t>
      </w:r>
      <w:r>
        <w:rPr>
          <w:rFonts w:ascii="Arial" w:cs="Arial" w:eastAsia="Arial" w:hAnsi="Arial"/>
          <w:sz w:val="22"/>
          <w:szCs w:val="22"/>
          <w:color w:val="auto"/>
        </w:rPr>
        <w:t xml:space="preserve"> and Section 4(q) hereof, counsel to the Company and counsel to the Agent, will rely upon the accuracy and truthfulness of the foregoing representations and hereby consents to such reliance.</w:t>
      </w:r>
    </w:p>
    <w:p>
      <w:pPr>
        <w:spacing w:after="0" w:line="15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ISSUANCE AND SALE OF COMMON SHARES</w:t>
      </w:r>
    </w:p>
    <w:p>
      <w:pPr>
        <w:spacing w:after="0" w:line="185" w:lineRule="exact"/>
        <w:rPr>
          <w:sz w:val="20"/>
          <w:szCs w:val="20"/>
          <w:color w:val="auto"/>
        </w:rPr>
      </w:pPr>
    </w:p>
    <w:p>
      <w:pPr>
        <w:jc w:val="both"/>
        <w:ind w:firstLine="656"/>
        <w:spacing w:after="0" w:line="216" w:lineRule="auto"/>
        <w:tabs>
          <w:tab w:leader="none" w:pos="1296" w:val="left"/>
        </w:tabs>
        <w:numPr>
          <w:ilvl w:val="2"/>
          <w:numId w:val="39"/>
        </w:numPr>
        <w:rPr>
          <w:rFonts w:ascii="Arial" w:cs="Arial" w:eastAsia="Arial" w:hAnsi="Arial"/>
          <w:sz w:val="22"/>
          <w:szCs w:val="22"/>
          <w:color w:val="auto"/>
        </w:rPr>
      </w:pPr>
      <w:r>
        <w:rPr>
          <w:rFonts w:ascii="Arial" w:cs="Arial" w:eastAsia="Arial" w:hAnsi="Arial"/>
          <w:sz w:val="22"/>
          <w:szCs w:val="22"/>
          <w:u w:val="single" w:color="auto"/>
          <w:color w:val="auto"/>
        </w:rPr>
        <w:t>Sale of Securities</w:t>
      </w:r>
      <w:r>
        <w:rPr>
          <w:rFonts w:ascii="Arial" w:cs="Arial" w:eastAsia="Arial" w:hAnsi="Arial"/>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2"/>
          <w:numId w:val="39"/>
        </w:numPr>
        <w:rPr>
          <w:rFonts w:ascii="Arial" w:cs="Arial" w:eastAsia="Arial" w:hAnsi="Arial"/>
          <w:sz w:val="22"/>
          <w:szCs w:val="22"/>
          <w:color w:val="auto"/>
        </w:rPr>
      </w:pPr>
      <w:r>
        <w:rPr>
          <w:rFonts w:ascii="Arial" w:cs="Arial" w:eastAsia="Arial" w:hAnsi="Arial"/>
          <w:sz w:val="22"/>
          <w:szCs w:val="22"/>
          <w:u w:val="single" w:color="auto"/>
          <w:color w:val="auto"/>
        </w:rPr>
        <w:t>Mechanics of Issuances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320"/>
        <w:spacing w:after="0" w:line="244" w:lineRule="auto"/>
        <w:tabs>
          <w:tab w:leader="none" w:pos="59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Issuance Notice</w:t>
      </w:r>
      <w:r>
        <w:rPr>
          <w:rFonts w:ascii="Arial" w:cs="Arial" w:eastAsia="Arial" w:hAnsi="Arial"/>
          <w:sz w:val="19"/>
          <w:szCs w:val="19"/>
          <w:color w:val="auto"/>
        </w:rPr>
        <w:t xml:space="preserve">. Upon the terms and subject to the conditions set forth herein, on any Trading Day during the Agency Period on which the conditions set forth in </w:t>
      </w:r>
      <w:r>
        <w:rPr>
          <w:rFonts w:ascii="Arial" w:cs="Arial" w:eastAsia="Arial" w:hAnsi="Arial"/>
          <w:sz w:val="19"/>
          <w:szCs w:val="19"/>
          <w:u w:val="single" w:color="auto"/>
          <w:color w:val="auto"/>
        </w:rPr>
        <w:t>Section 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have been satisfied, the Company may exercise its right to request an issuance of Shares by delivering to the Agent an Issuance Notice;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54" w:lineRule="exact"/>
        <w:rPr>
          <w:rFonts w:ascii="Arial" w:cs="Arial" w:eastAsia="Arial" w:hAnsi="Arial"/>
          <w:sz w:val="19"/>
          <w:szCs w:val="19"/>
          <w:color w:val="auto"/>
        </w:rPr>
      </w:pPr>
    </w:p>
    <w:p>
      <w:pPr>
        <w:jc w:val="both"/>
        <w:ind w:firstLine="259"/>
        <w:spacing w:after="0" w:line="249" w:lineRule="auto"/>
        <w:tabs>
          <w:tab w:leader="none" w:pos="76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Agent Efforts</w:t>
      </w:r>
      <w:r>
        <w:rPr>
          <w:rFonts w:ascii="Arial" w:cs="Arial" w:eastAsia="Arial" w:hAnsi="Arial"/>
          <w:sz w:val="19"/>
          <w:szCs w:val="19"/>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51" w:lineRule="exact"/>
        <w:rPr>
          <w:rFonts w:ascii="Arial" w:cs="Arial" w:eastAsia="Arial" w:hAnsi="Arial"/>
          <w:sz w:val="19"/>
          <w:szCs w:val="19"/>
          <w:color w:val="auto"/>
        </w:rPr>
      </w:pPr>
    </w:p>
    <w:p>
      <w:pPr>
        <w:jc w:val="both"/>
        <w:ind w:firstLine="246"/>
        <w:spacing w:after="0" w:line="249" w:lineRule="auto"/>
        <w:tabs>
          <w:tab w:leader="none" w:pos="799"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Method of Offer and Sale</w:t>
      </w:r>
      <w:r>
        <w:rPr>
          <w:rFonts w:ascii="Arial" w:cs="Arial" w:eastAsia="Arial" w:hAnsi="Arial"/>
          <w:sz w:val="19"/>
          <w:szCs w:val="19"/>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Class A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75" w:name="page76"/>
    <w:bookmarkEnd w:id="75"/>
    <w:p>
      <w:pPr>
        <w:jc w:val="both"/>
        <w:ind w:firstLine="306"/>
        <w:spacing w:after="0" w:line="218" w:lineRule="auto"/>
        <w:tabs>
          <w:tab w:leader="none" w:pos="907"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Confirmation to the Company</w:t>
      </w:r>
      <w:r>
        <w:rPr>
          <w:rFonts w:ascii="Arial" w:cs="Arial" w:eastAsia="Arial" w:hAnsi="Arial"/>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60" w:lineRule="exact"/>
        <w:rPr>
          <w:rFonts w:ascii="Arial" w:cs="Arial" w:eastAsia="Arial" w:hAnsi="Arial"/>
          <w:sz w:val="22"/>
          <w:szCs w:val="22"/>
          <w:color w:val="auto"/>
        </w:rPr>
      </w:pPr>
    </w:p>
    <w:p>
      <w:pPr>
        <w:jc w:val="both"/>
        <w:ind w:firstLine="282"/>
        <w:spacing w:after="0" w:line="221" w:lineRule="auto"/>
        <w:tabs>
          <w:tab w:leader="none" w:pos="799"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xml:space="preserve">. Each issuance of Shares will be settled on the applicable Settlement Date for such issuance of Shares and, subject to the provisions of </w:t>
      </w:r>
      <w:r>
        <w:rPr>
          <w:rFonts w:ascii="Arial" w:cs="Arial" w:eastAsia="Arial" w:hAnsi="Arial"/>
          <w:sz w:val="21"/>
          <w:szCs w:val="21"/>
          <w:u w:val="single" w:color="auto"/>
          <w:color w:val="auto"/>
        </w:rPr>
        <w:t>Section 5</w:t>
      </w:r>
      <w:r>
        <w:rPr>
          <w:rFonts w:ascii="Arial" w:cs="Arial" w:eastAsia="Arial" w:hAnsi="Arial"/>
          <w:sz w:val="21"/>
          <w:szCs w:val="21"/>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21"/>
          <w:szCs w:val="21"/>
          <w:b w:val="1"/>
          <w:bCs w:val="1"/>
          <w:color w:val="auto"/>
        </w:rPr>
        <w:t>Time of Sale</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firstLine="289"/>
        <w:spacing w:after="0" w:line="242" w:lineRule="auto"/>
        <w:tabs>
          <w:tab w:leader="none" w:pos="87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Suspension or Termination of Sales</w:t>
      </w:r>
      <w:r>
        <w:rPr>
          <w:rFonts w:ascii="Arial" w:cs="Arial" w:eastAsia="Arial" w:hAnsi="Arial"/>
          <w:sz w:val="19"/>
          <w:szCs w:val="19"/>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Class A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9"/>
          <w:szCs w:val="19"/>
          <w:u w:val="single" w:color="auto"/>
          <w:color w:val="auto"/>
        </w:rPr>
        <w:t>Section 3(b)(i)</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281"/>
        <w:spacing w:after="0" w:line="229" w:lineRule="auto"/>
        <w:tabs>
          <w:tab w:leader="none" w:pos="917"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No Guarantee of Placement, Etc.</w:t>
      </w:r>
      <w:r>
        <w:rPr>
          <w:rFonts w:ascii="Arial" w:cs="Arial" w:eastAsia="Arial" w:hAnsi="Arial"/>
          <w:sz w:val="21"/>
          <w:szCs w:val="21"/>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58" w:lineRule="exact"/>
        <w:rPr>
          <w:rFonts w:ascii="Arial" w:cs="Arial" w:eastAsia="Arial" w:hAnsi="Arial"/>
          <w:sz w:val="21"/>
          <w:szCs w:val="21"/>
          <w:color w:val="auto"/>
        </w:rPr>
      </w:pPr>
    </w:p>
    <w:p>
      <w:pPr>
        <w:jc w:val="both"/>
        <w:ind w:firstLine="656"/>
        <w:spacing w:after="0" w:line="268" w:lineRule="auto"/>
        <w:tabs>
          <w:tab w:leader="none" w:pos="1351" w:val="left"/>
        </w:tabs>
        <w:numPr>
          <w:ilvl w:val="2"/>
          <w:numId w:val="42"/>
        </w:numPr>
        <w:rPr>
          <w:rFonts w:ascii="Arial" w:cs="Arial" w:eastAsia="Arial" w:hAnsi="Arial"/>
          <w:sz w:val="19"/>
          <w:szCs w:val="19"/>
          <w:color w:val="auto"/>
        </w:rPr>
      </w:pPr>
      <w:r>
        <w:rPr>
          <w:rFonts w:ascii="Arial" w:cs="Arial" w:eastAsia="Arial" w:hAnsi="Arial"/>
          <w:sz w:val="19"/>
          <w:szCs w:val="19"/>
          <w:u w:val="single" w:color="auto"/>
          <w:color w:val="auto"/>
        </w:rPr>
        <w:t>Material Non-Public Information.</w:t>
      </w:r>
      <w:r>
        <w:rPr>
          <w:rFonts w:ascii="Arial" w:cs="Arial" w:eastAsia="Arial" w:hAnsi="Arial"/>
          <w:sz w:val="19"/>
          <w:szCs w:val="19"/>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32" w:lineRule="exact"/>
        <w:rPr>
          <w:sz w:val="20"/>
          <w:szCs w:val="20"/>
          <w:color w:val="auto"/>
        </w:rPr>
      </w:pPr>
    </w:p>
    <w:p>
      <w:pPr>
        <w:jc w:val="both"/>
        <w:ind w:firstLine="656"/>
        <w:spacing w:after="0" w:line="268" w:lineRule="auto"/>
        <w:tabs>
          <w:tab w:leader="none" w:pos="12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76" w:name="page77"/>
    <w:bookmarkEnd w:id="76"/>
    <w:p>
      <w:pPr>
        <w:jc w:val="both"/>
        <w:ind w:firstLine="656"/>
        <w:spacing w:after="0" w:line="238" w:lineRule="auto"/>
        <w:tabs>
          <w:tab w:leader="none" w:pos="129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reasonable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9"/>
          <w:szCs w:val="19"/>
          <w:b w:val="1"/>
          <w:bCs w:val="1"/>
          <w:color w:val="auto"/>
        </w:rPr>
        <w:t>Blue Sky Survey</w:t>
      </w:r>
      <w:r>
        <w:rPr>
          <w:rFonts w:ascii="Arial" w:cs="Arial" w:eastAsia="Arial" w:hAnsi="Arial"/>
          <w:sz w:val="19"/>
          <w:szCs w:val="19"/>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w:t>
      </w:r>
    </w:p>
    <w:p>
      <w:pPr>
        <w:spacing w:after="0" w:line="6" w:lineRule="exact"/>
        <w:rPr>
          <w:rFonts w:ascii="Arial" w:cs="Arial" w:eastAsia="Arial" w:hAnsi="Arial"/>
          <w:sz w:val="19"/>
          <w:szCs w:val="19"/>
          <w:color w:val="auto"/>
        </w:rPr>
      </w:pPr>
    </w:p>
    <w:p>
      <w:pPr>
        <w:jc w:val="both"/>
        <w:ind w:firstLine="8"/>
        <w:spacing w:after="0" w:line="211" w:lineRule="auto"/>
        <w:tabs>
          <w:tab w:leader="none" w:pos="405"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and (vii) above shall not exceed (A) $75,000 in connection with the execution of this Agreement, and (B) $25,000 in connection with each Triggering Event Date (as defined below) on which the Company is required to provide a certificate pursuant to Section 4(o); </w:t>
      </w:r>
      <w:r>
        <w:rPr>
          <w:rFonts w:ascii="Arial" w:cs="Arial" w:eastAsia="Arial" w:hAnsi="Arial"/>
          <w:sz w:val="22"/>
          <w:szCs w:val="22"/>
          <w:i w:val="1"/>
          <w:iCs w:val="1"/>
          <w:color w:val="auto"/>
        </w:rPr>
        <w:t>provided</w:t>
      </w:r>
      <w:r>
        <w:rPr>
          <w:rFonts w:ascii="Arial" w:cs="Arial" w:eastAsia="Arial" w:hAnsi="Arial"/>
          <w:sz w:val="22"/>
          <w:szCs w:val="22"/>
          <w:color w:val="auto"/>
        </w:rPr>
        <w:t>, however, that the fees and expenses of the Agent’s counsel in connection with FINRA review and approval of the Agent’s participation in the offering and distribution of the Shares pursuant to subsection (vii) above shall not be subject to the dollar amount limitations on the fees and disbursements of the Agent’s counsel that are set forth in this sentence, but shall not exceed an additional $10,000.</w:t>
      </w:r>
    </w:p>
    <w:p>
      <w:pPr>
        <w:spacing w:after="0" w:line="15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2"/>
          <w:szCs w:val="22"/>
          <w:b w:val="1"/>
          <w:bCs w:val="1"/>
          <w:color w:val="auto"/>
        </w:rPr>
        <w:t>ADDITIONAL COVENANTS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covenants and agrees with the Agent as follows, in addition to any other covenants and agreements made elsewhere in this Agreement:</w:t>
      </w:r>
    </w:p>
    <w:p>
      <w:pPr>
        <w:spacing w:after="0" w:line="159" w:lineRule="exact"/>
        <w:rPr>
          <w:sz w:val="20"/>
          <w:szCs w:val="20"/>
          <w:color w:val="auto"/>
        </w:rPr>
      </w:pPr>
    </w:p>
    <w:p>
      <w:pPr>
        <w:jc w:val="both"/>
        <w:ind w:firstLine="656"/>
        <w:spacing w:after="0" w:line="244" w:lineRule="auto"/>
        <w:tabs>
          <w:tab w:leader="none" w:pos="129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 Prospectus Supplement</w:t>
      </w:r>
      <w:r>
        <w:rPr>
          <w:rFonts w:ascii="Arial" w:cs="Arial" w:eastAsia="Arial" w:hAnsi="Arial"/>
          <w:sz w:val="19"/>
          <w:szCs w:val="19"/>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60" w:lineRule="exact"/>
        <w:rPr>
          <w:rFonts w:ascii="Arial" w:cs="Arial" w:eastAsia="Arial" w:hAnsi="Arial"/>
          <w:sz w:val="19"/>
          <w:szCs w:val="19"/>
          <w:color w:val="auto"/>
        </w:rPr>
      </w:pPr>
    </w:p>
    <w:p>
      <w:pPr>
        <w:jc w:val="both"/>
        <w:ind w:firstLine="656"/>
        <w:spacing w:after="0" w:line="229" w:lineRule="auto"/>
        <w:tabs>
          <w:tab w:leader="none" w:pos="1296"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Securities Act Compliance</w:t>
      </w:r>
      <w:r>
        <w:rPr>
          <w:rFonts w:ascii="Arial" w:cs="Arial" w:eastAsia="Arial" w:hAnsi="Arial"/>
          <w:sz w:val="21"/>
          <w:szCs w:val="21"/>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77" w:name="page78"/>
    <w:bookmarkEnd w:id="77"/>
    <w:p>
      <w:pPr>
        <w:jc w:val="both"/>
        <w:spacing w:after="0" w:line="242" w:lineRule="auto"/>
        <w:rPr>
          <w:sz w:val="20"/>
          <w:szCs w:val="20"/>
          <w:color w:val="auto"/>
        </w:rPr>
      </w:pPr>
      <w:r>
        <w:rPr>
          <w:rFonts w:ascii="Arial" w:cs="Arial" w:eastAsia="Arial" w:hAnsi="Arial"/>
          <w:sz w:val="19"/>
          <w:szCs w:val="19"/>
          <w:color w:val="auto"/>
        </w:rPr>
        <w:t>Prospectus; (iii) of the time and date that any post-effective amendment to the Registration Statement or any Rule 462(b) Registration Statement becomes effective;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Class A Common Shares from any securities exchange upon which they are listed for trading or included or designated for quotation, or of the threatening or initiation of any proceedings for any of such purposes; and (v) of the Company losing its status as a “well-known seasoned issuer” as defined in Rule 405 under the Securities Act as of the time the Company files with the Commission an annual report on Form 10-K.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4" w:lineRule="exact"/>
        <w:rPr>
          <w:sz w:val="20"/>
          <w:szCs w:val="20"/>
          <w:color w:val="auto"/>
        </w:rPr>
      </w:pPr>
    </w:p>
    <w:p>
      <w:pPr>
        <w:jc w:val="both"/>
        <w:ind w:firstLine="656"/>
        <w:spacing w:after="0"/>
        <w:tabs>
          <w:tab w:leader="none" w:pos="1296"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Section 4(f). Notwithstanding the foregoing, the Company shall not be required to file such amendment or supplement if there is no pending Issuance Notice and the Company believes that it is in its best interests not to file such amendment or supplement; provided, however, the Company agrees not to provide an Issuance Notice or otherwise sell under this Agreement until such amendment or supplement is filed or it is determined that such amendment or supplement is no longer required;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w:t>
      </w:r>
    </w:p>
    <w:p>
      <w:pPr>
        <w:spacing w:after="0" w:line="171" w:lineRule="exact"/>
        <w:rPr>
          <w:rFonts w:ascii="Arial" w:cs="Arial" w:eastAsia="Arial" w:hAnsi="Arial"/>
          <w:sz w:val="19"/>
          <w:szCs w:val="19"/>
          <w:color w:val="auto"/>
        </w:rPr>
      </w:pPr>
    </w:p>
    <w:p>
      <w:pPr>
        <w:jc w:val="both"/>
        <w:ind w:firstLine="656"/>
        <w:spacing w:after="0" w:line="247" w:lineRule="auto"/>
        <w:tabs>
          <w:tab w:leader="none" w:pos="1296"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which consent will not be unreasonably withheld, conditioned or delayed,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78" w:name="page79"/>
    <w:bookmarkEnd w:id="78"/>
    <w:p>
      <w:pPr>
        <w:spacing w:after="0" w:line="232" w:lineRule="auto"/>
        <w:rPr>
          <w:sz w:val="20"/>
          <w:szCs w:val="20"/>
          <w:color w:val="auto"/>
        </w:rPr>
      </w:pPr>
      <w:r>
        <w:rPr>
          <w:rFonts w:ascii="Arial" w:cs="Arial" w:eastAsia="Arial" w:hAnsi="Arial"/>
          <w:sz w:val="22"/>
          <w:szCs w:val="22"/>
          <w:color w:val="auto"/>
        </w:rPr>
        <w:t>Company shall file with the Commission within the applicable period specified in Rule 424(b) under the Securities Act any prospectus required to be filed pursuant to such Rule.</w:t>
      </w:r>
    </w:p>
    <w:p>
      <w:pPr>
        <w:spacing w:after="0" w:line="159" w:lineRule="exact"/>
        <w:rPr>
          <w:sz w:val="20"/>
          <w:szCs w:val="20"/>
          <w:color w:val="auto"/>
        </w:rPr>
      </w:pPr>
    </w:p>
    <w:p>
      <w:pPr>
        <w:jc w:val="both"/>
        <w:ind w:firstLine="656"/>
        <w:spacing w:after="0" w:line="257"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Use of Free Writing Prospectus</w:t>
      </w:r>
      <w:r>
        <w:rPr>
          <w:rFonts w:ascii="Arial" w:cs="Arial" w:eastAsia="Arial" w:hAnsi="Arial"/>
          <w:sz w:val="19"/>
          <w:szCs w:val="19"/>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656"/>
        <w:spacing w:after="0"/>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Free Writing Prospectuses</w:t>
      </w:r>
      <w:r>
        <w:rPr>
          <w:rFonts w:ascii="Arial" w:cs="Arial" w:eastAsia="Arial" w:hAnsi="Arial"/>
          <w:sz w:val="19"/>
          <w:szCs w:val="19"/>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will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will not be unreasonably withheld, conditioned or delayed.</w:t>
      </w:r>
    </w:p>
    <w:p>
      <w:pPr>
        <w:spacing w:after="0" w:line="384" w:lineRule="exact"/>
        <w:rPr>
          <w:rFonts w:ascii="Arial" w:cs="Arial" w:eastAsia="Arial" w:hAnsi="Arial"/>
          <w:sz w:val="19"/>
          <w:szCs w:val="19"/>
          <w:color w:val="auto"/>
        </w:rPr>
      </w:pPr>
    </w:p>
    <w:p>
      <w:pPr>
        <w:jc w:val="both"/>
        <w:ind w:firstLine="656"/>
        <w:spacing w:after="0" w:line="268"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32"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Copies of Registration Statement and Prospectus</w:t>
      </w:r>
      <w:r>
        <w:rPr>
          <w:rFonts w:ascii="Arial" w:cs="Arial" w:eastAsia="Arial" w:hAnsi="Arial"/>
          <w:sz w:val="21"/>
          <w:szCs w:val="21"/>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1" w:right="339" w:bottom="1440" w:gutter="0" w:footer="0" w:header="0"/>
        </w:sectPr>
      </w:pPr>
    </w:p>
    <w:bookmarkStart w:id="79" w:name="page80"/>
    <w:bookmarkEnd w:id="79"/>
    <w:p>
      <w:pPr>
        <w:jc w:val="both"/>
        <w:spacing w:after="0" w:line="242" w:lineRule="auto"/>
        <w:rPr>
          <w:sz w:val="20"/>
          <w:szCs w:val="20"/>
          <w:color w:val="auto"/>
        </w:rPr>
      </w:pPr>
      <w:r>
        <w:rPr>
          <w:rFonts w:ascii="Arial" w:cs="Arial" w:eastAsia="Arial" w:hAnsi="Arial"/>
          <w:sz w:val="19"/>
          <w:szCs w:val="19"/>
          <w:color w:val="auto"/>
        </w:rPr>
        <w:t>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385" w:lineRule="exact"/>
        <w:rPr>
          <w:sz w:val="20"/>
          <w:szCs w:val="20"/>
          <w:color w:val="auto"/>
        </w:rPr>
      </w:pPr>
    </w:p>
    <w:p>
      <w:pPr>
        <w:jc w:val="both"/>
        <w:ind w:firstLine="656"/>
        <w:spacing w:after="0" w:line="244" w:lineRule="auto"/>
        <w:tabs>
          <w:tab w:leader="none" w:pos="12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at the earliest possible moment.</w:t>
      </w:r>
    </w:p>
    <w:p>
      <w:pPr>
        <w:spacing w:after="0" w:line="154" w:lineRule="exact"/>
        <w:rPr>
          <w:rFonts w:ascii="Arial" w:cs="Arial" w:eastAsia="Arial" w:hAnsi="Arial"/>
          <w:sz w:val="19"/>
          <w:szCs w:val="19"/>
          <w:color w:val="auto"/>
        </w:rPr>
      </w:pPr>
    </w:p>
    <w:p>
      <w:pPr>
        <w:jc w:val="both"/>
        <w:ind w:firstLine="656"/>
        <w:spacing w:after="0" w:line="218"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Listing; Reservation of Shares</w:t>
      </w:r>
      <w:r>
        <w:rPr>
          <w:rFonts w:ascii="Arial" w:cs="Arial" w:eastAsia="Arial" w:hAnsi="Arial"/>
          <w:sz w:val="22"/>
          <w:szCs w:val="22"/>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Transfer Agent</w:t>
      </w:r>
      <w:r>
        <w:rPr>
          <w:rFonts w:ascii="Arial" w:cs="Arial" w:eastAsia="Arial" w:hAnsi="Arial"/>
          <w:sz w:val="19"/>
          <w:szCs w:val="19"/>
          <w:color w:val="auto"/>
        </w:rPr>
        <w:t>. The Company shall engage and maintain, at its expense, a registrar and transfer agent for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161" w:lineRule="exact"/>
        <w:rPr>
          <w:rFonts w:ascii="Arial" w:cs="Arial" w:eastAsia="Arial" w:hAnsi="Arial"/>
          <w:sz w:val="19"/>
          <w:szCs w:val="19"/>
          <w:color w:val="auto"/>
        </w:rPr>
      </w:pPr>
    </w:p>
    <w:p>
      <w:pPr>
        <w:jc w:val="both"/>
        <w:ind w:firstLine="656"/>
        <w:spacing w:after="0" w:line="229" w:lineRule="auto"/>
        <w:tabs>
          <w:tab w:leader="none" w:pos="1296"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Due Diligence</w:t>
      </w:r>
      <w:r>
        <w:rPr>
          <w:rFonts w:ascii="Arial" w:cs="Arial" w:eastAsia="Arial" w:hAnsi="Arial"/>
          <w:sz w:val="21"/>
          <w:szCs w:val="21"/>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58" w:lineRule="exact"/>
        <w:rPr>
          <w:rFonts w:ascii="Arial" w:cs="Arial" w:eastAsia="Arial" w:hAnsi="Arial"/>
          <w:sz w:val="21"/>
          <w:szCs w:val="21"/>
          <w:color w:val="auto"/>
        </w:rPr>
      </w:pPr>
    </w:p>
    <w:p>
      <w:pPr>
        <w:jc w:val="both"/>
        <w:ind w:firstLine="656"/>
        <w:spacing w:after="0" w:line="223"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acknowledges that each delivery of an Issuance Notice and each delivery of Shares on a Settlement Date shall be deemed to be (i) an affirmation to the Agent that the representations and warranties of the Company contained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80" w:name="page81"/>
    <w:bookmarkEnd w:id="80"/>
    <w:p>
      <w:pPr>
        <w:jc w:val="both"/>
        <w:spacing w:after="0" w:line="249" w:lineRule="auto"/>
        <w:rPr>
          <w:sz w:val="20"/>
          <w:szCs w:val="20"/>
          <w:color w:val="auto"/>
        </w:rPr>
      </w:pPr>
      <w:r>
        <w:rPr>
          <w:rFonts w:ascii="Arial" w:cs="Arial" w:eastAsia="Arial" w:hAnsi="Arial"/>
          <w:sz w:val="19"/>
          <w:szCs w:val="19"/>
          <w:color w:val="auto"/>
        </w:rPr>
        <w:t>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52" w:lineRule="exact"/>
        <w:rPr>
          <w:sz w:val="20"/>
          <w:szCs w:val="20"/>
          <w:color w:val="auto"/>
        </w:rPr>
      </w:pPr>
    </w:p>
    <w:p>
      <w:pPr>
        <w:ind w:firstLine="656"/>
        <w:spacing w:after="0" w:line="232" w:lineRule="auto"/>
        <w:tabs>
          <w:tab w:leader="none" w:pos="1296" w:val="left"/>
        </w:tabs>
        <w:numPr>
          <w:ilvl w:val="2"/>
          <w:numId w:val="50"/>
        </w:numPr>
        <w:rPr>
          <w:rFonts w:ascii="Arial" w:cs="Arial" w:eastAsia="Arial" w:hAnsi="Arial"/>
          <w:sz w:val="22"/>
          <w:szCs w:val="22"/>
          <w:color w:val="auto"/>
        </w:rPr>
      </w:pPr>
      <w:r>
        <w:rPr>
          <w:rFonts w:ascii="Arial" w:cs="Arial" w:eastAsia="Arial" w:hAnsi="Arial"/>
          <w:sz w:val="22"/>
          <w:szCs w:val="22"/>
          <w:u w:val="single" w:color="auto"/>
          <w:color w:val="auto"/>
        </w:rPr>
        <w:t>Deliverables at Triggering Event Dates; Certificates</w:t>
      </w:r>
      <w:r>
        <w:rPr>
          <w:rFonts w:ascii="Arial" w:cs="Arial" w:eastAsia="Arial" w:hAnsi="Arial"/>
          <w:sz w:val="22"/>
          <w:szCs w:val="22"/>
          <w:color w:val="auto"/>
        </w:rPr>
        <w:t>. The Company agrees that on or prior to the date of the first Issuance Notice and, during the term of this Agreement after the date of the first Issuance Notice, upon:</w:t>
      </w:r>
    </w:p>
    <w:p>
      <w:pPr>
        <w:spacing w:after="0" w:line="158" w:lineRule="exact"/>
        <w:rPr>
          <w:rFonts w:ascii="Arial" w:cs="Arial" w:eastAsia="Arial" w:hAnsi="Arial"/>
          <w:sz w:val="22"/>
          <w:szCs w:val="22"/>
          <w:color w:val="auto"/>
        </w:rPr>
      </w:pPr>
    </w:p>
    <w:p>
      <w:pPr>
        <w:jc w:val="both"/>
        <w:ind w:firstLine="457"/>
        <w:spacing w:after="0" w:line="218" w:lineRule="auto"/>
        <w:tabs>
          <w:tab w:leader="none" w:pos="97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87" w:lineRule="exact"/>
        <w:rPr>
          <w:rFonts w:ascii="Arial" w:cs="Arial" w:eastAsia="Arial" w:hAnsi="Arial"/>
          <w:sz w:val="22"/>
          <w:szCs w:val="22"/>
          <w:color w:val="auto"/>
        </w:rPr>
      </w:pPr>
    </w:p>
    <w:p>
      <w:pPr>
        <w:jc w:val="both"/>
        <w:ind w:firstLine="500"/>
        <w:spacing w:after="0" w:line="234" w:lineRule="auto"/>
        <w:tabs>
          <w:tab w:leader="none" w:pos="1027"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5" w:lineRule="exact"/>
        <w:rPr>
          <w:sz w:val="20"/>
          <w:szCs w:val="20"/>
          <w:color w:val="auto"/>
        </w:rPr>
      </w:pPr>
    </w:p>
    <w:p>
      <w:pPr>
        <w:jc w:val="both"/>
        <w:ind w:firstLine="648"/>
        <w:spacing w:after="0" w:line="216" w:lineRule="auto"/>
        <w:tabs>
          <w:tab w:leader="none" w:pos="124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(any such event, a “</w:t>
      </w:r>
      <w:r>
        <w:rPr>
          <w:rFonts w:ascii="Arial" w:cs="Arial" w:eastAsia="Arial" w:hAnsi="Arial"/>
          <w:sz w:val="19"/>
          <w:szCs w:val="19"/>
          <w:b w:val="1"/>
          <w:bCs w:val="1"/>
          <w:color w:val="auto"/>
        </w:rPr>
        <w:t>Triggering Event Date</w:t>
      </w:r>
      <w:r>
        <w:rPr>
          <w:rFonts w:ascii="Arial" w:cs="Arial" w:eastAsia="Arial" w:hAnsi="Arial"/>
          <w:sz w:val="19"/>
          <w:szCs w:val="19"/>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9"/>
          <w:szCs w:val="19"/>
          <w:u w:val="single" w:color="auto"/>
          <w:color w:val="auto"/>
        </w:rPr>
        <w:t>Section 5(a)(iii)</w:t>
      </w:r>
      <w:r>
        <w:rPr>
          <w:rFonts w:ascii="Arial" w:cs="Arial" w:eastAsia="Arial" w:hAnsi="Arial"/>
          <w:sz w:val="19"/>
          <w:szCs w:val="19"/>
          <w:color w:val="auto"/>
        </w:rPr>
        <w:t xml:space="preserve"> hereof, and (C) containing any other certification that the Agent shall reasonably request. The requirement to provide a certificate under this </w:t>
      </w:r>
      <w:r>
        <w:rPr>
          <w:rFonts w:ascii="Arial" w:cs="Arial" w:eastAsia="Arial" w:hAnsi="Arial"/>
          <w:sz w:val="19"/>
          <w:szCs w:val="19"/>
          <w:u w:val="single" w:color="auto"/>
          <w:color w:val="auto"/>
        </w:rPr>
        <w:t>Section 4(o)</w:t>
      </w:r>
      <w:r>
        <w:rPr>
          <w:rFonts w:ascii="Arial" w:cs="Arial" w:eastAsia="Arial" w:hAnsi="Arial"/>
          <w:sz w:val="19"/>
          <w:szCs w:val="19"/>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81" w:name="page82"/>
    <w:bookmarkEnd w:id="81"/>
    <w:p>
      <w:pPr>
        <w:jc w:val="both"/>
        <w:ind w:firstLine="656"/>
        <w:spacing w:after="0" w:line="242"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Company Legal Opinions and Negative Assurance Letter.</w:t>
      </w:r>
      <w:r>
        <w:rPr>
          <w:rFonts w:ascii="Arial" w:cs="Arial" w:eastAsia="Arial" w:hAnsi="Arial"/>
          <w:sz w:val="19"/>
          <w:szCs w:val="19"/>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Wilson Sonsini Goodrich &amp; Rosati, P.C., counsel to the Company (“</w:t>
      </w:r>
      <w:r>
        <w:rPr>
          <w:rFonts w:ascii="Arial" w:cs="Arial" w:eastAsia="Arial" w:hAnsi="Arial"/>
          <w:sz w:val="19"/>
          <w:szCs w:val="19"/>
          <w:b w:val="1"/>
          <w:bCs w:val="1"/>
          <w:color w:val="auto"/>
        </w:rPr>
        <w:t>Company Counsel</w:t>
      </w:r>
      <w:r>
        <w:rPr>
          <w:rFonts w:ascii="Arial" w:cs="Arial" w:eastAsia="Arial" w:hAnsi="Arial"/>
          <w:sz w:val="19"/>
          <w:szCs w:val="19"/>
          <w:color w:val="auto"/>
        </w:rPr>
        <w:t>”), and (2) the written legal opinion of Richard Person, Vice President of Intellectual Property of the Company or their successor (“</w:t>
      </w:r>
      <w:r>
        <w:rPr>
          <w:rFonts w:ascii="Arial" w:cs="Arial" w:eastAsia="Arial" w:hAnsi="Arial"/>
          <w:sz w:val="19"/>
          <w:szCs w:val="19"/>
          <w:b w:val="1"/>
          <w:bCs w:val="1"/>
          <w:color w:val="auto"/>
        </w:rPr>
        <w:t>Company Internal IP Counsel</w:t>
      </w:r>
      <w:r>
        <w:rPr>
          <w:rFonts w:ascii="Arial" w:cs="Arial" w:eastAsia="Arial" w:hAnsi="Arial"/>
          <w:sz w:val="19"/>
          <w:szCs w:val="19"/>
          <w:color w:val="auto"/>
        </w:rPr>
        <w:t xml:space="preserve">”),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Company shall be required to furnish no more than one written legal opinion of Company Counsel per filing of</w:t>
      </w:r>
      <w:r>
        <w:rPr>
          <w:rFonts w:ascii="Arial" w:cs="Arial" w:eastAsia="Arial" w:hAnsi="Arial"/>
          <w:sz w:val="19"/>
          <w:szCs w:val="19"/>
          <w:i w:val="1"/>
          <w:iCs w:val="1"/>
          <w:color w:val="auto"/>
        </w:rPr>
        <w:t xml:space="preserve"> </w:t>
      </w:r>
      <w:r>
        <w:rPr>
          <w:rFonts w:ascii="Arial" w:cs="Arial" w:eastAsia="Arial" w:hAnsi="Arial"/>
          <w:sz w:val="19"/>
          <w:szCs w:val="19"/>
          <w:color w:val="auto"/>
        </w:rPr>
        <w:t>an annual report on Form 10-K or quarterly 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376" w:lineRule="exact"/>
        <w:rPr>
          <w:rFonts w:ascii="Arial" w:cs="Arial" w:eastAsia="Arial" w:hAnsi="Arial"/>
          <w:sz w:val="19"/>
          <w:szCs w:val="19"/>
          <w:color w:val="auto"/>
        </w:rPr>
      </w:pPr>
    </w:p>
    <w:p>
      <w:pPr>
        <w:jc w:val="both"/>
        <w:ind w:firstLine="656"/>
        <w:spacing w:after="0" w:line="242"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upon the occurrence of any material transaction or event requiring the filing of a current report on Form 8-K containing material amended financial information of the Company, including the restatement of the Company’s financial statements, promptly following the filing of such current report on Form 8-K. After the initial comfort letter is furnished on or prior to the date of the first Issuance Notice, the Company shall be required to furnish no more than one comfort letter hereunder per calendar quarter.</w:t>
      </w:r>
    </w:p>
    <w:p>
      <w:pPr>
        <w:spacing w:after="0" w:line="160"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Secretary’s Certificate</w:t>
      </w:r>
      <w:r>
        <w:rPr>
          <w:rFonts w:ascii="Arial" w:cs="Arial" w:eastAsia="Arial" w:hAnsi="Arial"/>
          <w:sz w:val="19"/>
          <w:szCs w:val="19"/>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52" w:lineRule="exact"/>
        <w:rPr>
          <w:rFonts w:ascii="Arial" w:cs="Arial" w:eastAsia="Arial" w:hAnsi="Arial"/>
          <w:sz w:val="19"/>
          <w:szCs w:val="19"/>
          <w:color w:val="auto"/>
        </w:rPr>
      </w:pPr>
    </w:p>
    <w:p>
      <w:pPr>
        <w:ind w:firstLine="656"/>
        <w:spacing w:after="0" w:line="232" w:lineRule="auto"/>
        <w:tabs>
          <w:tab w:leader="none" w:pos="1296"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Agent’s Own Account; Clients’ Account</w:t>
      </w:r>
      <w:r>
        <w:rPr>
          <w:rFonts w:ascii="Arial" w:cs="Arial" w:eastAsia="Arial" w:hAnsi="Arial"/>
          <w:sz w:val="22"/>
          <w:szCs w:val="22"/>
          <w:color w:val="auto"/>
        </w:rPr>
        <w:t>. The Company consents to the Agent trading, in compliance with applicable law, in the Class A Common Shares for the Agent’s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1" w:right="3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account and for the account of its clients at the same time as sales of the Shares occur pursuant to this Agreement.</w:t>
      </w:r>
    </w:p>
    <w:p>
      <w:pPr>
        <w:spacing w:after="0" w:line="179" w:lineRule="exact"/>
        <w:rPr>
          <w:sz w:val="20"/>
          <w:szCs w:val="20"/>
          <w:color w:val="auto"/>
        </w:rPr>
      </w:pPr>
    </w:p>
    <w:p>
      <w:pPr>
        <w:jc w:val="both"/>
        <w:ind w:firstLine="656"/>
        <w:spacing w:after="0" w:line="223" w:lineRule="auto"/>
        <w:tabs>
          <w:tab w:leader="none" w:pos="129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Investment Limitation</w:t>
      </w:r>
      <w:r>
        <w:rPr>
          <w:rFonts w:ascii="Arial" w:cs="Arial" w:eastAsia="Arial" w:hAnsi="Arial"/>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58"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Market Activities</w:t>
      </w:r>
      <w:r>
        <w:rPr>
          <w:rFonts w:ascii="Arial" w:cs="Arial" w:eastAsia="Arial" w:hAnsi="Arial"/>
          <w:sz w:val="19"/>
          <w:szCs w:val="19"/>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9"/>
          <w:szCs w:val="19"/>
          <w:b w:val="1"/>
          <w:bCs w:val="1"/>
          <w:color w:val="auto"/>
        </w:rPr>
        <w:t>Rule 102</w:t>
      </w:r>
      <w:r>
        <w:rPr>
          <w:rFonts w:ascii="Arial" w:cs="Arial" w:eastAsia="Arial" w:hAnsi="Arial"/>
          <w:sz w:val="19"/>
          <w:szCs w:val="19"/>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0" w:lineRule="exact"/>
        <w:rPr>
          <w:rFonts w:ascii="Arial" w:cs="Arial" w:eastAsia="Arial" w:hAnsi="Arial"/>
          <w:sz w:val="19"/>
          <w:szCs w:val="19"/>
          <w:color w:val="auto"/>
        </w:rPr>
      </w:pPr>
    </w:p>
    <w:p>
      <w:pPr>
        <w:jc w:val="both"/>
        <w:ind w:firstLine="656"/>
        <w:spacing w:after="0"/>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Notice of Other Sale</w:t>
      </w:r>
      <w:r>
        <w:rPr>
          <w:rFonts w:ascii="Arial" w:cs="Arial" w:eastAsia="Arial" w:hAnsi="Arial"/>
          <w:sz w:val="19"/>
          <w:szCs w:val="19"/>
          <w:color w:val="auto"/>
        </w:rPr>
        <w:t>. Without the written consent of the Agent, the Company will not, directly or indirectly, offer to sell, sell, contract to sell, grant any option to sell or otherwise dispose of any shares of Common Stock or securities convertible into or exchangeable for Common Stock (other than Shares hereunder), warrants or any rights to purchase or acquire Common Stock,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agreement with an agent or underwriter for any other “at the market” or continuous equity transaction to offer to sell, sell, contract to sell, grant any option to sell or otherwise dispose of any shares of Common Stock (other than the Shares offered pursuant to this Agreement) or securities convertible into or exchangeable for Common Stock, warrants or any rights to purchase or acquire, shares of Common Stock prior to the termination of this Agreement; provided, however, that such restrictions will not be required in connection with the Company’s (i) issuance or sale of Class A Common Shares, options to purchase Class A Common Shares or Class A Common Shares issuable upon the exercise, settlement or vesting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Class A Common Shares issuable upon exchange, conversion or redemption of securities or the exercise, settlement or vesting of warrants, options or other equity awards outstanding at the date of this Agreement, (iii) modification of any outstanding options, warrants of any rights to purchase or acquire Class A Common Shares and (iv) any Class A Common Shares or other securities issued in 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provided that the aggregate number of Class A Common Shares issued pursuant to this clause (iv) shall not exceed 7.5% of the total number of outstanding shares of Common Stock, as of the date of such issuance or sale on a fully-diluted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01" w:right="339" w:bottom="1440" w:gutter="0" w:footer="0" w:header="0"/>
        </w:sectPr>
      </w:pPr>
    </w:p>
    <w:bookmarkStart w:id="83" w:name="page84"/>
    <w:bookmarkEnd w:id="83"/>
    <w:p>
      <w:pPr>
        <w:spacing w:after="0"/>
        <w:tabs>
          <w:tab w:leader="none" w:pos="13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1"/>
          <w:szCs w:val="21"/>
          <w:b w:val="1"/>
          <w:bCs w:val="1"/>
          <w:color w:val="auto"/>
        </w:rPr>
        <w:t>CONDITIONS TO DELIVERY OF ISSUANCE NOTICES AND TO SETTLEMENT</w:t>
      </w:r>
    </w:p>
    <w:p>
      <w:pPr>
        <w:spacing w:after="0" w:line="185" w:lineRule="exact"/>
        <w:rPr>
          <w:sz w:val="20"/>
          <w:szCs w:val="20"/>
          <w:color w:val="auto"/>
        </w:rPr>
      </w:pPr>
    </w:p>
    <w:p>
      <w:pPr>
        <w:jc w:val="both"/>
        <w:ind w:firstLine="656"/>
        <w:spacing w:after="0" w:line="226" w:lineRule="auto"/>
        <w:tabs>
          <w:tab w:leader="none" w:pos="129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Conditions Precedent to the Right of the Company to Deliver an Issuance Notice and the Obligation of the Agent to Sell Shares</w:t>
      </w:r>
      <w:r>
        <w:rPr>
          <w:rFonts w:ascii="Arial" w:cs="Arial" w:eastAsia="Arial" w:hAnsi="Arial"/>
          <w:sz w:val="21"/>
          <w:szCs w:val="21"/>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59" w:lineRule="exact"/>
        <w:rPr>
          <w:sz w:val="20"/>
          <w:szCs w:val="20"/>
          <w:color w:val="auto"/>
        </w:rPr>
      </w:pPr>
    </w:p>
    <w:p>
      <w:pPr>
        <w:ind w:left="1300" w:hanging="644"/>
        <w:spacing w:after="0" w:line="224" w:lineRule="auto"/>
        <w:tabs>
          <w:tab w:leader="none" w:pos="1077"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Accuracy of the Company’s Representations and Warranties; Performance by the Company</w:t>
      </w:r>
      <w:r>
        <w:rPr>
          <w:rFonts w:ascii="Arial" w:cs="Arial" w:eastAsia="Arial" w:hAnsi="Arial"/>
          <w:sz w:val="21"/>
          <w:szCs w:val="21"/>
          <w:color w:val="auto"/>
        </w:rPr>
        <w:t xml:space="preserve">. The Company shall have delivered the certificate required to be delivered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4(o)</w:t>
      </w:r>
      <w:r>
        <w:rPr>
          <w:rFonts w:ascii="Arial" w:cs="Arial" w:eastAsia="Arial" w:hAnsi="Arial"/>
          <w:sz w:val="21"/>
          <w:szCs w:val="21"/>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4(q)</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4(r)</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4(s).</w:t>
      </w:r>
    </w:p>
    <w:p>
      <w:pPr>
        <w:spacing w:after="0" w:line="159" w:lineRule="exact"/>
        <w:rPr>
          <w:rFonts w:ascii="Arial" w:cs="Arial" w:eastAsia="Arial" w:hAnsi="Arial"/>
          <w:sz w:val="21"/>
          <w:szCs w:val="21"/>
          <w:color w:val="auto"/>
        </w:rPr>
      </w:pPr>
    </w:p>
    <w:p>
      <w:pPr>
        <w:ind w:left="1300" w:hanging="644"/>
        <w:spacing w:after="0" w:line="214" w:lineRule="auto"/>
        <w:tabs>
          <w:tab w:leader="none" w:pos="1223"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No Injunction</w:t>
      </w:r>
      <w:r>
        <w:rPr>
          <w:rFonts w:ascii="Arial" w:cs="Arial" w:eastAsia="Arial" w:hAnsi="Arial"/>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58" w:lineRule="exact"/>
        <w:rPr>
          <w:rFonts w:ascii="Arial" w:cs="Arial" w:eastAsia="Arial" w:hAnsi="Arial"/>
          <w:sz w:val="22"/>
          <w:szCs w:val="22"/>
          <w:color w:val="auto"/>
        </w:rPr>
      </w:pPr>
    </w:p>
    <w:p>
      <w:pPr>
        <w:jc w:val="both"/>
        <w:ind w:left="1300" w:hanging="644"/>
        <w:spacing w:after="0" w:line="249" w:lineRule="auto"/>
        <w:tabs>
          <w:tab w:leader="none" w:pos="135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51" w:lineRule="exact"/>
        <w:rPr>
          <w:rFonts w:ascii="Arial" w:cs="Arial" w:eastAsia="Arial" w:hAnsi="Arial"/>
          <w:sz w:val="19"/>
          <w:szCs w:val="19"/>
          <w:color w:val="auto"/>
        </w:rPr>
      </w:pPr>
    </w:p>
    <w:p>
      <w:pPr>
        <w:jc w:val="both"/>
        <w:ind w:left="1300" w:hanging="644"/>
        <w:spacing w:after="0" w:line="243" w:lineRule="auto"/>
        <w:tabs>
          <w:tab w:leader="none" w:pos="125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Class A Common Shares; Other Events</w:t>
      </w:r>
      <w:r>
        <w:rPr>
          <w:rFonts w:ascii="Arial" w:cs="Arial" w:eastAsia="Arial" w:hAnsi="Arial"/>
          <w:sz w:val="19"/>
          <w:szCs w:val="19"/>
          <w:color w:val="auto"/>
        </w:rPr>
        <w:t>. The trading of the Class A Common Shares (including without limitation the Shares) shall not have been suspended by the Commission, the Principal Market or FINRA and the Class A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federal or New York authorities; or (iii) there shall have occurred any outbreak or escalation of national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395" w:right="339" w:bottom="1440" w:gutter="0" w:footer="0" w:header="0"/>
        </w:sectPr>
      </w:pPr>
    </w:p>
    <w:bookmarkStart w:id="84" w:name="page85"/>
    <w:bookmarkEnd w:id="84"/>
    <w:p>
      <w:pPr>
        <w:jc w:val="both"/>
        <w:ind w:left="1300"/>
        <w:spacing w:after="0" w:line="216" w:lineRule="auto"/>
        <w:rPr>
          <w:sz w:val="20"/>
          <w:szCs w:val="20"/>
          <w:color w:val="auto"/>
        </w:rPr>
      </w:pPr>
      <w:r>
        <w:rPr>
          <w:rFonts w:ascii="Arial" w:cs="Arial" w:eastAsia="Arial" w:hAnsi="Arial"/>
          <w:sz w:val="22"/>
          <w:szCs w:val="22"/>
          <w:color w:val="auto"/>
        </w:rPr>
        <w:t>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58" w:lineRule="exact"/>
        <w:rPr>
          <w:sz w:val="20"/>
          <w:szCs w:val="20"/>
          <w:color w:val="auto"/>
        </w:rPr>
      </w:pPr>
    </w:p>
    <w:p>
      <w:pPr>
        <w:ind w:left="1300" w:hanging="644"/>
        <w:spacing w:after="0" w:line="244" w:lineRule="auto"/>
        <w:tabs>
          <w:tab w:leader="none" w:pos="116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Agent Counsel Opinion and Negative Assurances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the Agent’s counsel, shall have furnished to the Agent a negative assurances letter and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55" w:lineRule="exact"/>
        <w:rPr>
          <w:sz w:val="20"/>
          <w:szCs w:val="20"/>
          <w:color w:val="auto"/>
        </w:rPr>
      </w:pPr>
    </w:p>
    <w:p>
      <w:pPr>
        <w:jc w:val="both"/>
        <w:ind w:firstLine="656"/>
        <w:spacing w:after="0" w:line="224" w:lineRule="auto"/>
        <w:tabs>
          <w:tab w:leader="none" w:pos="129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Documents Required to be Delivered on each Issuance Notice Date</w:t>
      </w:r>
      <w:r>
        <w:rPr>
          <w:rFonts w:ascii="Arial" w:cs="Arial" w:eastAsia="Arial" w:hAnsi="Arial"/>
          <w:sz w:val="21"/>
          <w:szCs w:val="21"/>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59"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the Prospectus or the Times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3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2"/>
          <w:szCs w:val="22"/>
          <w:b w:val="1"/>
          <w:bCs w:val="1"/>
          <w:color w:val="auto"/>
        </w:rPr>
        <w:t>INDEMNIFICATION AND CONTRIBUTION</w:t>
      </w:r>
    </w:p>
    <w:p>
      <w:pPr>
        <w:spacing w:after="0" w:line="185" w:lineRule="exact"/>
        <w:rPr>
          <w:sz w:val="20"/>
          <w:szCs w:val="20"/>
          <w:color w:val="auto"/>
        </w:rPr>
      </w:pPr>
    </w:p>
    <w:p>
      <w:pPr>
        <w:jc w:val="both"/>
        <w:ind w:firstLine="656"/>
        <w:spacing w:after="0" w:line="244"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Indemnification of the Agent</w:t>
      </w:r>
      <w:r>
        <w:rPr>
          <w:rFonts w:ascii="Arial" w:cs="Arial" w:eastAsia="Arial" w:hAnsi="Arial"/>
          <w:sz w:val="19"/>
          <w:szCs w:val="19"/>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85" w:name="page86"/>
    <w:bookmarkEnd w:id="85"/>
    <w:p>
      <w:pPr>
        <w:jc w:val="both"/>
        <w:spacing w:after="0"/>
        <w:rPr>
          <w:sz w:val="20"/>
          <w:szCs w:val="20"/>
          <w:color w:val="auto"/>
        </w:rPr>
      </w:pPr>
      <w:r>
        <w:rPr>
          <w:rFonts w:ascii="Arial" w:cs="Arial" w:eastAsia="Arial" w:hAnsi="Arial"/>
          <w:sz w:val="19"/>
          <w:szCs w:val="19"/>
          <w:color w:val="auto"/>
        </w:rPr>
        <w:t>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Class A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documented expenses (including the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 (the “</w:t>
      </w:r>
      <w:r>
        <w:rPr>
          <w:rFonts w:ascii="Arial" w:cs="Arial" w:eastAsia="Arial" w:hAnsi="Arial"/>
          <w:sz w:val="19"/>
          <w:szCs w:val="19"/>
          <w:b w:val="1"/>
          <w:bCs w:val="1"/>
          <w:color w:val="auto"/>
        </w:rPr>
        <w:t>Agent Information</w:t>
      </w:r>
      <w:r>
        <w:rPr>
          <w:rFonts w:ascii="Arial" w:cs="Arial" w:eastAsia="Arial" w:hAnsi="Arial"/>
          <w:sz w:val="19"/>
          <w:szCs w:val="19"/>
          <w:color w:val="auto"/>
        </w:rPr>
        <w:t xml:space="preserve">”). The indemnity agreement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6(a)</w:t>
      </w:r>
      <w:r>
        <w:rPr>
          <w:rFonts w:ascii="Arial" w:cs="Arial" w:eastAsia="Arial" w:hAnsi="Arial"/>
          <w:sz w:val="19"/>
          <w:szCs w:val="19"/>
          <w:color w:val="auto"/>
        </w:rPr>
        <w:t xml:space="preserve"> shall be in addition to any liabilities that the Company may otherwise have.</w:t>
      </w:r>
    </w:p>
    <w:p>
      <w:pPr>
        <w:spacing w:after="0" w:line="380" w:lineRule="exact"/>
        <w:rPr>
          <w:sz w:val="20"/>
          <w:szCs w:val="20"/>
          <w:color w:val="auto"/>
        </w:rPr>
      </w:pPr>
    </w:p>
    <w:p>
      <w:pPr>
        <w:jc w:val="both"/>
        <w:ind w:firstLine="656"/>
        <w:spacing w:after="0"/>
        <w:tabs>
          <w:tab w:leader="none" w:pos="129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Indemnification of the Company, its Directors and Officers</w:t>
      </w:r>
      <w:r>
        <w:rPr>
          <w:rFonts w:ascii="Arial" w:cs="Arial" w:eastAsia="Arial" w:hAnsi="Arial"/>
          <w:sz w:val="19"/>
          <w:szCs w:val="19"/>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if such settlement is effected with the written consent of the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documented expenses (including the documented fees and disbursements of counsel chosen by the Company) as such expenses are reasonably incurred by the Company or such officer, director or controlling person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86" w:name="page87"/>
    <w:bookmarkEnd w:id="86"/>
    <w:p>
      <w:pPr>
        <w:jc w:val="both"/>
        <w:spacing w:after="0" w:line="249" w:lineRule="auto"/>
        <w:rPr>
          <w:sz w:val="20"/>
          <w:szCs w:val="20"/>
          <w:color w:val="auto"/>
        </w:rPr>
      </w:pPr>
      <w:r>
        <w:rPr>
          <w:rFonts w:ascii="Arial" w:cs="Arial" w:eastAsia="Arial" w:hAnsi="Arial"/>
          <w:sz w:val="19"/>
          <w:szCs w:val="19"/>
          <w:color w:val="auto"/>
        </w:rPr>
        <w:t>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may otherwise have.</w:t>
      </w:r>
    </w:p>
    <w:p>
      <w:pPr>
        <w:spacing w:after="0" w:line="152" w:lineRule="exact"/>
        <w:rPr>
          <w:sz w:val="20"/>
          <w:szCs w:val="20"/>
          <w:color w:val="auto"/>
        </w:rPr>
      </w:pPr>
    </w:p>
    <w:p>
      <w:pPr>
        <w:jc w:val="both"/>
        <w:ind w:firstLine="656"/>
        <w:spacing w:after="0"/>
        <w:tabs>
          <w:tab w:leader="none" w:pos="129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Notifications and Other Indemnification Procedures</w:t>
      </w:r>
      <w:r>
        <w:rPr>
          <w:rFonts w:ascii="Arial" w:cs="Arial" w:eastAsia="Arial" w:hAnsi="Arial"/>
          <w:sz w:val="19"/>
          <w:szCs w:val="19"/>
          <w:color w:val="auto"/>
        </w:rPr>
        <w:t xml:space="preserve">. Promptly after receipt by an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6(b)</w:t>
      </w:r>
      <w:r>
        <w:rPr>
          <w:rFonts w:ascii="Arial" w:cs="Arial" w:eastAsia="Arial" w:hAnsi="Arial"/>
          <w:sz w:val="19"/>
          <w:szCs w:val="19"/>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rFonts w:ascii="Arial" w:cs="Arial" w:eastAsia="Arial" w:hAnsi="Arial"/>
          <w:sz w:val="19"/>
          <w:szCs w:val="19"/>
          <w:color w:val="auto"/>
        </w:rPr>
      </w:pPr>
    </w:p>
    <w:p>
      <w:pPr>
        <w:spacing w:after="0" w:line="383" w:lineRule="exact"/>
        <w:rPr>
          <w:rFonts w:ascii="Arial" w:cs="Arial" w:eastAsia="Arial" w:hAnsi="Arial"/>
          <w:sz w:val="19"/>
          <w:szCs w:val="19"/>
          <w:color w:val="auto"/>
        </w:rPr>
      </w:pPr>
    </w:p>
    <w:p>
      <w:pPr>
        <w:jc w:val="both"/>
        <w:ind w:firstLine="656"/>
        <w:spacing w:after="0" w:line="214"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Settlements</w:t>
      </w:r>
      <w:r>
        <w:rPr>
          <w:rFonts w:ascii="Arial" w:cs="Arial" w:eastAsia="Arial" w:hAnsi="Arial"/>
          <w:sz w:val="22"/>
          <w:szCs w:val="22"/>
          <w:color w:val="auto"/>
        </w:rPr>
        <w:t xml:space="preserve">. The indemnifying party under this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01" w:right="339" w:bottom="1440" w:gutter="0" w:footer="0" w:header="0"/>
        </w:sectPr>
      </w:pPr>
    </w:p>
    <w:bookmarkStart w:id="87" w:name="page88"/>
    <w:bookmarkEnd w:id="87"/>
    <w:p>
      <w:pPr>
        <w:jc w:val="both"/>
        <w:spacing w:after="0" w:line="221" w:lineRule="auto"/>
        <w:rPr>
          <w:sz w:val="20"/>
          <w:szCs w:val="20"/>
          <w:color w:val="auto"/>
        </w:rPr>
      </w:pPr>
      <w:r>
        <w:rPr>
          <w:rFonts w:ascii="Arial" w:cs="Arial" w:eastAsia="Arial" w:hAnsi="Arial"/>
          <w:sz w:val="21"/>
          <w:szCs w:val="21"/>
          <w:color w:val="auto"/>
        </w:rPr>
        <w:t>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65" w:lineRule="exact"/>
        <w:rPr>
          <w:sz w:val="20"/>
          <w:szCs w:val="20"/>
          <w:color w:val="auto"/>
        </w:rPr>
      </w:pPr>
    </w:p>
    <w:p>
      <w:pPr>
        <w:jc w:val="both"/>
        <w:ind w:firstLine="656"/>
        <w:spacing w:after="0" w:line="241"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the indemnification provided for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378" w:lineRule="exact"/>
        <w:rPr>
          <w:sz w:val="20"/>
          <w:szCs w:val="20"/>
          <w:color w:val="auto"/>
        </w:rPr>
      </w:pPr>
    </w:p>
    <w:p>
      <w:pPr>
        <w:jc w:val="both"/>
        <w:ind w:firstLine="290"/>
        <w:spacing w:after="0" w:line="224"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1"/>
          <w:szCs w:val="21"/>
          <w:u w:val="single" w:color="auto"/>
          <w:color w:val="auto"/>
        </w:rPr>
        <w:t>Section 6(c)</w:t>
      </w:r>
      <w:r>
        <w:rPr>
          <w:rFonts w:ascii="Arial" w:cs="Arial" w:eastAsia="Arial" w:hAnsi="Arial"/>
          <w:sz w:val="21"/>
          <w:szCs w:val="21"/>
          <w:color w:val="auto"/>
        </w:rPr>
        <w:t xml:space="preserve">, any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additional notice shall be required with respect to any action for which notice has been given under Section 6(c) for purposes of indemnification.</w:t>
      </w:r>
    </w:p>
    <w:p>
      <w:pPr>
        <w:spacing w:after="0" w:line="160" w:lineRule="exact"/>
        <w:rPr>
          <w:sz w:val="20"/>
          <w:szCs w:val="20"/>
          <w:color w:val="auto"/>
        </w:rPr>
      </w:pPr>
    </w:p>
    <w:p>
      <w:pPr>
        <w:ind w:right="440" w:firstLine="216"/>
        <w:spacing w:after="0" w:line="223" w:lineRule="auto"/>
        <w:rPr>
          <w:sz w:val="20"/>
          <w:szCs w:val="20"/>
          <w:color w:val="auto"/>
        </w:rPr>
      </w:pPr>
      <w:r>
        <w:rPr>
          <w:rFonts w:ascii="Arial" w:cs="Arial" w:eastAsia="Arial" w:hAnsi="Arial"/>
          <w:sz w:val="22"/>
          <w:szCs w:val="22"/>
          <w:color w:val="auto"/>
        </w:rPr>
        <w:t xml:space="preserve">The Company and the Agent agree that it would not be just and equitable if contribution pursuant to this </w:t>
      </w:r>
      <w:r>
        <w:rPr>
          <w:rFonts w:ascii="Arial" w:cs="Arial" w:eastAsia="Arial" w:hAnsi="Arial"/>
          <w:sz w:val="22"/>
          <w:szCs w:val="22"/>
          <w:u w:val="single" w:color="auto"/>
          <w:color w:val="auto"/>
        </w:rPr>
        <w:t>Section 6(e)</w:t>
      </w:r>
      <w:r>
        <w:rPr>
          <w:rFonts w:ascii="Arial" w:cs="Arial" w:eastAsia="Arial" w:hAnsi="Arial"/>
          <w:sz w:val="22"/>
          <w:szCs w:val="22"/>
          <w:color w:val="auto"/>
        </w:rPr>
        <w:t xml:space="preserve"> were determined by pro rata allocation or by any other method of allocation which does not take account of the equitable considerations referred to in this Section 6(e).</w:t>
      </w:r>
    </w:p>
    <w:p>
      <w:pPr>
        <w:spacing w:after="0" w:line="159" w:lineRule="exact"/>
        <w:rPr>
          <w:sz w:val="20"/>
          <w:szCs w:val="20"/>
          <w:color w:val="auto"/>
        </w:rPr>
      </w:pPr>
    </w:p>
    <w:p>
      <w:pPr>
        <w:jc w:val="both"/>
        <w:ind w:firstLine="253"/>
        <w:spacing w:after="0" w:line="229" w:lineRule="auto"/>
        <w:rPr>
          <w:sz w:val="20"/>
          <w:szCs w:val="20"/>
          <w:color w:val="auto"/>
        </w:rPr>
      </w:pPr>
      <w:r>
        <w:rPr>
          <w:rFonts w:ascii="Arial" w:cs="Arial" w:eastAsia="Arial" w:hAnsi="Arial"/>
          <w:sz w:val="21"/>
          <w:szCs w:val="21"/>
          <w:color w:val="auto"/>
        </w:rPr>
        <w:t xml:space="preserve">Notwithstanding the provisions of this Section 6(e),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1"/>
          <w:szCs w:val="21"/>
          <w:u w:val="single" w:color="auto"/>
          <w:color w:val="auto"/>
        </w:rPr>
        <w:t>Section 6(e)</w:t>
      </w:r>
      <w:r>
        <w:rPr>
          <w:rFonts w:ascii="Arial" w:cs="Arial" w:eastAsia="Arial" w:hAnsi="Arial"/>
          <w:sz w:val="21"/>
          <w:szCs w:val="21"/>
          <w:color w:val="auto"/>
        </w:rPr>
        <w: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01" w:right="339" w:bottom="1440" w:gutter="0" w:footer="0" w:header="0"/>
        </w:sectPr>
      </w:pPr>
    </w:p>
    <w:bookmarkStart w:id="88" w:name="page89"/>
    <w:bookmarkEnd w:id="88"/>
    <w:p>
      <w:pPr>
        <w:jc w:val="both"/>
        <w:spacing w:after="0" w:line="257" w:lineRule="auto"/>
        <w:rPr>
          <w:sz w:val="20"/>
          <w:szCs w:val="20"/>
          <w:color w:val="auto"/>
        </w:rPr>
      </w:pPr>
      <w:r>
        <w:rPr>
          <w:rFonts w:ascii="Arial" w:cs="Arial" w:eastAsia="Arial" w:hAnsi="Arial"/>
          <w:sz w:val="19"/>
          <w:szCs w:val="19"/>
          <w:color w:val="auto"/>
        </w:rPr>
        <w:t>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3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2"/>
          <w:szCs w:val="22"/>
          <w:b w:val="1"/>
          <w:bCs w:val="1"/>
          <w:color w:val="auto"/>
        </w:rPr>
        <w:t>TERMINATION AND SURVIVAL</w:t>
      </w:r>
    </w:p>
    <w:p>
      <w:pPr>
        <w:spacing w:after="0" w:line="185" w:lineRule="exact"/>
        <w:rPr>
          <w:sz w:val="20"/>
          <w:szCs w:val="20"/>
          <w:color w:val="auto"/>
        </w:rPr>
      </w:pPr>
    </w:p>
    <w:p>
      <w:pPr>
        <w:jc w:val="both"/>
        <w:ind w:firstLine="656"/>
        <w:spacing w:after="0" w:line="223"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Subject to the provisions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Termination; Survival Following Termination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hanging="320"/>
        <w:spacing w:after="0" w:line="212" w:lineRule="auto"/>
        <w:tabs>
          <w:tab w:leader="none" w:pos="1542"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22"/>
          <w:szCs w:val="22"/>
          <w:u w:val="single" w:color="auto"/>
          <w:color w:val="auto"/>
        </w:rPr>
        <w:t>Section 3(b)(v)</w:t>
      </w:r>
      <w:r>
        <w:rPr>
          <w:rFonts w:ascii="Arial" w:cs="Arial" w:eastAsia="Arial" w:hAnsi="Arial"/>
          <w:sz w:val="22"/>
          <w:szCs w:val="22"/>
          <w:color w:val="auto"/>
        </w:rPr>
        <w:t xml:space="preserve"> with respect to such Shares and (B)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63" w:lineRule="exact"/>
        <w:rPr>
          <w:rFonts w:ascii="Arial" w:cs="Arial" w:eastAsia="Arial" w:hAnsi="Arial"/>
          <w:sz w:val="22"/>
          <w:szCs w:val="22"/>
          <w:color w:val="auto"/>
        </w:rPr>
      </w:pPr>
    </w:p>
    <w:p>
      <w:pPr>
        <w:jc w:val="both"/>
        <w:ind w:left="1300" w:hanging="320"/>
        <w:spacing w:after="0" w:line="224" w:lineRule="auto"/>
        <w:tabs>
          <w:tab w:leader="none" w:pos="1320"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In addition to the survival provision of </w:t>
      </w:r>
      <w:r>
        <w:rPr>
          <w:rFonts w:ascii="Arial" w:cs="Arial" w:eastAsia="Arial" w:hAnsi="Arial"/>
          <w:sz w:val="21"/>
          <w:szCs w:val="21"/>
          <w:u w:val="single" w:color="auto"/>
          <w:color w:val="auto"/>
        </w:rPr>
        <w:t>Section 7(b)(i)</w:t>
      </w:r>
      <w:r>
        <w:rPr>
          <w:rFonts w:ascii="Arial" w:cs="Arial" w:eastAsia="Arial" w:hAnsi="Arial"/>
          <w:sz w:val="21"/>
          <w:szCs w:val="21"/>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MISCELLANEOUS</w:t>
      </w:r>
    </w:p>
    <w:p>
      <w:pPr>
        <w:spacing w:after="0" w:line="185" w:lineRule="exact"/>
        <w:rPr>
          <w:sz w:val="20"/>
          <w:szCs w:val="20"/>
          <w:color w:val="auto"/>
        </w:rPr>
      </w:pPr>
    </w:p>
    <w:p>
      <w:pPr>
        <w:jc w:val="both"/>
        <w:ind w:firstLine="656"/>
        <w:spacing w:after="0" w:line="242"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Press Releases and Disclosure</w:t>
      </w:r>
      <w:r>
        <w:rPr>
          <w:rFonts w:ascii="Arial" w:cs="Arial" w:eastAsia="Arial" w:hAnsi="Arial"/>
          <w:sz w:val="19"/>
          <w:szCs w:val="19"/>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Arial" w:cs="Arial" w:eastAsia="Arial" w:hAnsi="Arial"/>
          <w:sz w:val="19"/>
          <w:szCs w:val="19"/>
          <w:u w:val="single" w:color="auto"/>
          <w:color w:val="auto"/>
        </w:rPr>
        <w:t>Section 4(a) of this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 in the Company’s quarterly reports on Form 10-Q or annual reports on Form 10-K</w:t>
      </w:r>
      <w:r>
        <w:rPr>
          <w:rFonts w:ascii="Arial" w:cs="Arial" w:eastAsia="Arial" w:hAnsi="Arial"/>
          <w:sz w:val="19"/>
          <w:szCs w:val="19"/>
          <w:color w:val="auto"/>
        </w:rPr>
        <w:t>.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1" w:right="339" w:bottom="1440" w:gutter="0" w:footer="0" w:header="0"/>
        </w:sectPr>
      </w:pPr>
    </w:p>
    <w:bookmarkStart w:id="89" w:name="page90"/>
    <w:bookmarkEnd w:id="89"/>
    <w:p>
      <w:pPr>
        <w:jc w:val="both"/>
        <w:ind w:firstLine="656"/>
        <w:spacing w:after="0" w:line="243"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58"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Research Analyst Independence</w:t>
      </w:r>
      <w:r>
        <w:rPr>
          <w:rFonts w:ascii="Arial" w:cs="Arial" w:eastAsia="Arial" w:hAnsi="Arial"/>
          <w:sz w:val="21"/>
          <w:szCs w:val="21"/>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5" w:lineRule="exact"/>
        <w:rPr>
          <w:rFonts w:ascii="Arial" w:cs="Arial" w:eastAsia="Arial" w:hAnsi="Arial"/>
          <w:sz w:val="21"/>
          <w:szCs w:val="21"/>
          <w:color w:val="auto"/>
        </w:rPr>
      </w:pPr>
    </w:p>
    <w:p>
      <w:pPr>
        <w:ind w:firstLine="656"/>
        <w:spacing w:after="0" w:line="232"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hereunder shall be in writing and shall be mailed, hand delivered or telecopied and confirmed to the parties hereto as follows: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Agent:</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Jefferies LLC</w:t>
      </w:r>
    </w:p>
    <w:p>
      <w:pPr>
        <w:jc w:val="both"/>
        <w:ind w:left="980" w:right="7880"/>
        <w:spacing w:after="0" w:line="258" w:lineRule="auto"/>
        <w:tabs>
          <w:tab w:leader="none" w:pos="1358" w:val="left"/>
        </w:tabs>
        <w:numPr>
          <w:ilvl w:val="0"/>
          <w:numId w:val="66"/>
        </w:numPr>
        <w:rPr>
          <w:rFonts w:ascii="Arial" w:cs="Arial" w:eastAsia="Arial" w:hAnsi="Arial"/>
          <w:sz w:val="19"/>
          <w:szCs w:val="19"/>
          <w:color w:val="auto"/>
        </w:rPr>
      </w:pPr>
      <w:r>
        <w:rPr>
          <w:rFonts w:ascii="Arial" w:cs="Arial" w:eastAsia="Arial" w:hAnsi="Arial"/>
          <w:sz w:val="19"/>
          <w:szCs w:val="19"/>
          <w:color w:val="auto"/>
        </w:rPr>
        <w:t>Madison Avenue New York, NY 10022 Attention: General Counsel</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Davis Polk &amp; Wardwell LLP</w:t>
      </w:r>
    </w:p>
    <w:p>
      <w:pPr>
        <w:ind w:left="980"/>
        <w:spacing w:after="0" w:line="204" w:lineRule="auto"/>
        <w:rPr>
          <w:sz w:val="20"/>
          <w:szCs w:val="20"/>
          <w:color w:val="auto"/>
        </w:rPr>
      </w:pPr>
      <w:r>
        <w:rPr>
          <w:rFonts w:ascii="Arial" w:cs="Arial" w:eastAsia="Arial" w:hAnsi="Arial"/>
          <w:sz w:val="22"/>
          <w:szCs w:val="22"/>
          <w:color w:val="auto"/>
        </w:rPr>
        <w:t>1600 El Camino Real, Suite 100</w:t>
      </w:r>
    </w:p>
    <w:p>
      <w:pPr>
        <w:ind w:left="980"/>
        <w:spacing w:after="0" w:line="205" w:lineRule="auto"/>
        <w:rPr>
          <w:sz w:val="20"/>
          <w:szCs w:val="20"/>
          <w:color w:val="auto"/>
        </w:rPr>
      </w:pPr>
      <w:r>
        <w:rPr>
          <w:rFonts w:ascii="Arial" w:cs="Arial" w:eastAsia="Arial" w:hAnsi="Arial"/>
          <w:sz w:val="22"/>
          <w:szCs w:val="22"/>
          <w:color w:val="auto"/>
        </w:rPr>
        <w:t>Menlo Park, CA 94025</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Alan F. Denenberg; Emily Roberts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to the Company:</w:t>
      </w:r>
    </w:p>
    <w:p>
      <w:pPr>
        <w:ind w:left="980"/>
        <w:spacing w:after="0" w:line="204" w:lineRule="auto"/>
        <w:rPr>
          <w:sz w:val="20"/>
          <w:szCs w:val="20"/>
          <w:color w:val="auto"/>
        </w:rPr>
      </w:pPr>
      <w:r>
        <w:rPr>
          <w:rFonts w:ascii="Arial" w:cs="Arial" w:eastAsia="Arial" w:hAnsi="Arial"/>
          <w:sz w:val="22"/>
          <w:szCs w:val="22"/>
          <w:color w:val="auto"/>
        </w:rPr>
        <w:t>Recursion Pharmaceuticals, Inc.</w:t>
      </w:r>
    </w:p>
    <w:p>
      <w:pPr>
        <w:ind w:left="540"/>
        <w:spacing w:after="0" w:line="205" w:lineRule="auto"/>
        <w:rPr>
          <w:sz w:val="20"/>
          <w:szCs w:val="20"/>
          <w:color w:val="auto"/>
        </w:rPr>
      </w:pPr>
      <w:r>
        <w:rPr>
          <w:rFonts w:ascii="Arial" w:cs="Arial" w:eastAsia="Arial" w:hAnsi="Arial"/>
          <w:sz w:val="22"/>
          <w:szCs w:val="22"/>
          <w:color w:val="auto"/>
        </w:rPr>
        <w:t>41 S Rio Grande Street</w:t>
      </w:r>
    </w:p>
    <w:p>
      <w:pPr>
        <w:ind w:left="980"/>
        <w:spacing w:after="0" w:line="205" w:lineRule="auto"/>
        <w:rPr>
          <w:sz w:val="20"/>
          <w:szCs w:val="20"/>
          <w:color w:val="auto"/>
        </w:rPr>
      </w:pPr>
      <w:r>
        <w:rPr>
          <w:rFonts w:ascii="Arial" w:cs="Arial" w:eastAsia="Arial" w:hAnsi="Arial"/>
          <w:sz w:val="22"/>
          <w:szCs w:val="22"/>
          <w:color w:val="auto"/>
        </w:rPr>
        <w:t>Salt Lake City, UT 84101</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Michael Secora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with a copy (which shall not constitute notice) to:</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90" w:name="page91"/>
    <w:bookmarkEnd w:id="90"/>
    <w:p>
      <w:pPr>
        <w:ind w:left="980"/>
        <w:spacing w:after="0"/>
        <w:rPr>
          <w:sz w:val="20"/>
          <w:szCs w:val="20"/>
          <w:color w:val="auto"/>
        </w:rPr>
      </w:pPr>
      <w:r>
        <w:rPr>
          <w:rFonts w:ascii="Arial" w:cs="Arial" w:eastAsia="Arial" w:hAnsi="Arial"/>
          <w:sz w:val="22"/>
          <w:szCs w:val="22"/>
          <w:color w:val="auto"/>
        </w:rPr>
        <w:t>701 Fifth Avenue, Suite 5100</w:t>
      </w:r>
    </w:p>
    <w:p>
      <w:pPr>
        <w:ind w:left="980"/>
        <w:spacing w:after="0" w:line="204" w:lineRule="auto"/>
        <w:rPr>
          <w:sz w:val="20"/>
          <w:szCs w:val="20"/>
          <w:color w:val="auto"/>
        </w:rPr>
      </w:pPr>
      <w:r>
        <w:rPr>
          <w:rFonts w:ascii="Arial" w:cs="Arial" w:eastAsia="Arial" w:hAnsi="Arial"/>
          <w:sz w:val="22"/>
          <w:szCs w:val="22"/>
          <w:color w:val="auto"/>
        </w:rPr>
        <w:t>Seattle, Washington 98104-7036</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Attention: Patrick J. Schultheis</w:t>
      </w:r>
    </w:p>
    <w:p>
      <w:pPr>
        <w:spacing w:after="0" w:line="18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Any party hereto may change the address for receipt of communications by giving written notice to the others in accordance with this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59" w:lineRule="exact"/>
        <w:rPr>
          <w:sz w:val="20"/>
          <w:szCs w:val="20"/>
          <w:color w:val="auto"/>
        </w:rPr>
      </w:pPr>
    </w:p>
    <w:p>
      <w:pPr>
        <w:jc w:val="both"/>
        <w:ind w:firstLine="656"/>
        <w:spacing w:after="0" w:line="229" w:lineRule="auto"/>
        <w:tabs>
          <w:tab w:leader="none" w:pos="129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1"/>
          <w:szCs w:val="21"/>
          <w:u w:val="single" w:color="auto"/>
          <w:color w:val="auto"/>
        </w:rPr>
        <w:t>Section 6</w:t>
      </w:r>
      <w:r>
        <w:rPr>
          <w:rFonts w:ascii="Arial" w:cs="Arial" w:eastAsia="Arial" w:hAnsi="Arial"/>
          <w:sz w:val="21"/>
          <w:szCs w:val="21"/>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58"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4" w:lineRule="exact"/>
        <w:rPr>
          <w:rFonts w:ascii="Arial" w:cs="Arial" w:eastAsia="Arial" w:hAnsi="Arial"/>
          <w:sz w:val="19"/>
          <w:szCs w:val="19"/>
          <w:color w:val="auto"/>
        </w:rPr>
      </w:pPr>
    </w:p>
    <w:p>
      <w:pPr>
        <w:jc w:val="both"/>
        <w:ind w:firstLine="656"/>
        <w:spacing w:after="0" w:line="242" w:lineRule="auto"/>
        <w:tabs>
          <w:tab w:leader="none" w:pos="129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Governing Law Provisions</w:t>
      </w:r>
      <w:r>
        <w:rPr>
          <w:rFonts w:ascii="Arial" w:cs="Arial" w:eastAsia="Arial" w:hAnsi="Arial"/>
          <w:sz w:val="19"/>
          <w:szCs w:val="19"/>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 Courts</w:t>
      </w:r>
      <w:r>
        <w:rPr>
          <w:rFonts w:ascii="Arial" w:cs="Arial" w:eastAsia="Arial" w:hAnsi="Arial"/>
          <w:sz w:val="19"/>
          <w:szCs w:val="19"/>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4"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Immediately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382" w:right="339" w:bottom="1440" w:gutter="0" w:footer="0" w:header="0"/>
        </w:sectPr>
      </w:pPr>
    </w:p>
    <w:bookmarkStart w:id="91" w:name="page92"/>
    <w:bookmarkEnd w:id="91"/>
    <w:p>
      <w:pPr>
        <w:jc w:val="both"/>
        <w:ind w:firstLine="648"/>
        <w:spacing w:after="0" w:line="223"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RECURSION PHARMACEUTICALS, INC.</w:t>
      </w:r>
    </w:p>
    <w:p>
      <w:pPr>
        <w:spacing w:after="0" w:line="226"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22"/>
          <w:szCs w:val="22"/>
          <w:color w:val="auto"/>
        </w:rPr>
        <w:t>By:</w:t>
        <w:tab/>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-17780</wp:posOffset>
            </wp:positionV>
            <wp:extent cx="2236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236470" cy="8255"/>
                    </a:xfrm>
                    <a:prstGeom prst="rect">
                      <a:avLst/>
                    </a:prstGeom>
                    <a:noFill/>
                  </pic:spPr>
                </pic:pic>
              </a:graphicData>
            </a:graphic>
          </wp:anchor>
        </w:drawing>
      </w:r>
    </w:p>
    <w:p>
      <w:pPr>
        <w:ind w:left="4680"/>
        <w:spacing w:after="0"/>
        <w:tabs>
          <w:tab w:leader="none" w:pos="5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Christopher Gibson</w:t>
      </w:r>
    </w:p>
    <w:p>
      <w:pPr>
        <w:spacing w:after="0" w:line="3" w:lineRule="exact"/>
        <w:rPr>
          <w:sz w:val="20"/>
          <w:szCs w:val="20"/>
          <w:color w:val="auto"/>
        </w:rPr>
      </w:pPr>
    </w:p>
    <w:p>
      <w:pPr>
        <w:ind w:left="4760"/>
        <w:spacing w:after="0"/>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216"/>
        <w:spacing w:after="0" w:line="232" w:lineRule="auto"/>
        <w:rPr>
          <w:sz w:val="20"/>
          <w:szCs w:val="20"/>
          <w:color w:val="auto"/>
        </w:rPr>
      </w:pPr>
      <w:r>
        <w:rPr>
          <w:rFonts w:ascii="Arial" w:cs="Arial" w:eastAsia="Arial" w:hAnsi="Arial"/>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938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393825" cy="8255"/>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 Michael Magarro</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1240"/>
          </w:cols>
          <w:pgMar w:left="320" w:top="140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ISSUANCE NOTICE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04" w:lineRule="auto"/>
        <w:rPr>
          <w:sz w:val="20"/>
          <w:szCs w:val="20"/>
          <w:color w:val="auto"/>
        </w:rPr>
      </w:pPr>
      <w:r>
        <w:rPr>
          <w:rFonts w:ascii="Arial" w:cs="Arial" w:eastAsia="Arial" w:hAnsi="Arial"/>
          <w:sz w:val="22"/>
          <w:szCs w:val="22"/>
          <w:color w:val="auto"/>
        </w:rPr>
        <w:t>520 Madison Avenue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Attn: [__________]</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Reference is made to the Open Market Sales Agreement between Recursion Pharmaceuticals, Inc. (the “</w:t>
      </w:r>
      <w:r>
        <w:rPr>
          <w:rFonts w:ascii="Arial" w:cs="Arial" w:eastAsia="Arial" w:hAnsi="Arial"/>
          <w:sz w:val="22"/>
          <w:szCs w:val="22"/>
          <w:b w:val="1"/>
          <w:bCs w:val="1"/>
          <w:color w:val="auto"/>
        </w:rPr>
        <w:t>Company</w:t>
      </w:r>
      <w:r>
        <w:rPr>
          <w:rFonts w:ascii="Arial" w:cs="Arial" w:eastAsia="Arial" w:hAnsi="Arial"/>
          <w:sz w:val="22"/>
          <w:szCs w:val="22"/>
          <w:color w:val="auto"/>
        </w:rPr>
        <w:t>”) and Jefferies LLC (the “</w:t>
      </w:r>
      <w:r>
        <w:rPr>
          <w:rFonts w:ascii="Arial" w:cs="Arial" w:eastAsia="Arial" w:hAnsi="Arial"/>
          <w:sz w:val="22"/>
          <w:szCs w:val="22"/>
          <w:b w:val="1"/>
          <w:bCs w:val="1"/>
          <w:color w:val="auto"/>
        </w:rPr>
        <w:t>Agent</w:t>
      </w:r>
      <w:r>
        <w:rPr>
          <w:rFonts w:ascii="Arial" w:cs="Arial" w:eastAsia="Arial" w:hAnsi="Arial"/>
          <w:sz w:val="22"/>
          <w:szCs w:val="22"/>
          <w:color w:val="auto"/>
        </w:rPr>
        <w:t xml:space="preserve"> ”) dated as of August 8, 2023. The Company confirms that all conditions to the delivery of this Issuance Notice are satisfied as of the date hereof.</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of Delivery of Issuance Notice (determined pursuant to </w:t>
      </w:r>
      <w:r>
        <w:rPr>
          <w:rFonts w:ascii="Arial" w:cs="Arial" w:eastAsia="Arial" w:hAnsi="Arial"/>
          <w:sz w:val="22"/>
          <w:szCs w:val="22"/>
          <w:u w:val="single" w:color="auto"/>
          <w:color w:val="auto"/>
        </w:rPr>
        <w:t>Section 3(b)(i)</w:t>
      </w:r>
      <w:r>
        <w:rPr>
          <w:rFonts w:ascii="Arial" w:cs="Arial" w:eastAsia="Arial" w:hAnsi="Arial"/>
          <w:sz w:val="22"/>
          <w:szCs w:val="22"/>
          <w:color w:val="auto"/>
        </w:rPr>
        <w:t>): 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Issuance Amount (equal to the total Sales Price for such Shares):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548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-17780</wp:posOffset>
            </wp:positionV>
            <wp:extent cx="5486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-17780</wp:posOffset>
            </wp:positionV>
            <wp:extent cx="5486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-17780</wp:posOffset>
            </wp:positionV>
            <wp:extent cx="548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Date(s) if other than standard [T+2][T+1]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255905</wp:posOffset>
            </wp:positionV>
            <wp:extent cx="548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Floor Price Limitation (in no event less than $1.00 without the prior written consent of the Agent, which consent may be withheld in the Agent’s sole discretion): $ ____ per share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-17780</wp:posOffset>
            </wp:positionV>
            <wp:extent cx="1645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Recursion Pharmaceuticals, Inc.</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-5715</wp:posOffset>
            </wp:positionV>
            <wp:extent cx="9601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76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39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right="60" w:firstLine="8"/>
        <w:spacing w:after="0" w:line="263" w:lineRule="auto"/>
        <w:tabs>
          <w:tab w:leader="none" w:pos="1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60" w:hanging="4"/>
        <w:spacing w:after="0" w:line="263" w:lineRule="auto"/>
        <w:tabs>
          <w:tab w:leader="none" w:pos="93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1" w:lineRule="exact"/>
        <w:rPr>
          <w:rFonts w:ascii="Arial" w:cs="Arial" w:eastAsia="Arial" w:hAnsi="Arial"/>
          <w:sz w:val="18"/>
          <w:szCs w:val="18"/>
          <w:color w:val="auto"/>
        </w:rPr>
      </w:pPr>
    </w:p>
    <w:p>
      <w:pPr>
        <w:ind w:left="66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8"/>
          <w:szCs w:val="18"/>
          <w:color w:val="auto"/>
        </w:rPr>
      </w:pPr>
    </w:p>
    <w:p>
      <w:pPr>
        <w:ind w:left="660" w:right="200" w:hanging="4"/>
        <w:spacing w:after="0" w:line="263"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120" w:hanging="4"/>
        <w:spacing w:after="0" w:line="263" w:lineRule="auto"/>
        <w:tabs>
          <w:tab w:leader="none" w:pos="93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60" w:firstLine="8"/>
        <w:spacing w:after="0" w:line="263" w:lineRule="auto"/>
        <w:tabs>
          <w:tab w:leader="none" w:pos="1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4"/>
        <w:spacing w:after="0" w:line="275"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right="240" w:hanging="4"/>
        <w:spacing w:after="0" w:line="275"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ectPr>
          <w:pgSz w:w="11900" w:h="16838" w:orient="portrait"/>
          <w:cols w:equalWidth="0" w:num="1">
            <w:col w:w="11240"/>
          </w:cols>
          <w:pgMar w:left="320" w:top="1413"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Date: August 8, 2023</w:t>
      </w:r>
    </w:p>
    <w:p>
      <w:pPr>
        <w:sectPr>
          <w:pgSz w:w="11900" w:h="16838" w:orient="portrait"/>
          <w:cols w:equalWidth="0" w:num="1">
            <w:col w:w="10139"/>
          </w:cols>
          <w:pgMar w:left="320" w:top="1423"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3" w:lineRule="auto"/>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480" w:firstLine="8"/>
        <w:spacing w:after="0" w:line="275" w:lineRule="auto"/>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8"/>
          <w:szCs w:val="18"/>
          <w:color w:val="auto"/>
        </w:rPr>
      </w:pPr>
    </w:p>
    <w:p>
      <w:pPr>
        <w:ind w:right="60" w:firstLine="8"/>
        <w:spacing w:after="0" w:line="263" w:lineRule="auto"/>
        <w:tabs>
          <w:tab w:leader="none" w:pos="1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right="60" w:hanging="4"/>
        <w:spacing w:after="0" w:line="263" w:lineRule="auto"/>
        <w:tabs>
          <w:tab w:leader="none" w:pos="93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1" w:lineRule="exact"/>
        <w:rPr>
          <w:rFonts w:ascii="Arial" w:cs="Arial" w:eastAsia="Arial" w:hAnsi="Arial"/>
          <w:sz w:val="18"/>
          <w:szCs w:val="18"/>
          <w:color w:val="auto"/>
        </w:rPr>
      </w:pPr>
    </w:p>
    <w:p>
      <w:pPr>
        <w:ind w:left="66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Arial" w:cs="Arial" w:eastAsia="Arial" w:hAnsi="Arial"/>
          <w:sz w:val="18"/>
          <w:szCs w:val="18"/>
          <w:color w:val="auto"/>
        </w:rPr>
      </w:pPr>
    </w:p>
    <w:p>
      <w:pPr>
        <w:ind w:left="660" w:right="200" w:hanging="4"/>
        <w:spacing w:after="0" w:line="263"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120" w:hanging="4"/>
        <w:spacing w:after="0" w:line="263" w:lineRule="auto"/>
        <w:tabs>
          <w:tab w:leader="none" w:pos="93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60" w:firstLine="8"/>
        <w:spacing w:after="0" w:line="263" w:lineRule="auto"/>
        <w:tabs>
          <w:tab w:leader="none" w:pos="1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4"/>
        <w:spacing w:after="0" w:line="275"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right="240" w:hanging="4"/>
        <w:spacing w:after="0" w:line="275"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ectPr>
          <w:pgSz w:w="11900" w:h="16838" w:orient="portrait"/>
          <w:cols w:equalWidth="0" w:num="1">
            <w:col w:w="11240"/>
          </w:cols>
          <w:pgMar w:left="320" w:top="1413"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Date: August 8, 2023</w:t>
      </w:r>
    </w:p>
    <w:p>
      <w:pPr>
        <w:sectPr>
          <w:pgSz w:w="11900" w:h="16838" w:orient="portrait"/>
          <w:cols w:equalWidth="0" w:num="1">
            <w:col w:w="10139"/>
          </w:cols>
          <w:pgMar w:left="320" w:top="1423" w:right="1440" w:bottom="1440" w:gutter="0" w:footer="0" w:header="0"/>
        </w:sectPr>
      </w:pPr>
    </w:p>
    <w:bookmarkStart w:id="97" w:name="page98"/>
    <w:bookmarkEnd w:id="97"/>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301"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June 30, 2023 as filed with the Securities and Exchange Commission on the date hereof (the “Report”), The undersigned certify, pursuant to 18 U.S.C. Section 1350, as adopted pursuant to Section 906 of the Sarbanes-Oxley Act of 2002, that:</w:t>
      </w:r>
    </w:p>
    <w:p>
      <w:pPr>
        <w:spacing w:after="0" w:line="211"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75" w:lineRule="auto"/>
        <w:tabs>
          <w:tab w:leader="none" w:pos="1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1)"/>
      <w:numFmt w:val="lowerLetter"/>
      <w:start w:val="4"/>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5"/>
    </w:lvl>
  </w:abstractNum>
  <w:abstractNum w:abstractNumId="21">
    <w:nsid w:val="4B588F54"/>
    <w:multiLevelType w:val="hybridMultilevel"/>
    <w:lvl w:ilvl="0">
      <w:lvlJc w:val="left"/>
      <w:lvlText w:val="%1."/>
      <w:numFmt w:val="decimal"/>
      <w:start w:val="6"/>
    </w:lvl>
  </w:abstractNum>
  <w:abstractNum w:abstractNumId="22">
    <w:nsid w:val="542289EC"/>
    <w:multiLevelType w:val="hybridMultilevel"/>
    <w:lvl w:ilvl="0">
      <w:lvlJc w:val="left"/>
      <w:lvlText w:val="%1."/>
      <w:numFmt w:val="decimal"/>
      <w:start w:val="9"/>
    </w:lvl>
  </w:abstractNum>
  <w:abstractNum w:abstractNumId="23">
    <w:nsid w:val="6DE91B18"/>
    <w:multiLevelType w:val="hybridMultilevel"/>
    <w:lvl w:ilvl="0">
      <w:lvlJc w:val="left"/>
      <w:lvlText w:val="%1."/>
      <w:numFmt w:val="decimal"/>
      <w:start w:val="16"/>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2"/>
    </w:lvl>
  </w:abstractNum>
  <w:abstractNum w:abstractNumId="27">
    <w:nsid w:val="684A481A"/>
    <w:multiLevelType w:val="hybridMultilevel"/>
    <w:lvl w:ilvl="0">
      <w:lvlJc w:val="left"/>
      <w:lvlText w:val="(%1)"/>
      <w:numFmt w:val="lowerLetter"/>
      <w:start w:val="3"/>
    </w:lvl>
  </w:abstractNum>
  <w:abstractNum w:abstractNumId="28">
    <w:nsid w:val="579478FE"/>
    <w:multiLevelType w:val="hybridMultilevel"/>
    <w:lvl w:ilvl="0">
      <w:lvlJc w:val="left"/>
      <w:lvlText w:val="(%1)"/>
      <w:numFmt w:val="lowerLetter"/>
      <w:start w:val="4"/>
    </w:lvl>
  </w:abstractNum>
  <w:abstractNum w:abstractNumId="29">
    <w:nsid w:val="749ABB43"/>
    <w:multiLevelType w:val="hybridMultilevel"/>
    <w:lvl w:ilvl="0">
      <w:lvlJc w:val="left"/>
      <w:lvlText w:val="(%1)"/>
      <w:numFmt w:val="lowerLetter"/>
      <w:start w:val="9"/>
    </w:lvl>
  </w:abstractNum>
  <w:abstractNum w:abstractNumId="30">
    <w:nsid w:val="3DC240FB"/>
    <w:multiLevelType w:val="hybridMultilevel"/>
    <w:lvl w:ilvl="0">
      <w:lvlJc w:val="left"/>
      <w:lvlText w:val="(%1)"/>
      <w:numFmt w:val="lowerLetter"/>
      <w:start w:val="13"/>
    </w:lvl>
  </w:abstractNum>
  <w:abstractNum w:abstractNumId="31">
    <w:nsid w:val="1BA026FA"/>
    <w:multiLevelType w:val="hybridMultilevel"/>
    <w:lvl w:ilvl="0">
      <w:lvlJc w:val="left"/>
      <w:lvlText w:val="(%1)"/>
      <w:numFmt w:val="lowerLetter"/>
      <w:start w:val="17"/>
    </w:lvl>
  </w:abstractNum>
  <w:abstractNum w:abstractNumId="32">
    <w:nsid w:val="79A1DEAA"/>
    <w:multiLevelType w:val="hybridMultilevel"/>
    <w:lvl w:ilvl="0">
      <w:lvlJc w:val="left"/>
      <w:lvlText w:val="(%1)"/>
      <w:numFmt w:val="lowerLetter"/>
      <w:start w:val="21"/>
    </w:lvl>
  </w:abstractNum>
  <w:abstractNum w:abstractNumId="33">
    <w:nsid w:val="75C6C33A"/>
    <w:multiLevelType w:val="hybridMultilevel"/>
    <w:lvl w:ilvl="0">
      <w:lvlJc w:val="left"/>
      <w:lvlText w:val="%1"/>
      <w:numFmt w:val="lowerLetter"/>
      <w:start w:val="1"/>
    </w:lvl>
    <w:lvl w:ilvl="1">
      <w:lvlJc w:val="left"/>
      <w:lvlText w:val="(%2)"/>
      <w:numFmt w:val="lowerLetter"/>
      <w:start w:val="22"/>
    </w:lvl>
  </w:abstractNum>
  <w:abstractNum w:abstractNumId="34">
    <w:nsid w:val="12E685FB"/>
    <w:multiLevelType w:val="hybridMultilevel"/>
    <w:lvl w:ilvl="0">
      <w:lvlJc w:val="left"/>
      <w:lvlText w:val="(%1)"/>
      <w:numFmt w:val="lowerLetter"/>
      <w:start w:val="21"/>
    </w:lvl>
    <w:lvl w:ilvl="1">
      <w:lvlJc w:val="left"/>
      <w:lvlText w:val="%2"/>
      <w:numFmt w:val="lowerLetter"/>
      <w:start w:val="1"/>
    </w:lvl>
  </w:abstractNum>
  <w:abstractNum w:abstractNumId="35">
    <w:nsid w:val="70C6A529"/>
    <w:multiLevelType w:val="hybridMultilevel"/>
    <w:lvl w:ilvl="0">
      <w:lvlJc w:val="left"/>
      <w:lvlText w:val="(%1)"/>
      <w:numFmt w:val="lowerLetter"/>
      <w:start w:val="25"/>
    </w:lvl>
  </w:abstractNum>
  <w:abstractNum w:abstractNumId="36">
    <w:nsid w:val="520EEDD1"/>
    <w:multiLevelType w:val="hybridMultilevel"/>
    <w:lvl w:ilvl="0">
      <w:lvlJc w:val="left"/>
      <w:lvlText w:val="(%1)"/>
      <w:numFmt w:val="lowerLetter"/>
      <w:start w:val="27"/>
    </w:lvl>
  </w:abstractNum>
  <w:abstractNum w:abstractNumId="37">
    <w:nsid w:val="374A3FE6"/>
    <w:multiLevelType w:val="hybridMultilevel"/>
    <w:lvl w:ilvl="0">
      <w:lvlJc w:val="left"/>
      <w:lvlText w:val="(%1)"/>
      <w:numFmt w:val="upperLetter"/>
      <w:start w:val="1"/>
    </w:lvl>
  </w:abstractNum>
  <w:abstractNum w:abstractNumId="38">
    <w:nsid w:val="4F4EF00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9">
    <w:nsid w:val="23F9C13C"/>
    <w:multiLevelType w:val="hybridMultilevel"/>
    <w:lvl w:ilvl="0">
      <w:lvlJc w:val="left"/>
      <w:lvlText w:val="(%1)"/>
      <w:numFmt w:val="lowerRoman"/>
      <w:start w:val="1"/>
    </w:lvl>
    <w:lvl w:ilvl="1">
      <w:lvlJc w:val="left"/>
      <w:lvlText w:val="(%2)"/>
      <w:numFmt w:val="lowerLetter"/>
      <w:start w:val="61"/>
    </w:lvl>
    <w:lvl w:ilvl="2">
      <w:lvlJc w:val="left"/>
      <w:lvlText w:val="%3"/>
      <w:numFmt w:val="lowerLetter"/>
      <w:start w:val="1"/>
    </w:lvl>
  </w:abstractNum>
  <w:abstractNum w:abstractNumId="40">
    <w:nsid w:val="649BB77C"/>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41">
    <w:nsid w:val="275AC794"/>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8"/>
    </w:lvl>
  </w:abstractNum>
  <w:abstractNum w:abstractNumId="42">
    <w:nsid w:val="39386575"/>
    <w:multiLevelType w:val="hybridMultilevel"/>
    <w:lvl w:ilvl="0">
      <w:lvlJc w:val="left"/>
      <w:lvlText w:val="(%1)"/>
      <w:numFmt w:val="lowerLetter"/>
      <w:start w:val="3"/>
    </w:lvl>
  </w:abstractNum>
  <w:abstractNum w:abstractNumId="43">
    <w:nsid w:val="1CF10FD8"/>
    <w:multiLevelType w:val="hybridMultilevel"/>
    <w:lvl w:ilvl="0">
      <w:lvlJc w:val="left"/>
      <w:lvlText w:val="%1"/>
      <w:numFmt w:val="lowerRoman"/>
      <w:start w:val="1"/>
    </w:lvl>
    <w:lvl w:ilvl="1">
      <w:lvlJc w:val="left"/>
      <w:lvlText w:val="(%2)"/>
      <w:numFmt w:val="lowerLetter"/>
      <w:start w:val="4"/>
    </w:lvl>
  </w:abstractNum>
  <w:abstractNum w:abstractNumId="44">
    <w:nsid w:val="180115BE"/>
    <w:multiLevelType w:val="hybridMultilevel"/>
    <w:lvl w:ilvl="0">
      <w:lvlJc w:val="left"/>
      <w:lvlText w:val="(%1)"/>
      <w:numFmt w:val="lowerRoman"/>
      <w:start w:val="6"/>
    </w:lvl>
    <w:lvl w:ilvl="1">
      <w:lvlJc w:val="left"/>
      <w:lvlText w:val="%2"/>
      <w:numFmt w:val="lowerLetter"/>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3"/>
    </w:lvl>
  </w:abstractNum>
  <w:abstractNum w:abstractNumId="47">
    <w:nsid w:val="354FE9F9"/>
    <w:multiLevelType w:val="hybridMultilevel"/>
    <w:lvl w:ilvl="0">
      <w:lvlJc w:val="left"/>
      <w:lvlText w:val="(%1)"/>
      <w:numFmt w:val="lowerLetter"/>
      <w:start w:val="5"/>
    </w:lvl>
  </w:abstractNum>
  <w:abstractNum w:abstractNumId="48">
    <w:nsid w:val="15B5AF5C"/>
    <w:multiLevelType w:val="hybridMultilevel"/>
    <w:lvl w:ilvl="0">
      <w:lvlJc w:val="left"/>
      <w:lvlText w:val="(%1)"/>
      <w:numFmt w:val="lowerLetter"/>
      <w:start w:val="9"/>
    </w:lvl>
  </w:abstractNum>
  <w:abstractNum w:abstractNumId="49">
    <w:nsid w:val="741226BB"/>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5"/>
    </w:lvl>
  </w:abstractNum>
  <w:abstractNum w:abstractNumId="50">
    <w:nsid w:val="D34B6A8"/>
    <w:multiLevelType w:val="hybridMultilevel"/>
    <w:lvl w:ilvl="0">
      <w:lvlJc w:val="left"/>
      <w:lvlText w:val="(%1)"/>
      <w:numFmt w:val="upperLetter"/>
      <w:start w:val="1"/>
    </w:lvl>
    <w:lvl w:ilvl="1">
      <w:lvlJc w:val="left"/>
      <w:lvlText w:val="(%2)"/>
      <w:numFmt w:val="upperLetter"/>
      <w:start w:val="2"/>
    </w:lvl>
    <w:lvl w:ilvl="2">
      <w:lvlJc w:val="left"/>
      <w:lvlText w:val="%3"/>
      <w:numFmt w:val="lowerLetter"/>
      <w:start w:val="1"/>
    </w:lvl>
  </w:abstractNum>
  <w:abstractNum w:abstractNumId="51">
    <w:nsid w:val="10233C99"/>
    <w:multiLevelType w:val="hybridMultilevel"/>
    <w:lvl w:ilvl="0">
      <w:lvlJc w:val="left"/>
      <w:lvlText w:val="(%1)"/>
      <w:numFmt w:val="upperLetter"/>
      <w:start w:val="3"/>
    </w:lvl>
  </w:abstractNum>
  <w:abstractNum w:abstractNumId="52">
    <w:nsid w:val="3F6AB60F"/>
    <w:multiLevelType w:val="hybridMultilevel"/>
    <w:lvl w:ilvl="0">
      <w:lvlJc w:val="left"/>
      <w:lvlText w:val="(%1)"/>
      <w:numFmt w:val="lowerLetter"/>
      <w:start w:val="16"/>
    </w:lvl>
  </w:abstractNum>
  <w:abstractNum w:abstractNumId="53">
    <w:nsid w:val="61574095"/>
    <w:multiLevelType w:val="hybridMultilevel"/>
    <w:lvl w:ilvl="0">
      <w:lvlJc w:val="left"/>
      <w:lvlText w:val="(%1)"/>
      <w:numFmt w:val="lowerLetter"/>
      <w:start w:val="20"/>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Roman"/>
      <w:start w:val="1"/>
    </w:lvl>
  </w:abstractNum>
  <w:abstractNum w:abstractNumId="56">
    <w:nsid w:val="579BE4F1"/>
    <w:multiLevelType w:val="hybridMultilevel"/>
    <w:lvl w:ilvl="0">
      <w:lvlJc w:val="left"/>
      <w:lvlText w:val="(%1)"/>
      <w:numFmt w:val="lowerRoman"/>
      <w:start w:val="5"/>
    </w:lvl>
  </w:abstractNum>
  <w:abstractNum w:abstractNumId="57">
    <w:nsid w:val="310C50B3"/>
    <w:multiLevelType w:val="hybridMultilevel"/>
    <w:lvl w:ilvl="0">
      <w:lvlJc w:val="left"/>
      <w:lvlText w:val="(%1)"/>
      <w:numFmt w:val="lowerLetter"/>
      <w:start w:val="2"/>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1)"/>
      <w:numFmt w:val="lowerLetter"/>
      <w:start w:val="3"/>
    </w:lvl>
  </w:abstractNum>
  <w:abstractNum w:abstractNumId="61">
    <w:nsid w:val="1DBABF00"/>
    <w:multiLevelType w:val="hybridMultilevel"/>
    <w:lvl w:ilvl="0">
      <w:lvlJc w:val="left"/>
      <w:lvlText w:val="(%1)"/>
      <w:numFmt w:val="lowerLetter"/>
      <w:start w:val="5"/>
    </w:lvl>
  </w:abstractNum>
  <w:abstractNum w:abstractNumId="62">
    <w:nsid w:val="4AD084E9"/>
    <w:multiLevelType w:val="hybridMultilevel"/>
    <w:lvl w:ilvl="0">
      <w:lvlJc w:val="left"/>
      <w:lvlText w:val="(%1)"/>
      <w:numFmt w:val="lowerLetter"/>
      <w:start w:val="1"/>
    </w:lvl>
    <w:lvl w:ilvl="1">
      <w:lvlJc w:val="left"/>
      <w:lvlText w:val="(%2)"/>
      <w:numFmt w:val="lowerRoman"/>
      <w:start w:val="1"/>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2"/>
    </w:lvl>
  </w:abstractNum>
  <w:abstractNum w:abstractNumId="65">
    <w:nsid w:val="5DB70AE5"/>
    <w:multiLevelType w:val="hybridMultilevel"/>
    <w:lvl w:ilvl="0">
      <w:lvlJc w:val="left"/>
      <w:lvlText w:val="%1"/>
      <w:numFmt w:val="decimal"/>
      <w:start w:val="520"/>
    </w:lvl>
  </w:abstractNum>
  <w:abstractNum w:abstractNumId="66">
    <w:nsid w:val="100F8FCA"/>
    <w:multiLevelType w:val="hybridMultilevel"/>
    <w:lvl w:ilvl="0">
      <w:lvlJc w:val="left"/>
      <w:lvlText w:val="(%1)"/>
      <w:numFmt w:val="lowerLetter"/>
      <w:start w:val="5"/>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jpeg"/><Relationship Id="rId73" Type="http://schemas.openxmlformats.org/officeDocument/2006/relationships/image" Target="media/image55.jpeg"/><Relationship Id="rId74" Type="http://schemas.openxmlformats.org/officeDocument/2006/relationships/image" Target="media/image56.jpeg"/><Relationship Id="rId75" Type="http://schemas.openxmlformats.org/officeDocument/2006/relationships/image" Target="media/image57.jpeg"/><Relationship Id="rId76" Type="http://schemas.openxmlformats.org/officeDocument/2006/relationships/image" Target="media/image58.jpe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58" Type="http://schemas.openxmlformats.org/officeDocument/2006/relationships/hyperlink" Target="https://www.sec.gov/Archives/edgar/data/0001601830/000119312521123764/d149444dex31.htm" TargetMode="External"/><Relationship Id="rId59" Type="http://schemas.openxmlformats.org/officeDocument/2006/relationships/hyperlink" Target="https://www.sec.gov/Archives/edgar/data/0001601830/000119312521123764/d149444dex32.htm" TargetMode="External"/><Relationship Id="rId61" Type="http://schemas.openxmlformats.org/officeDocument/2006/relationships/hyperlink" Target="https://www.sec.gov/Archives/edgar/data/0001601830/000119312521089610/d89478dex41.htm" TargetMode="External"/><Relationship Id="rId62" Type="http://schemas.openxmlformats.org/officeDocument/2006/relationships/hyperlink" Target="https://www.sec.gov/Archives/edgar/data/0001601830/000119312521089610/d89478dex42.htm" TargetMode="External"/><Relationship Id="rId63" Type="http://schemas.openxmlformats.org/officeDocument/2006/relationships/hyperlink" Target="https://www.sec.gov/Archives/edgar/data/1601830/000160183023000036/exhibit42-valencexexchange.htm" TargetMode="External"/><Relationship Id="rId64" Type="http://schemas.openxmlformats.org/officeDocument/2006/relationships/hyperlink" Target="https://www.sec.gov/Archives/edgar/data/1601830/000160183023000036/exhibit43-valencexregistra.htm" TargetMode="External"/><Relationship Id="rId65" Type="http://schemas.openxmlformats.org/officeDocument/2006/relationships/hyperlink" Target="https://www.sec.gov/Archives/edgar/data/1601830/000160183023000044/exhibit41registrationagree.htm" TargetMode="External"/><Relationship Id="rId66" Type="http://schemas.openxmlformats.org/officeDocument/2006/relationships/hyperlink" Target="https://www.sec.gov/Archives/edgar/data/1601830/000160183023000050/ex101-rxrxnvidiastockpurch.htm" TargetMode="External"/><Relationship Id="rId67" Type="http://schemas.openxmlformats.org/officeDocument/2006/relationships/hyperlink" Target="https://www.sec.gov/Archives/edgar/data/1601830/000160183023000050/ex102-rxrxxnvidiaregrights.htm" TargetMode="External"/><Relationship Id="rId68" Type="http://schemas.openxmlformats.org/officeDocument/2006/relationships/hyperlink" Target="https://www.sec.gov/Archives/edgar/data/1601830/000160183023000038/exhibit44-secondamendedand.htm" TargetMode="External"/><Relationship Id="rId69" Type="http://schemas.openxmlformats.org/officeDocument/2006/relationships/hyperlink" Target="https://www.sec.gov/Archives/edgar/data/1601830/000160183023000029/ex44valenceoption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2023-08-08T07:14:14Z</dcterms:created>
  <dcterms:modified xsi:type="dcterms:W3CDTF">2023-08-08T07:14:14Z</dcterms:modified>
</cp:coreProperties>
</file>