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June 30, 2025</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p>
      <w:pPr>
        <w:spacing w:after="0" w:line="200" w:lineRule="exact"/>
        <w:rPr>
          <w:sz w:val="24"/>
          <w:szCs w:val="24"/>
          <w:color w:val="auto"/>
        </w:rPr>
      </w:pPr>
    </w:p>
    <w:p>
      <w:pPr>
        <w:spacing w:after="0" w:line="228" w:lineRule="exact"/>
        <w:rPr>
          <w:sz w:val="24"/>
          <w:szCs w:val="24"/>
          <w:color w:val="auto"/>
        </w:rPr>
      </w:pPr>
    </w:p>
    <w:p>
      <w:pPr>
        <w:ind w:left="20" w:right="8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8" w:lineRule="exact"/>
        <w:rPr>
          <w:sz w:val="24"/>
          <w:szCs w:val="24"/>
          <w:color w:val="auto"/>
        </w:rPr>
      </w:pPr>
    </w:p>
    <w:p>
      <w:pPr>
        <w:ind w:left="20" w:right="600"/>
        <w:spacing w:after="0" w:line="251" w:lineRule="auto"/>
        <w:rPr>
          <w:sz w:val="20"/>
          <w:szCs w:val="20"/>
          <w:color w:val="auto"/>
        </w:rPr>
      </w:pPr>
      <w:r>
        <w:rPr>
          <w:rFonts w:ascii="Arial" w:cs="Arial" w:eastAsia="Arial" w:hAnsi="Arial"/>
          <w:sz w:val="16"/>
          <w:szCs w:val="16"/>
          <w:color w:val="auto"/>
        </w:rPr>
        <w:t>As of July 30, 2025, there were 427,312,960 and 6,838,575 of the registrant’s Class A and B common stock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951865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1"/>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25</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6"/>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36</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36</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36</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37</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8"/>
          </w:tcPr>
          <w:p>
            <w:pPr>
              <w:spacing w:after="0"/>
              <w:rPr>
                <w:sz w:val="18"/>
                <w:szCs w:val="18"/>
                <w:color w:val="auto"/>
              </w:rPr>
            </w:pP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39</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0000EE"/>
              </w:rPr>
              <w:t>Signatures</w:t>
            </w:r>
          </w:p>
        </w:tc>
        <w:tc>
          <w:tcPr>
            <w:tcW w:w="340" w:type="dxa"/>
            <w:vAlign w:val="bottom"/>
            <w:gridSpan w:val="3"/>
          </w:tcPr>
          <w:p>
            <w:pPr>
              <w:jc w:val="center"/>
              <w:ind w:right="20"/>
              <w:spacing w:after="0"/>
              <w:rPr>
                <w:sz w:val="20"/>
                <w:szCs w:val="20"/>
                <w:color w:val="auto"/>
              </w:rPr>
            </w:pPr>
            <w:r>
              <w:rPr>
                <w:rFonts w:ascii="Arial" w:cs="Arial" w:eastAsia="Arial" w:hAnsi="Arial"/>
                <w:sz w:val="18"/>
                <w:szCs w:val="18"/>
                <w:color w:val="0000EE"/>
                <w:w w:val="99"/>
              </w:rPr>
              <w:t>40</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6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3" w:lineRule="exact"/>
        <w:rPr>
          <w:sz w:val="20"/>
          <w:szCs w:val="20"/>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research and development programs;</w:t>
      </w:r>
    </w:p>
    <w:p>
      <w:pPr>
        <w:spacing w:after="0" w:line="7" w:lineRule="exact"/>
        <w:rPr>
          <w:rFonts w:ascii="Arial" w:cs="Arial" w:eastAsia="Arial" w:hAnsi="Arial"/>
          <w:sz w:val="17"/>
          <w:szCs w:val="17"/>
          <w:color w:val="auto"/>
        </w:rPr>
      </w:pPr>
    </w:p>
    <w:p>
      <w:pPr>
        <w:ind w:left="340" w:right="220" w:hanging="251"/>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use our combined assets from our recent business combination to create a fully integrated, technology-first drug discovery platform;</w:t>
      </w:r>
    </w:p>
    <w:p>
      <w:pPr>
        <w:spacing w:after="0" w:line="7" w:lineRule="exact"/>
        <w:rPr>
          <w:rFonts w:ascii="Arial" w:cs="Arial" w:eastAsia="Arial" w:hAnsi="Arial"/>
          <w:sz w:val="17"/>
          <w:szCs w:val="17"/>
          <w:color w:val="auto"/>
        </w:rPr>
      </w:pPr>
    </w:p>
    <w:p>
      <w:pPr>
        <w:ind w:left="340" w:right="46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likelihood of our ability to shift our wet-lab from a source of data generation to a model for validating data from AI-generated results;</w:t>
      </w:r>
    </w:p>
    <w:p>
      <w:pPr>
        <w:spacing w:after="0" w:line="1" w:lineRule="exact"/>
        <w:rPr>
          <w:rFonts w:ascii="Arial" w:cs="Arial" w:eastAsia="Arial" w:hAnsi="Arial"/>
          <w:sz w:val="17"/>
          <w:szCs w:val="17"/>
          <w:color w:val="auto"/>
        </w:rPr>
      </w:pPr>
    </w:p>
    <w:p>
      <w:pPr>
        <w:ind w:left="340" w:right="48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collaborators to continue research and development activities relating to our development candidates and investigational medicines;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investigational medicines and any other approved product;</w:t>
      </w:r>
    </w:p>
    <w:p>
      <w:pPr>
        <w:spacing w:after="0" w:line="7" w:lineRule="exact"/>
        <w:rPr>
          <w:rFonts w:ascii="Arial" w:cs="Arial" w:eastAsia="Arial" w:hAnsi="Arial"/>
          <w:sz w:val="17"/>
          <w:szCs w:val="17"/>
          <w:color w:val="auto"/>
        </w:rPr>
      </w:pPr>
    </w:p>
    <w:p>
      <w:pPr>
        <w:ind w:left="340" w:right="40" w:hanging="251"/>
        <w:spacing w:after="0" w:line="251"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foreign regulatory filings and approvals, including our ability to maintain any such approvals;</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TechBio companies, including the expected impact of AI-enabled technologies;</w:t>
      </w:r>
    </w:p>
    <w:p>
      <w:pPr>
        <w:spacing w:after="0" w:line="7" w:lineRule="exact"/>
        <w:rPr>
          <w:rFonts w:ascii="Arial" w:cs="Arial" w:eastAsia="Arial" w:hAnsi="Arial"/>
          <w:sz w:val="17"/>
          <w:szCs w:val="17"/>
          <w:color w:val="auto"/>
        </w:rPr>
      </w:pPr>
    </w:p>
    <w:p>
      <w:pPr>
        <w:ind w:left="340" w:right="58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our drug candidates, including our estimates of the number of patients who suffer from the diseases we are targeting;</w:t>
      </w:r>
    </w:p>
    <w:p>
      <w:pPr>
        <w:spacing w:after="0" w:line="1" w:lineRule="exact"/>
        <w:rPr>
          <w:rFonts w:ascii="Arial" w:cs="Arial" w:eastAsia="Arial" w:hAnsi="Arial"/>
          <w:sz w:val="17"/>
          <w:szCs w:val="17"/>
          <w:color w:val="auto"/>
        </w:rPr>
      </w:pPr>
    </w:p>
    <w:p>
      <w:pPr>
        <w:ind w:left="340" w:right="22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viable new drug candidates for clinical development and the rate at which we expect to identify such candidates, whether through an inferential approach or otherwise;</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 that the assets that will drive the most value for us are those that we will identify in the future using our datasets and tools;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drug candidates and programs into, and successfully complete, clinical studies;</w:t>
      </w:r>
    </w:p>
    <w:p>
      <w:pPr>
        <w:spacing w:after="0" w:line="7" w:lineRule="exact"/>
        <w:rPr>
          <w:rFonts w:ascii="Arial" w:cs="Arial" w:eastAsia="Arial" w:hAnsi="Arial"/>
          <w:sz w:val="17"/>
          <w:szCs w:val="17"/>
          <w:color w:val="auto"/>
        </w:rPr>
      </w:pPr>
    </w:p>
    <w:p>
      <w:pPr>
        <w:ind w:left="340" w:right="60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the time or cost or increase the likelihood of success of our research and development relative to the traditional drug discovery paradigm, including the use of data sets from our partners to accelerate the development of our AI-enabled technologies;</w:t>
      </w:r>
    </w:p>
    <w:p>
      <w:pPr>
        <w:spacing w:after="0" w:line="1" w:lineRule="exact"/>
        <w:rPr>
          <w:rFonts w:ascii="Arial" w:cs="Arial" w:eastAsia="Arial" w:hAnsi="Arial"/>
          <w:sz w:val="17"/>
          <w:szCs w:val="17"/>
          <w:color w:val="auto"/>
        </w:rPr>
      </w:pPr>
    </w:p>
    <w:p>
      <w:pPr>
        <w:ind w:left="340" w:right="24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use machine learning and artificial intelligence in our drug development process;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leverage our collaborations and partnerships to develop our products and grow our business;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related to the performance and benefits of our BioHive-2 supercomputer, Recursion OS, and our digital chemistry platform;</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a return on our investment of resources and cash in our drug discovery collaborations;</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scale like a technology company and to add more programs to our pipeline each year;</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and generate datasets to train and develop our AI-enabled technologies;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compete in a highly competitive market;</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strategies;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relating to commercializing our drug candidates, if approved, including the geographic areas of focus and sales strategy;</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approval and use of our drug candidates in combination with other drugs;</w:t>
      </w:r>
    </w:p>
    <w:p>
      <w:pPr>
        <w:spacing w:after="0" w:line="14" w:lineRule="exact"/>
        <w:rPr>
          <w:rFonts w:ascii="Arial" w:cs="Arial" w:eastAsia="Arial" w:hAnsi="Arial"/>
          <w:sz w:val="17"/>
          <w:szCs w:val="17"/>
          <w:color w:val="auto"/>
        </w:rPr>
      </w:pPr>
    </w:p>
    <w:p>
      <w:pPr>
        <w:ind w:left="340" w:right="42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current drug candidates, if approved, and other drug candidates we may develop;</w:t>
      </w:r>
    </w:p>
    <w:p>
      <w:pPr>
        <w:spacing w:after="0" w:line="1" w:lineRule="exact"/>
        <w:rPr>
          <w:rFonts w:ascii="Arial" w:cs="Arial" w:eastAsia="Arial" w:hAnsi="Arial"/>
          <w:sz w:val="17"/>
          <w:szCs w:val="17"/>
          <w:color w:val="auto"/>
        </w:rPr>
      </w:pPr>
    </w:p>
    <w:p>
      <w:pPr>
        <w:ind w:left="340" w:right="20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position and the success of competing approaches that are or may become available, including with respect to our AI-enabled technologies;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the number of patients that we will enroll in our clinical trials and the timing of their enrollment;</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beneficial characteristics, safety, efficacy, and therapeutic effects of our drug candidates;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for further development of our drug candidates, including additional indications we may pursue;</w:t>
      </w:r>
    </w:p>
    <w:p>
      <w:pPr>
        <w:spacing w:after="0" w:line="23" w:lineRule="exact"/>
        <w:rPr>
          <w:rFonts w:ascii="Arial" w:cs="Arial" w:eastAsia="Arial" w:hAnsi="Arial"/>
          <w:sz w:val="17"/>
          <w:szCs w:val="17"/>
          <w:color w:val="auto"/>
        </w:rPr>
      </w:pPr>
    </w:p>
    <w:p>
      <w:pPr>
        <w:ind w:left="340" w:hanging="251"/>
        <w:spacing w:after="0" w:line="252"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7"/>
          <w:szCs w:val="17"/>
          <w:color w:val="auto"/>
        </w:rPr>
      </w:pPr>
    </w:p>
    <w:p>
      <w:pPr>
        <w:ind w:left="340" w:right="22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intellectual property disputes and our ability to defend against claims of infringement, misappropriation, or other violations of intellectual property rights;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keep pace with new technological developments, including with respect to AI;</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utilize third-party open source software and cloud-based infrastructure, on which we are dependent;</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insurance policies and the scope of their coverage;</w:t>
      </w:r>
    </w:p>
    <w:p>
      <w:pPr>
        <w:spacing w:after="0" w:line="7" w:lineRule="exact"/>
        <w:rPr>
          <w:rFonts w:ascii="Arial" w:cs="Arial" w:eastAsia="Arial" w:hAnsi="Arial"/>
          <w:sz w:val="17"/>
          <w:szCs w:val="17"/>
          <w:color w:val="auto"/>
        </w:rPr>
      </w:pPr>
    </w:p>
    <w:p>
      <w:pPr>
        <w:ind w:left="340" w:right="46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our technical operations infrastructure to avoid errors, delays, or cybersecurity breaches;</w:t>
      </w:r>
    </w:p>
    <w:p>
      <w:pPr>
        <w:spacing w:after="0" w:line="13" w:lineRule="exact"/>
        <w:rPr>
          <w:rFonts w:ascii="Arial" w:cs="Arial" w:eastAsia="Arial" w:hAnsi="Arial"/>
          <w:sz w:val="17"/>
          <w:szCs w:val="17"/>
          <w:color w:val="auto"/>
        </w:rPr>
      </w:pPr>
    </w:p>
    <w:p>
      <w:pPr>
        <w:ind w:left="340" w:right="40" w:hanging="251"/>
        <w:spacing w:after="0" w:line="253"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reliance on third parties to conduct additional clinical trials of our drug candidates, and for the manufacture of our drug candidates for preclinical studies and clinical trials;</w:t>
      </w:r>
    </w:p>
    <w:p>
      <w:pPr>
        <w:ind w:left="340" w:right="14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research, develop, manufacture, or commercialize our platform and drug candidates;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current drug candidates and other drug candidates we may develop, if approved;</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7" w:lineRule="exact"/>
        <w:rPr>
          <w:rFonts w:ascii="Arial" w:cs="Arial" w:eastAsia="Arial" w:hAnsi="Arial"/>
          <w:sz w:val="17"/>
          <w:szCs w:val="17"/>
          <w:color w:val="auto"/>
        </w:rPr>
      </w:pPr>
    </w:p>
    <w:p>
      <w:pPr>
        <w:ind w:left="340" w:right="32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period over which we estimate our existing cash and cash equivalents will be sufficient to fund our future operating expenses and capital expenditure requirements;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substantial additional funding;</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and regulations, and our ability to comply with all regulations that we are, or may become, subject to;</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hire additional personnel and our ability to attract and retain such personnel;</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current or future litigation, which may arise during the ordinary course of business and be costly to defend;</w:t>
      </w:r>
    </w:p>
    <w:p>
      <w:pPr>
        <w:spacing w:after="0" w:line="7" w:lineRule="exact"/>
        <w:rPr>
          <w:rFonts w:ascii="Arial" w:cs="Arial" w:eastAsia="Arial" w:hAnsi="Arial"/>
          <w:sz w:val="17"/>
          <w:szCs w:val="17"/>
          <w:color w:val="auto"/>
        </w:rPr>
      </w:pPr>
    </w:p>
    <w:p>
      <w:pPr>
        <w:ind w:left="340" w:right="8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effective internal control over financial reporting and disclosure controls and procedures, including our ability to remediate the material weakness in internal control over financial reporting;</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anticipated use of our existing resources and the net proceeds from our public offerings; and</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in the section titled “Risk Factors.”</w:t>
      </w: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7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594,350</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3,045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receivables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21,606</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49,166</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Prepaid data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29,601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37,338</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587,160</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714,269</w:t>
            </w: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 non-current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5,629</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5,629</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120,038</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141,063</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50,324</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65,877</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lease right-of-use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26,273</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341,319</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335,855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164,270</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148,873</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957</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assets, non-current</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9,416</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8,825</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1,302,355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1,448,598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19,314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21,613</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64,280</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81,872</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Accrued data liability</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20,258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Unearned revenue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39,690</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61,767</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11,732</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13,795</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Notes payable and financing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8,752</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8,425</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164,026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187,472</w:t>
            </w: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Unearned revenue, non-current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126,243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118,765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53,395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67,250</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Notes payable and financing lease liabilities, non-current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14,196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19,022</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23,784</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16,575</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liabilities, non-current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383,209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413,816</w:t>
            </w:r>
          </w:p>
        </w:tc>
        <w:tc>
          <w:tcPr>
            <w:tcW w:w="0" w:type="dxa"/>
            <w:vAlign w:val="bottom"/>
          </w:tcPr>
          <w:p>
            <w:pPr>
              <w:spacing w:after="0"/>
              <w:rPr>
                <w:sz w:val="1"/>
                <w:szCs w:val="1"/>
                <w:color w:val="auto"/>
              </w:rPr>
            </w:pPr>
          </w:p>
        </w:tc>
      </w:tr>
      <w:tr>
        <w:trPr>
          <w:trHeight w:val="108"/>
        </w:trPr>
        <w:tc>
          <w:tcPr>
            <w:tcW w:w="7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Commitments and contingencies (Note 7)</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Arial" w:cs="Arial" w:eastAsia="Arial" w:hAnsi="Arial"/>
                <w:sz w:val="14"/>
                <w:szCs w:val="14"/>
                <w:color w:val="auto"/>
              </w:rPr>
              <w:t>Common stock, $0.00001 par value; 2,000,000,000 shares (Class A 1,989,032,117 and Class B 10,967,883) authorized as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20"/>
              <w:spacing w:after="0"/>
              <w:rPr>
                <w:sz w:val="20"/>
                <w:szCs w:val="20"/>
                <w:color w:val="auto"/>
              </w:rPr>
            </w:pPr>
            <w:r>
              <w:rPr>
                <w:rFonts w:ascii="Arial" w:cs="Arial" w:eastAsia="Arial" w:hAnsi="Arial"/>
                <w:sz w:val="14"/>
                <w:szCs w:val="14"/>
                <w:color w:val="auto"/>
              </w:rPr>
              <w:t>of June 30, 2025 and December 31, 2024; 432,830,642 shares (Class A 425,480,323, Class B 6,838,575 and Exchangeable</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rPr>
                <w:sz w:val="20"/>
                <w:szCs w:val="20"/>
                <w:color w:val="auto"/>
              </w:rPr>
            </w:pPr>
            <w:r>
              <w:rPr>
                <w:rFonts w:ascii="Arial" w:cs="Arial" w:eastAsia="Arial" w:hAnsi="Arial"/>
                <w:sz w:val="14"/>
                <w:szCs w:val="14"/>
                <w:color w:val="auto"/>
              </w:rPr>
              <w:t>511,744) and 396,802,394 shares (Class A 389,547,223, Class B 6,958,575 and Exchangeable 296,596) issued and</w:t>
            </w: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Arial" w:cs="Arial" w:eastAsia="Arial" w:hAnsi="Arial"/>
                <w:sz w:val="14"/>
                <w:szCs w:val="14"/>
                <w:color w:val="auto"/>
              </w:rPr>
              <w:t>outstanding as of June 30, 2025 and December 31, 2024, respectively</w:t>
            </w: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2,681,111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2,473,698</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(1,805,589)</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(1,431,283)</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43,620</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919,146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108"/>
        </w:trPr>
        <w:tc>
          <w:tcPr>
            <w:tcW w:w="798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3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1,302,355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1,448,598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E1E1E"/>
        </w:rPr>
        <w:t>(</w:t>
      </w:r>
      <w:r>
        <w:rPr>
          <w:rFonts w:ascii="Arial" w:cs="Arial" w:eastAsia="Arial" w:hAnsi="Arial"/>
          <w:sz w:val="18"/>
          <w:szCs w:val="18"/>
          <w:b w:val="1"/>
          <w:bCs w:val="1"/>
          <w:color w:val="000000"/>
        </w:rPr>
        <w:t>in thousands, except share and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520" w:type="dxa"/>
            <w:vAlign w:val="bottom"/>
            <w:gridSpan w:val="4"/>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2"/>
                <w:szCs w:val="22"/>
                <w:color w:val="auto"/>
              </w:rPr>
            </w:pPr>
          </w:p>
        </w:tc>
        <w:tc>
          <w:tcPr>
            <w:tcW w:w="29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revenue</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33,968</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20,161</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9,199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41,990</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20,365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128,636</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258,269</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141,488</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46,653</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31,833</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101,304</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63,241</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195,450</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225,094</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(176,227)</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(367,595)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(196,883)</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 (loss), net</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(171,897)</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(374,542)</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(190,215)</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(97,540)</w:t>
            </w:r>
          </w:p>
        </w:tc>
        <w:tc>
          <w:tcPr>
            <w:tcW w:w="2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(374,384)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(188,913)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B and</w:t>
            </w:r>
          </w:p>
        </w:tc>
        <w:tc>
          <w:tcPr>
            <w:tcW w:w="3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 xml:space="preserve">Exchangeable common stock, basic and diluted </w:t>
            </w:r>
            <w:r>
              <w:rPr>
                <w:rFonts w:ascii="Arial" w:cs="Arial" w:eastAsia="Arial" w:hAnsi="Arial"/>
                <w:sz w:val="18"/>
                <w:szCs w:val="18"/>
                <w:color w:val="auto"/>
              </w:rPr>
              <w:t>$</w:t>
            </w:r>
          </w:p>
        </w:tc>
        <w:tc>
          <w:tcPr>
            <w:tcW w:w="146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w:t>
            </w:r>
          </w:p>
        </w:tc>
        <w:tc>
          <w:tcPr>
            <w:tcW w:w="3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417,361,147</w:t>
            </w: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242,196,409</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410,268,199</w:t>
            </w:r>
          </w:p>
        </w:tc>
        <w:tc>
          <w:tcPr>
            <w:tcW w:w="3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239,107,879</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Exchangeable) outstanding,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12"/>
        </w:trPr>
        <w:tc>
          <w:tcPr>
            <w:tcW w:w="1300" w:type="dxa"/>
            <w:vAlign w:val="bottom"/>
            <w:tcBorders>
              <w:top w:val="single" w:sz="8" w:color="0000FF"/>
            </w:tcBorders>
          </w:tcPr>
          <w:p>
            <w:pPr>
              <w:spacing w:after="0"/>
              <w:rPr>
                <w:sz w:val="24"/>
                <w:szCs w:val="24"/>
                <w:color w:val="auto"/>
              </w:rPr>
            </w:pPr>
          </w:p>
        </w:tc>
        <w:tc>
          <w:tcPr>
            <w:tcW w:w="8400" w:type="dxa"/>
            <w:vAlign w:val="bottom"/>
            <w:gridSpan w:val="9"/>
          </w:tcPr>
          <w:p>
            <w:pPr>
              <w:jc w:val="center"/>
              <w:ind w:left="150"/>
              <w:spacing w:after="0"/>
              <w:rPr>
                <w:sz w:val="20"/>
                <w:szCs w:val="20"/>
                <w:color w:val="auto"/>
              </w:rPr>
            </w:pPr>
            <w:r>
              <w:rPr>
                <w:rFonts w:ascii="Arial" w:cs="Arial" w:eastAsia="Arial" w:hAnsi="Arial"/>
                <w:sz w:val="18"/>
                <w:szCs w:val="18"/>
                <w:color w:val="1E1E1E"/>
                <w:w w:val="99"/>
              </w:rPr>
              <w:t>See the accompanying notes to these c</w:t>
            </w:r>
            <w:r>
              <w:rPr>
                <w:rFonts w:ascii="Arial" w:cs="Arial" w:eastAsia="Arial" w:hAnsi="Arial"/>
                <w:sz w:val="18"/>
                <w:szCs w:val="18"/>
                <w:color w:val="000000"/>
                <w:w w:val="99"/>
              </w:rPr>
              <w:t>ondensed</w:t>
            </w:r>
            <w:r>
              <w:rPr>
                <w:rFonts w:ascii="Arial" w:cs="Arial" w:eastAsia="Arial" w:hAnsi="Arial"/>
                <w:sz w:val="18"/>
                <w:szCs w:val="18"/>
                <w:color w:val="1E1E1E"/>
                <w:w w:val="99"/>
              </w:rPr>
              <w:t xml:space="preserve"> consolidated financial statements.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9"/>
              </w:rPr>
              <w:t>Recursion Pharmaceuticals, Inc.</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400" w:type="dxa"/>
            <w:vAlign w:val="bottom"/>
            <w:gridSpan w:val="9"/>
          </w:tcPr>
          <w:p>
            <w:pPr>
              <w:jc w:val="center"/>
              <w:ind w:left="150"/>
              <w:spacing w:after="0"/>
              <w:rPr>
                <w:sz w:val="20"/>
                <w:szCs w:val="20"/>
                <w:color w:val="auto"/>
              </w:rPr>
            </w:pPr>
            <w:r>
              <w:rPr>
                <w:rFonts w:ascii="Arial" w:cs="Arial" w:eastAsia="Arial" w:hAnsi="Arial"/>
                <w:sz w:val="18"/>
                <w:szCs w:val="18"/>
                <w:b w:val="1"/>
                <w:bCs w:val="1"/>
                <w:color w:val="auto"/>
              </w:rPr>
              <w:t>Condensed Consolidated Statements of Comprehensive Loss (unaudited)</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7"/>
        </w:trPr>
        <w:tc>
          <w:tcPr>
            <w:tcW w:w="13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(in thousands)</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513"/>
        </w:trPr>
        <w:tc>
          <w:tcPr>
            <w:tcW w:w="1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40" w:type="dxa"/>
            <w:vAlign w:val="bottom"/>
            <w:gridSpan w:val="3"/>
          </w:tcPr>
          <w:p>
            <w:pPr>
              <w:ind w:left="420"/>
              <w:spacing w:after="0"/>
              <w:rPr>
                <w:sz w:val="20"/>
                <w:szCs w:val="20"/>
                <w:color w:val="auto"/>
              </w:rPr>
            </w:pPr>
            <w:r>
              <w:rPr>
                <w:rFonts w:ascii="Arial" w:cs="Arial" w:eastAsia="Arial" w:hAnsi="Arial"/>
                <w:sz w:val="18"/>
                <w:szCs w:val="18"/>
                <w:b w:val="1"/>
                <w:bCs w:val="1"/>
                <w:color w:val="auto"/>
              </w:rPr>
              <w:t>Six months ended</w:t>
            </w:r>
          </w:p>
        </w:tc>
      </w:tr>
      <w:tr>
        <w:trPr>
          <w:trHeight w:val="278"/>
        </w:trPr>
        <w:tc>
          <w:tcPr>
            <w:tcW w:w="130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4"/>
                <w:szCs w:val="24"/>
                <w:color w:val="auto"/>
              </w:rPr>
            </w:pPr>
          </w:p>
        </w:tc>
      </w:tr>
      <w:tr>
        <w:trPr>
          <w:trHeight w:val="270"/>
        </w:trPr>
        <w:tc>
          <w:tcPr>
            <w:tcW w:w="130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3"/>
        </w:trPr>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1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(171,897)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(97,540)</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400"/>
              <w:spacing w:after="0"/>
              <w:rPr>
                <w:sz w:val="20"/>
                <w:szCs w:val="20"/>
                <w:color w:val="auto"/>
              </w:rPr>
            </w:pPr>
            <w:r>
              <w:rPr>
                <w:rFonts w:ascii="Arial" w:cs="Arial" w:eastAsia="Arial" w:hAnsi="Arial"/>
                <w:sz w:val="18"/>
                <w:szCs w:val="18"/>
                <w:color w:val="auto"/>
              </w:rPr>
              <w:t>(374,384)</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(188,913)</w:t>
            </w:r>
          </w:p>
        </w:tc>
      </w:tr>
      <w:tr>
        <w:trPr>
          <w:trHeight w:val="270"/>
        </w:trPr>
        <w:tc>
          <w:tcPr>
            <w:tcW w:w="3440" w:type="dxa"/>
            <w:vAlign w:val="bottom"/>
            <w:gridSpan w:val="2"/>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gain:</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w:t>
            </w:r>
          </w:p>
        </w:tc>
        <w:tc>
          <w:tcPr>
            <w:tcW w:w="4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3051F2"/>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51,257</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051F2"/>
              </w:rPr>
              <w:t>—</w:t>
            </w:r>
          </w:p>
        </w:tc>
      </w:tr>
      <w:tr>
        <w:trPr>
          <w:trHeight w:val="223"/>
        </w:trPr>
        <w:tc>
          <w:tcPr>
            <w:tcW w:w="34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29,475</w:t>
            </w: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51,257</w:t>
            </w: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(97,540)</w:t>
            </w:r>
          </w:p>
        </w:tc>
        <w:tc>
          <w:tcPr>
            <w:tcW w:w="2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(323,127)</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(188,913)</w:t>
            </w:r>
          </w:p>
        </w:tc>
      </w:tr>
      <w:tr>
        <w:trPr>
          <w:trHeight w:val="20"/>
        </w:trPr>
        <w:tc>
          <w:tcPr>
            <w:tcW w:w="13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108" w:right="339" w:bottom="10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053"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0"/>
                <w:szCs w:val="10"/>
                <w:color w:val="auto"/>
              </w:rPr>
            </w:pPr>
          </w:p>
        </w:tc>
        <w:tc>
          <w:tcPr>
            <w:tcW w:w="2060" w:type="dxa"/>
            <w:vAlign w:val="bottom"/>
            <w:tcBorders>
              <w:bottom w:val="single" w:sz="8" w:color="auto"/>
            </w:tcBorders>
            <w:gridSpan w:val="3"/>
            <w:vMerge w:val="continue"/>
          </w:tcPr>
          <w:p>
            <w:pPr>
              <w:spacing w:after="0"/>
              <w:rPr>
                <w:sz w:val="10"/>
                <w:szCs w:val="10"/>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406,410,733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2,553,492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(1,633,694)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933,947</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(171,897)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(171,897)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29,475</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20" w:type="dxa"/>
            <w:vAlign w:val="bottom"/>
          </w:tcPr>
          <w:p>
            <w:pPr>
              <w:jc w:val="right"/>
              <w:spacing w:after="0"/>
              <w:rPr>
                <w:sz w:val="20"/>
                <w:szCs w:val="20"/>
                <w:color w:val="auto"/>
              </w:rPr>
            </w:pPr>
            <w:r>
              <w:rPr>
                <w:rFonts w:ascii="Arial" w:cs="Arial" w:eastAsia="Arial" w:hAnsi="Arial"/>
                <w:sz w:val="16"/>
                <w:szCs w:val="16"/>
                <w:color w:val="auto"/>
              </w:rPr>
              <w:t>4,665,500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1,459</w:t>
            </w: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26,160</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Arial" w:cs="Arial" w:eastAsia="Arial" w:hAnsi="Arial"/>
                <w:sz w:val="16"/>
                <w:szCs w:val="16"/>
                <w:color w:val="auto"/>
              </w:rPr>
              <w:t>Common stock sales issuances, net of issuance</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21,754,409</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100,000</w:t>
            </w:r>
          </w:p>
        </w:tc>
        <w:tc>
          <w:tcPr>
            <w:tcW w:w="16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costs</w:t>
            </w:r>
          </w:p>
        </w:tc>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432,830,642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2,681,111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(1,805,589)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919,146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3820" w:type="dxa"/>
            <w:vAlign w:val="bottom"/>
          </w:tcPr>
          <w:p>
            <w:pPr>
              <w:spacing w:after="0"/>
              <w:rPr>
                <w:sz w:val="24"/>
                <w:szCs w:val="24"/>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0"/>
                <w:szCs w:val="10"/>
                <w:color w:val="auto"/>
              </w:rPr>
            </w:pPr>
          </w:p>
        </w:tc>
        <w:tc>
          <w:tcPr>
            <w:tcW w:w="112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280" w:type="dxa"/>
            <w:vAlign w:val="bottom"/>
            <w:vMerge w:val="restart"/>
          </w:tcPr>
          <w:p>
            <w:pPr>
              <w:jc w:val="center"/>
              <w:ind w:right="81"/>
              <w:spacing w:after="0" w:line="12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0"/>
                <w:szCs w:val="10"/>
                <w:color w:val="auto"/>
              </w:rPr>
            </w:pPr>
          </w:p>
        </w:tc>
        <w:tc>
          <w:tcPr>
            <w:tcW w:w="118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2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
                <w:szCs w:val="2"/>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2"/>
                <w:szCs w:val="2"/>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396,802,394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2,473,698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(374,384)</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(374,384)</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51,257</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20" w:type="dxa"/>
            <w:vAlign w:val="bottom"/>
          </w:tcPr>
          <w:p>
            <w:pPr>
              <w:jc w:val="right"/>
              <w:spacing w:after="0"/>
              <w:rPr>
                <w:sz w:val="20"/>
                <w:szCs w:val="20"/>
                <w:color w:val="auto"/>
              </w:rPr>
            </w:pPr>
            <w:r>
              <w:rPr>
                <w:rFonts w:ascii="Arial" w:cs="Arial" w:eastAsia="Arial" w:hAnsi="Arial"/>
                <w:sz w:val="16"/>
                <w:szCs w:val="16"/>
                <w:color w:val="auto"/>
              </w:rPr>
              <w:t>8,774,159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4,172</w:t>
            </w: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62,217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62,217</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Arial" w:cs="Arial" w:eastAsia="Arial" w:hAnsi="Arial"/>
                <w:sz w:val="16"/>
                <w:szCs w:val="16"/>
                <w:color w:val="auto"/>
              </w:rPr>
              <w:t>Common stock sales issuances, net of issuance</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27,254,089</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141,024</w:t>
            </w:r>
          </w:p>
        </w:tc>
        <w:tc>
          <w:tcPr>
            <w:tcW w:w="16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141,024</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costs</w:t>
            </w:r>
          </w:p>
        </w:tc>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432,830,642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2,681,111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(1,805,589)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919,146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00"/>
          </w:cols>
          <w:pgMar w:left="320" w:top="12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00"/>
          </w:cols>
          <w:pgMar w:left="320" w:top="121" w:right="37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20"/>
          </w:cols>
          <w:pgMar w:left="320" w:top="121" w:right="359" w:bottom="10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left="1460"/>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1"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(in thousands, except share amounts)</w:t>
      </w:r>
    </w:p>
    <w:p>
      <w:pPr>
        <w:spacing w:after="0" w:line="298" w:lineRule="exact"/>
        <w:rPr>
          <w:sz w:val="20"/>
          <w:szCs w:val="20"/>
          <w:color w:val="auto"/>
        </w:rPr>
      </w:pPr>
    </w:p>
    <w:tbl>
      <w:tblPr>
        <w:tblLayout w:type="fixed"/>
        <w:tblInd w:w="3380" w:type="dxa"/>
        <w:tblCellMar>
          <w:top w:w="0" w:type="dxa"/>
          <w:left w:w="0" w:type="dxa"/>
          <w:bottom w:w="0" w:type="dxa"/>
          <w:right w:w="0" w:type="dxa"/>
        </w:tblCellMar>
      </w:tblPr>
      <w:tr>
        <w:trPr>
          <w:trHeight w:val="196"/>
        </w:trPr>
        <w:tc>
          <w:tcPr>
            <w:tcW w:w="2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(Class A, B and Exchangeable)</w:t>
            </w:r>
          </w:p>
        </w:tc>
        <w:tc>
          <w:tcPr>
            <w:tcW w:w="14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Accumulated</w:t>
            </w:r>
          </w:p>
        </w:tc>
        <w:tc>
          <w:tcPr>
            <w:tcW w:w="1460" w:type="dxa"/>
            <w:vAlign w:val="bottom"/>
          </w:tcPr>
          <w:p>
            <w:pPr>
              <w:jc w:val="center"/>
              <w:ind w:left="8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6"/>
        </w:trPr>
        <w:tc>
          <w:tcPr>
            <w:tcW w:w="2380" w:type="dxa"/>
            <w:vAlign w:val="bottom"/>
            <w:tcBorders>
              <w:bottom w:val="single" w:sz="8" w:color="auto"/>
            </w:tcBorders>
            <w:gridSpan w:val="2"/>
            <w:vMerge w:val="continue"/>
          </w:tcPr>
          <w:p>
            <w:pPr>
              <w:spacing w:after="0"/>
              <w:rPr>
                <w:sz w:val="11"/>
                <w:szCs w:val="11"/>
                <w:color w:val="auto"/>
              </w:rPr>
            </w:pPr>
          </w:p>
        </w:tc>
        <w:tc>
          <w:tcPr>
            <w:tcW w:w="14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Additional Paid-in-</w:t>
            </w:r>
          </w:p>
        </w:tc>
        <w:tc>
          <w:tcPr>
            <w:tcW w:w="1160" w:type="dxa"/>
            <w:vAlign w:val="bottom"/>
            <w:vMerge w:val="continue"/>
          </w:tcPr>
          <w:p>
            <w:pPr>
              <w:spacing w:after="0"/>
              <w:rPr>
                <w:sz w:val="11"/>
                <w:szCs w:val="11"/>
                <w:color w:val="auto"/>
              </w:rPr>
            </w:pPr>
          </w:p>
        </w:tc>
        <w:tc>
          <w:tcPr>
            <w:tcW w:w="14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34"/>
        </w:trPr>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1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4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400" w:type="dxa"/>
            <w:vAlign w:val="bottom"/>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460" w:type="dxa"/>
            <w:vAlign w:val="bottom"/>
          </w:tcPr>
          <w:p>
            <w:pPr>
              <w:jc w:val="center"/>
              <w:ind w:left="8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Stockholders’</w:t>
      </w:r>
    </w:p>
    <w:p>
      <w:pPr>
        <w:spacing w:after="0" w:line="2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Equity</w:t>
      </w:r>
    </w:p>
    <w:p>
      <w:pPr>
        <w:spacing w:after="0" w:line="37" w:lineRule="exact"/>
        <w:rPr>
          <w:sz w:val="20"/>
          <w:szCs w:val="20"/>
          <w:color w:val="auto"/>
        </w:rPr>
      </w:pPr>
    </w:p>
    <w:p>
      <w:pPr>
        <w:sectPr>
          <w:pgSz w:w="11900" w:h="16838" w:orient="portrait"/>
          <w:cols w:equalWidth="0" w:num="2">
            <w:col w:w="9780" w:space="300"/>
            <w:col w:w="1140"/>
          </w:cols>
          <w:pgMar w:left="320" w:top="121" w:right="359" w:bottom="1094"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237,508,682</w:t>
            </w:r>
          </w:p>
        </w:tc>
        <w:tc>
          <w:tcPr>
            <w:tcW w:w="5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1,460,144</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(1,058,995)</w:t>
            </w: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401,151</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Net loss</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(97,540)</w:t>
            </w:r>
          </w:p>
        </w:tc>
        <w:tc>
          <w:tcPr>
            <w:tcW w:w="70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(97,540)</w:t>
            </w: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2,820,506</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16,524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16,524</w:t>
            </w: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Common stock sales issuances, net of</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40,639,088</w:t>
            </w:r>
          </w:p>
        </w:tc>
        <w:tc>
          <w:tcPr>
            <w:tcW w:w="5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261,546</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261,547</w:t>
            </w:r>
          </w:p>
        </w:tc>
        <w:tc>
          <w:tcPr>
            <w:tcW w:w="0" w:type="dxa"/>
            <w:vAlign w:val="bottom"/>
          </w:tcPr>
          <w:p>
            <w:pPr>
              <w:spacing w:after="0"/>
              <w:rPr>
                <w:sz w:val="1"/>
                <w:szCs w:val="1"/>
                <w:color w:val="auto"/>
              </w:rPr>
            </w:pPr>
          </w:p>
        </w:tc>
      </w:tr>
      <w:tr>
        <w:trPr>
          <w:trHeight w:val="215"/>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June 30, 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280,968,276</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1,740,981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(1,156,535)</w:t>
            </w: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584,449</w:t>
            </w:r>
          </w:p>
        </w:tc>
        <w:tc>
          <w:tcPr>
            <w:tcW w:w="0" w:type="dxa"/>
            <w:vAlign w:val="bottom"/>
          </w:tcPr>
          <w:p>
            <w:pPr>
              <w:spacing w:after="0"/>
              <w:rPr>
                <w:sz w:val="1"/>
                <w:szCs w:val="1"/>
                <w:color w:val="auto"/>
              </w:rPr>
            </w:pPr>
          </w:p>
        </w:tc>
      </w:tr>
      <w:tr>
        <w:trPr>
          <w:trHeight w:val="21"/>
        </w:trPr>
        <w:tc>
          <w:tcPr>
            <w:tcW w:w="3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340" w:type="dxa"/>
            <w:vAlign w:val="bottom"/>
          </w:tcPr>
          <w:p>
            <w:pPr>
              <w:spacing w:after="0"/>
              <w:rPr>
                <w:sz w:val="21"/>
                <w:szCs w:val="21"/>
                <w:color w:val="auto"/>
              </w:rPr>
            </w:pPr>
          </w:p>
        </w:tc>
        <w:tc>
          <w:tcPr>
            <w:tcW w:w="23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(Class A, B and Exchangeable)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rPr>
              <w:t>Accumulated other</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380" w:type="dxa"/>
            <w:vAlign w:val="bottom"/>
            <w:tcBorders>
              <w:bottom w:val="single" w:sz="8" w:color="auto"/>
            </w:tcBorders>
            <w:gridSpan w:val="3"/>
            <w:vMerge w:val="continue"/>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2"/>
                <w:szCs w:val="12"/>
                <w:color w:val="auto"/>
              </w:rPr>
            </w:pPr>
          </w:p>
        </w:tc>
        <w:tc>
          <w:tcPr>
            <w:tcW w:w="1140" w:type="dxa"/>
            <w:vAlign w:val="bottom"/>
          </w:tcPr>
          <w:p>
            <w:pPr>
              <w:jc w:val="right"/>
              <w:ind w:right="121"/>
              <w:spacing w:after="0" w:line="125"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500" w:type="dxa"/>
            <w:vAlign w:val="bottom"/>
          </w:tcPr>
          <w:p>
            <w:pPr>
              <w:jc w:val="center"/>
              <w:ind w:right="241"/>
              <w:spacing w:after="0" w:line="125" w:lineRule="exact"/>
              <w:rPr>
                <w:sz w:val="20"/>
                <w:szCs w:val="20"/>
                <w:color w:val="auto"/>
              </w:rPr>
            </w:pPr>
            <w:r>
              <w:rPr>
                <w:rFonts w:ascii="Arial" w:cs="Arial" w:eastAsia="Arial" w:hAnsi="Arial"/>
                <w:sz w:val="14"/>
                <w:szCs w:val="14"/>
                <w:b w:val="1"/>
                <w:bCs w:val="1"/>
                <w:color w:val="auto"/>
              </w:rPr>
              <w:t>comprehensive</w:t>
            </w:r>
          </w:p>
        </w:tc>
        <w:tc>
          <w:tcPr>
            <w:tcW w:w="1180" w:type="dxa"/>
            <w:vAlign w:val="bottom"/>
          </w:tcPr>
          <w:p>
            <w:pPr>
              <w:jc w:val="right"/>
              <w:ind w:right="121"/>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12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
                <w:szCs w:val="2"/>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2"/>
                <w:szCs w:val="2"/>
                <w:color w:val="auto"/>
              </w:rPr>
            </w:pPr>
          </w:p>
        </w:tc>
        <w:tc>
          <w:tcPr>
            <w:tcW w:w="1500" w:type="dxa"/>
            <w:vAlign w:val="bottom"/>
            <w:vMerge w:val="restart"/>
          </w:tcPr>
          <w:p>
            <w:pPr>
              <w:jc w:val="center"/>
              <w:ind w:right="241"/>
              <w:spacing w:after="0"/>
              <w:rPr>
                <w:sz w:val="20"/>
                <w:szCs w:val="20"/>
                <w:color w:val="auto"/>
              </w:rPr>
            </w:pPr>
            <w:r>
              <w:rPr>
                <w:rFonts w:ascii="Arial" w:cs="Arial" w:eastAsia="Arial" w:hAnsi="Arial"/>
                <w:sz w:val="14"/>
                <w:szCs w:val="14"/>
                <w:b w:val="1"/>
                <w:bCs w:val="1"/>
                <w:color w:val="auto"/>
              </w:rPr>
              <w:t>income (loss)</w:t>
            </w:r>
          </w:p>
        </w:tc>
        <w:tc>
          <w:tcPr>
            <w:tcW w:w="118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234,270,384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463,436</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20"/>
                <w:szCs w:val="20"/>
                <w:color w:val="auto"/>
              </w:rPr>
            </w:pPr>
            <w:r>
              <w:rPr>
                <w:rFonts w:ascii="Arial" w:cs="Arial" w:eastAsia="Arial" w:hAnsi="Arial"/>
                <w:sz w:val="16"/>
                <w:szCs w:val="16"/>
                <w:color w:val="auto"/>
              </w:rPr>
              <w:t>Net loss</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(188,913)</w:t>
            </w:r>
          </w:p>
        </w:tc>
        <w:tc>
          <w:tcPr>
            <w:tcW w:w="180" w:type="dxa"/>
            <w:vAlign w:val="bottom"/>
          </w:tcPr>
          <w:p>
            <w:pPr>
              <w:spacing w:after="0"/>
              <w:rPr>
                <w:sz w:val="18"/>
                <w:szCs w:val="18"/>
                <w:color w:val="auto"/>
              </w:rPr>
            </w:pPr>
          </w:p>
        </w:tc>
        <w:tc>
          <w:tcPr>
            <w:tcW w:w="1500" w:type="dxa"/>
            <w:vAlign w:val="bottom"/>
          </w:tcPr>
          <w:p>
            <w:pPr>
              <w:ind w:left="1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(188,913)</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5,137,589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32,651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00" w:type="dxa"/>
            <w:vAlign w:val="bottom"/>
          </w:tcPr>
          <w:p>
            <w:pPr>
              <w:ind w:left="11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32,651</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Common stock sales issuances, net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41,560,303</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272,419</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272,420</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June 30, 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280,968,276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1,740,981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(1,156,535)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584,449</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20"/>
          </w:cols>
          <w:pgMar w:left="320" w:top="121" w:right="359" w:bottom="109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94"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2"/>
        </w:trPr>
        <w:tc>
          <w:tcPr>
            <w:tcW w:w="8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Recursion Pharmaceuticals, Inc.</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7"/>
        </w:trPr>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(in thousands)</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5"/>
        </w:trPr>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23"/>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(374,384)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(188,913)</w:t>
            </w: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43,180</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62,217</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32,651</w:t>
            </w: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Lease expense</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11,755</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5,575</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disposal of a business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9,098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Other receivables and assets</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30,246</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data assets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Accrued data liability</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20,258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(1,145)</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development expense</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(15,213)</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(11,350)</w:t>
            </w:r>
          </w:p>
        </w:tc>
      </w:tr>
      <w:tr>
        <w:trPr>
          <w:trHeight w:val="229"/>
        </w:trPr>
        <w:tc>
          <w:tcPr>
            <w:tcW w:w="80" w:type="dxa"/>
            <w:vAlign w:val="bottom"/>
          </w:tcPr>
          <w:p>
            <w:pPr>
              <w:spacing w:after="0"/>
              <w:rPr>
                <w:sz w:val="19"/>
                <w:szCs w:val="19"/>
                <w:color w:val="auto"/>
              </w:rPr>
            </w:pPr>
          </w:p>
        </w:tc>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r>
      <w:tr>
        <w:trPr>
          <w:trHeight w:val="223"/>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(208,375)</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(184,519)</w:t>
            </w:r>
          </w:p>
        </w:tc>
      </w:tr>
      <w:tr>
        <w:trPr>
          <w:trHeight w:val="162"/>
        </w:trPr>
        <w:tc>
          <w:tcPr>
            <w:tcW w:w="80" w:type="dxa"/>
            <w:vAlign w:val="bottom"/>
          </w:tcPr>
          <w:p>
            <w:pPr>
              <w:spacing w:after="0"/>
              <w:rPr>
                <w:sz w:val="14"/>
                <w:szCs w:val="14"/>
                <w:color w:val="auto"/>
              </w:rPr>
            </w:pPr>
          </w:p>
        </w:tc>
        <w:tc>
          <w:tcPr>
            <w:tcW w:w="7520" w:type="dxa"/>
            <w:vAlign w:val="bottom"/>
            <w:gridSpan w:val="2"/>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Purchase of an intangible asset</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 cash related to disposal of a business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Purchases of investments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r>
      <w:tr>
        <w:trPr>
          <w:trHeight w:val="108"/>
        </w:trPr>
        <w:tc>
          <w:tcPr>
            <w:tcW w:w="80" w:type="dxa"/>
            <w:vAlign w:val="bottom"/>
          </w:tcPr>
          <w:p>
            <w:pPr>
              <w:spacing w:after="0"/>
              <w:rPr>
                <w:sz w:val="9"/>
                <w:szCs w:val="9"/>
                <w:color w:val="auto"/>
              </w:rPr>
            </w:pPr>
          </w:p>
        </w:tc>
        <w:tc>
          <w:tcPr>
            <w:tcW w:w="75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shares, net of issuance costs</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141,024</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272,419</w:t>
            </w: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equity incentive plans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Repayment of long-term debt and finance lease liabilities</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(4,131)</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0" w:type="dxa"/>
            <w:vAlign w:val="bottom"/>
          </w:tcPr>
          <w:p>
            <w:pPr>
              <w:spacing w:after="0"/>
              <w:rPr>
                <w:sz w:val="19"/>
                <w:szCs w:val="19"/>
                <w:color w:val="auto"/>
              </w:rPr>
            </w:pPr>
          </w:p>
        </w:tc>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an intangible asset</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138,186</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277,019</w:t>
            </w:r>
          </w:p>
        </w:tc>
      </w:tr>
      <w:tr>
        <w:trPr>
          <w:trHeight w:val="108"/>
        </w:trPr>
        <w:tc>
          <w:tcPr>
            <w:tcW w:w="80" w:type="dxa"/>
            <w:vAlign w:val="bottom"/>
          </w:tcPr>
          <w:p>
            <w:pPr>
              <w:spacing w:after="0"/>
              <w:rPr>
                <w:sz w:val="9"/>
                <w:szCs w:val="9"/>
                <w:color w:val="auto"/>
              </w:rPr>
            </w:pPr>
          </w:p>
        </w:tc>
        <w:tc>
          <w:tcPr>
            <w:tcW w:w="7520" w:type="dxa"/>
            <w:vAlign w:val="bottom"/>
            <w:gridSpan w:val="2"/>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14,088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95"/>
        </w:trPr>
        <w:tc>
          <w:tcPr>
            <w:tcW w:w="80" w:type="dxa"/>
            <w:vAlign w:val="bottom"/>
          </w:tcPr>
          <w:p>
            <w:pPr>
              <w:spacing w:after="0"/>
              <w:rPr>
                <w:sz w:val="8"/>
                <w:szCs w:val="8"/>
                <w:color w:val="auto"/>
              </w:rPr>
            </w:pPr>
          </w:p>
        </w:tc>
        <w:tc>
          <w:tcPr>
            <w:tcW w:w="7520" w:type="dxa"/>
            <w:vAlign w:val="bottom"/>
            <w:tcBorders>
              <w:bottom w:val="single" w:sz="8" w:color="auto"/>
            </w:tcBorders>
            <w:gridSpan w:val="2"/>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40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r>
      <w:tr>
        <w:trPr>
          <w:trHeight w:val="223"/>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(69,179)</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81,328</w:t>
            </w:r>
          </w:p>
        </w:tc>
      </w:tr>
      <w:tr>
        <w:trPr>
          <w:trHeight w:val="230"/>
        </w:trPr>
        <w:tc>
          <w:tcPr>
            <w:tcW w:w="80" w:type="dxa"/>
            <w:vAlign w:val="bottom"/>
          </w:tcPr>
          <w:p>
            <w:pPr>
              <w:spacing w:after="0"/>
              <w:rPr>
                <w:sz w:val="19"/>
                <w:szCs w:val="19"/>
                <w:color w:val="auto"/>
              </w:rPr>
            </w:pPr>
          </w:p>
        </w:tc>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603,024</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401,425</w:t>
            </w:r>
          </w:p>
        </w:tc>
      </w:tr>
      <w:tr>
        <w:trPr>
          <w:trHeight w:val="223"/>
        </w:trPr>
        <w:tc>
          <w:tcPr>
            <w:tcW w:w="80" w:type="dxa"/>
            <w:vAlign w:val="bottom"/>
          </w:tcPr>
          <w:p>
            <w:pPr>
              <w:spacing w:after="0"/>
              <w:rPr>
                <w:sz w:val="19"/>
                <w:szCs w:val="19"/>
                <w:color w:val="auto"/>
              </w:rPr>
            </w:pPr>
          </w:p>
        </w:tc>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533,845</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482,753</w:t>
            </w:r>
          </w:p>
        </w:tc>
      </w:tr>
      <w:tr>
        <w:trPr>
          <w:trHeight w:val="20"/>
        </w:trPr>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2"/>
        </w:trPr>
        <w:tc>
          <w:tcPr>
            <w:tcW w:w="80" w:type="dxa"/>
            <w:vAlign w:val="bottom"/>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63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property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Purchase of an equity investment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4,438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an intangible asset</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bl>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Recursion Pharmaceuticals, Inc. (“Recursion” or the “Company”) is a clinical stage TechBio company decoding biology and chemistry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June 30, 2025, the Company had an accumulated deficit of $1.8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June 30, 2025,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2024.</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is management’s opinion that these condensed consolidated financial statements include all normal and recurring adjustments necessary for a fair statement of the financial position, results of operations and cash flows for the periods presented. Revenue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July 2025, congress approved the One Big Beautiful Bill Act (OBBBA), which extends, with modifications, many of the expiring provisions of the Tax Cuts and Jobs Act (TCJA) and makes additional changes to tax laws and regulations. OBBBA includes a broad array of changes including new and modified incentives for business investment and Inflation Reduction Act (IRA) tax credits and various limits on business tax deductions. It also</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impacts the deduction of research and development costs and property, plant and equipment costs. Recursion is currently assessing the impact of the enactment on its consolidated financial statements.</w:t>
      </w:r>
    </w:p>
    <w:p>
      <w:pPr>
        <w:spacing w:after="0" w:line="1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No. 2024-03, </w:t>
      </w:r>
      <w:r>
        <w:rPr>
          <w:rFonts w:ascii="Arial" w:cs="Arial" w:eastAsia="Arial" w:hAnsi="Arial"/>
          <w:sz w:val="18"/>
          <w:szCs w:val="18"/>
          <w:i w:val="1"/>
          <w:iCs w:val="1"/>
          <w:color w:val="auto"/>
        </w:rPr>
        <w:t>Disaggregation of Income Statement Expenses (Topic 220)</w:t>
      </w:r>
      <w:r>
        <w:rPr>
          <w:rFonts w:ascii="Arial" w:cs="Arial" w:eastAsia="Arial" w:hAnsi="Arial"/>
          <w:sz w:val="18"/>
          <w:szCs w:val="18"/>
          <w:color w:val="auto"/>
        </w:rPr>
        <w:t>. The standard requires new disclosures in the notes to the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 that are not separately disaggregated. This standard will be effective for Recursion starting the annual period ending December 31, 2027 and for interim reporting periods within annual reporting periods beginning after December 15, 2027. Early adoption is permitted. The amendments can be applied on a prospective or retrospective basis. Recursion is currently assessing the impact of adopting this guidance on its consolidated financial statements.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2023, the FASB issued ASU No. 2023-9,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new standard updates disclosure requirements for Accounting Standards Codification (ASC) 740 primarily by requiring additional information in the income tax rate reconciliation and additional disclosures about income taxes paid. This standard will be effective for Recursion starting the annual period ending December 31, 2025. The amendments can be applied on a prospective or retrospective basis. Recursion is currently assessing the impact of adopting this guidance on its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November 2023</w:t>
      </w:r>
      <w:r>
        <w:rPr>
          <w:rFonts w:ascii="Arial" w:cs="Arial" w:eastAsia="Arial" w:hAnsi="Arial"/>
          <w:sz w:val="18"/>
          <w:szCs w:val="18"/>
          <w:color w:val="1E1E1E"/>
        </w:rPr>
        <w:t xml:space="preserve">, Recursion entered into a </w:t>
      </w:r>
      <w:r>
        <w:rPr>
          <w:rFonts w:ascii="Arial" w:cs="Arial" w:eastAsia="Arial" w:hAnsi="Arial"/>
          <w:sz w:val="18"/>
          <w:szCs w:val="18"/>
          <w:color w:val="000000"/>
        </w:rPr>
        <w:t>five</w:t>
      </w:r>
      <w:r>
        <w:rPr>
          <w:rFonts w:ascii="Arial" w:cs="Arial" w:eastAsia="Arial" w:hAnsi="Arial"/>
          <w:sz w:val="18"/>
          <w:szCs w:val="18"/>
          <w:color w:val="1E1E1E"/>
        </w:rPr>
        <w:t xml:space="preserve">-year agreement </w:t>
      </w:r>
      <w:r>
        <w:rPr>
          <w:rFonts w:ascii="Arial" w:cs="Arial" w:eastAsia="Arial" w:hAnsi="Arial"/>
          <w:sz w:val="18"/>
          <w:szCs w:val="18"/>
          <w:color w:val="000000"/>
        </w:rPr>
        <w:t>(the Tempus Agreement)</w:t>
      </w:r>
      <w:r>
        <w:rPr>
          <w:rFonts w:ascii="Arial" w:cs="Arial" w:eastAsia="Arial" w:hAnsi="Arial"/>
          <w:sz w:val="18"/>
          <w:szCs w:val="18"/>
          <w:color w:val="1E1E1E"/>
        </w:rPr>
        <w:t xml:space="preserve"> with Tempus Labs, Inc. </w:t>
      </w:r>
      <w:r>
        <w:rPr>
          <w:rFonts w:ascii="Arial" w:cs="Arial" w:eastAsia="Arial" w:hAnsi="Arial"/>
          <w:sz w:val="18"/>
          <w:szCs w:val="18"/>
          <w:color w:val="000000"/>
        </w:rPr>
        <w:t>(“Tempus”) t</w:t>
      </w:r>
      <w:r>
        <w:rPr>
          <w:rFonts w:ascii="Arial" w:cs="Arial" w:eastAsia="Arial" w:hAnsi="Arial"/>
          <w:sz w:val="18"/>
          <w:szCs w:val="18"/>
          <w:color w:val="1E1E1E"/>
        </w:rPr>
        <w:t xml:space="preserve">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w:t>
      </w:r>
      <w:r>
        <w:rPr>
          <w:rFonts w:ascii="Arial" w:cs="Arial" w:eastAsia="Arial" w:hAnsi="Arial"/>
          <w:sz w:val="18"/>
          <w:szCs w:val="18"/>
          <w:color w:val="000000"/>
        </w:rPr>
        <w:t>$22.0 million</w:t>
      </w:r>
      <w:r>
        <w:rPr>
          <w:rFonts w:ascii="Arial" w:cs="Arial" w:eastAsia="Arial" w:hAnsi="Arial"/>
          <w:sz w:val="18"/>
          <w:szCs w:val="18"/>
          <w:color w:val="1E1E1E"/>
        </w:rPr>
        <w:t xml:space="preserve"> and </w:t>
      </w:r>
      <w:r>
        <w:rPr>
          <w:rFonts w:ascii="Arial" w:cs="Arial" w:eastAsia="Arial" w:hAnsi="Arial"/>
          <w:sz w:val="18"/>
          <w:szCs w:val="18"/>
          <w:color w:val="000000"/>
        </w:rPr>
        <w:t>$42.0 million</w:t>
      </w:r>
      <w:r>
        <w:rPr>
          <w:rFonts w:ascii="Arial" w:cs="Arial" w:eastAsia="Arial" w:hAnsi="Arial"/>
          <w:sz w:val="18"/>
          <w:szCs w:val="18"/>
          <w:color w:val="1E1E1E"/>
        </w:rPr>
        <w:t xml:space="preserve">, up to </w:t>
      </w:r>
      <w:r>
        <w:rPr>
          <w:rFonts w:ascii="Arial" w:cs="Arial" w:eastAsia="Arial" w:hAnsi="Arial"/>
          <w:sz w:val="18"/>
          <w:szCs w:val="18"/>
          <w:color w:val="000000"/>
        </w:rPr>
        <w:t>$160.0 million</w:t>
      </w:r>
      <w:r>
        <w:rPr>
          <w:rFonts w:ascii="Arial" w:cs="Arial" w:eastAsia="Arial" w:hAnsi="Arial"/>
          <w:sz w:val="18"/>
          <w:szCs w:val="18"/>
          <w:color w:val="1E1E1E"/>
        </w:rPr>
        <w:t xml:space="preserve">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Recursion is expensing the record purchases based on a contractually agreed price as “Research and Development” expenses in the Condensed Consolidated Statements of Operations as the records are downloaded. To the extent that the Recursion payments to Tempus are greater than or less than the records purchased amount, Recursion records the applicable amount to “Prepaid data assets” or “Accrued data liability” on the Condensed Consolidated Balance Sheet, respectively. The expense for the record purchases is $22.7 million and $49.9 million for the three and six months ended June 30, 2025, respectively. For the three and six months ended June 30, 2024, Recursion recorded $2.9 million of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82"/>
        </w:trPr>
        <w:tc>
          <w:tcPr>
            <w:tcW w:w="56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50,853</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2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6,871</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5,812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2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2,215</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received not invoiced</w:t>
            </w:r>
          </w:p>
        </w:tc>
        <w:tc>
          <w:tcPr>
            <w:tcW w:w="2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license fees</w:t>
            </w:r>
          </w:p>
        </w:tc>
        <w:tc>
          <w:tcPr>
            <w:tcW w:w="2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2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16,735</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 and other liabilities</w:t>
            </w:r>
          </w:p>
        </w:tc>
        <w:tc>
          <w:tcPr>
            <w:tcW w:w="2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81,872</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June 2025, Recursion announced a reduction in personnel program to help streamline the Company's operating strategy and post-integration efficiencies. These changes are expected to result in a workforce reduction of approximately 20%. The Company estimates that it will incur approximately $9.3 million in charges for the workforce reduction, consisting of severance payments and employee benefits. Recursion expects to incur all of these expenses in the year ending December 31, 2025. Recursion records these costs in “General and Administrative” on the Condensed Consolidated Statement of Operations as incurred. The following summarizes the activity related to these restructuring actions and the related accrual as of June 30, 2025:</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0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8,443</w:t>
            </w:r>
          </w:p>
        </w:tc>
        <w:tc>
          <w:tcPr>
            <w:tcW w:w="220" w:type="dxa"/>
            <w:vAlign w:val="bottom"/>
          </w:tcPr>
          <w:p>
            <w:pPr>
              <w:spacing w:after="0"/>
              <w:rPr>
                <w:sz w:val="19"/>
                <w:szCs w:val="19"/>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20" w:type="dxa"/>
            <w:vAlign w:val="bottom"/>
          </w:tcPr>
          <w:p>
            <w:pPr>
              <w:spacing w:after="0"/>
              <w:rPr>
                <w:sz w:val="19"/>
                <w:szCs w:val="19"/>
                <w:color w:val="auto"/>
              </w:rPr>
            </w:pP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June 30, 2025</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220" w:type="dxa"/>
            <w:vAlign w:val="bottom"/>
          </w:tcPr>
          <w:p>
            <w:pPr>
              <w:spacing w:after="0"/>
              <w:rPr>
                <w:sz w:val="19"/>
                <w:szCs w:val="19"/>
                <w:color w:val="auto"/>
              </w:rPr>
            </w:pP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59"/>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Net</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4"/>
        </w:trPr>
        <w:tc>
          <w:tcPr>
            <w:tcW w:w="4940" w:type="dxa"/>
            <w:vAlign w:val="bottom"/>
          </w:tcPr>
          <w:p>
            <w:pPr>
              <w:spacing w:after="0"/>
              <w:rPr>
                <w:sz w:val="24"/>
                <w:szCs w:val="24"/>
                <w:color w:val="auto"/>
              </w:rPr>
            </w:pPr>
          </w:p>
        </w:tc>
        <w:tc>
          <w:tcPr>
            <w:tcW w:w="2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9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7,313</w:t>
            </w: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(414)</w:t>
            </w:r>
          </w:p>
        </w:tc>
      </w:tr>
      <w:tr>
        <w:trPr>
          <w:trHeight w:val="248"/>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6,899</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For the three and six months ended June 30, 2025 and 2024, interest income primarily related to earnings on cash and cash equivalents in money market funds. Interest expense primarily related to the Company’s supercomputer financing lease. Interest income, net was included in “Other income (loss), net” on the Condensed Consolidated Statements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Exscientia plc</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2024, Recursion acquired all of the outstanding equity interests of Exscientia plc (“Exscientia”), a United Kingdom based public company that was registered on the Nasdaq Global Select Market. Exscientia is a drug design company utilizing its artificial intelligence platform to efficiently design and develop differentiated medicines for diseases with high unmet patient needs. Their focus is on utilizing their platform to develop best in class molecules with improvements to known or likely points of failure to improve the probability of developmental success. The Company believes the combination of the Recursion and Exscientia platforms and pipelines will position it to be a leader of the AI-enabled drug discovery and development space.</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acquisition of Exscientia was accounted for as a business combination using the acquisition method of accounting. The consideration transferred of approximately $630.1 million consisted of $616.9 million in Recursion Class A shares and $13.2 million related to the portion of Exscientia share based awards that were replaced with Recursion share based awards that is attributable to pre-combination service. Approximately 102.1 million Recursion Class A shares were issued in exchange for Exscientia ordinary shares using a fixed exchange ratio of one Exscientia ordinary share converts to 0.7729 Recursion Class A shares (the “Exchange Ratio”). In addition, Recursion replaced all outstanding Exscientia share based awards with Recursion share based awards wherein the vesting schedule and other applicable terms were carried over except for the exercise price of share options which were adjusted using the 0.7729 exchange ratio. This included Exscientia’s stock options and restricted stock units. Recursion used $6.04, the Company’s share price on November 20, 2024 to calculate the consideration transferred. See Note 10, “Stock-Based Compensation” for additional information on the Exscientia share 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six months ended June 30, 2025, Recursion updated the deferred tax liabilities from the acquisition, which were incomplete as of December 31, 2024. As a result, Recursion adjusted the provisional deferred tax liabilities to reflect the additional information obtained about the facts and circumstances that existed as of the acquisition date. As a result, deferred tax liabilities and goodwill increased by $6.0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3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277,104</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48,408</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61,961</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Intangible assets, technology</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182,000</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indefinite-lived</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(40,780)</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(21,679)</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(120,905)</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(23,077)</w:t>
            </w:r>
          </w:p>
        </w:tc>
      </w:tr>
      <w:tr>
        <w:trPr>
          <w:trHeight w:val="25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liabilities</w:t>
            </w:r>
          </w:p>
        </w:tc>
        <w:tc>
          <w:tcPr>
            <w:tcW w:w="3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r>
      <w:tr>
        <w:trPr>
          <w:trHeight w:val="25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3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526,438</w:t>
            </w:r>
          </w:p>
        </w:tc>
      </w:tr>
      <w:tr>
        <w:trPr>
          <w:trHeight w:val="25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w:t>
            </w:r>
          </w:p>
        </w:tc>
        <w:tc>
          <w:tcPr>
            <w:tcW w:w="3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103,686</w:t>
            </w:r>
          </w:p>
        </w:tc>
      </w:tr>
      <w:tr>
        <w:trPr>
          <w:trHeight w:val="252"/>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acquired and liabilities assumed</w:t>
            </w:r>
          </w:p>
        </w:tc>
        <w:tc>
          <w:tcPr>
            <w:tcW w:w="33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630,124</w:t>
            </w: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Acquired contract liabilities in the scope of ASC 606 are an exception to the ASC 805 fair value measurement principle and were measured as if Recursion had originated the acquired contract. Two acquired customer contracts had contract liabilities and for each contract Recursion reassessed the identification of performance obligations, determination of transaction price, allocation of transaction price and measure of progress for each performance obligation as if Recursion has been party to the original contract and recognized the resulting contract liability as a liability assumed. No contract assets in the scope of ASC 606 were acquired.</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intangible assets of Exscientia consist of the Exscientia artificial intelligence platform and four clinical stage oncology in process research and development (IPR&amp;D) assets. The operating system is a critical tool used for both designing molecules for fulfilling collaboration agreements and Exscientia’s own research and development projects. The fair value of each intangible asset was valued based on the present value of future discounted cash flows prepared under the multi-period excess earnings method with the significant inputs being the estimates of future revenues, future expenses, the discount rate of 10.5% and probabilities of technological and regulatory success. The platform asset is being amortized on a straight line basis over a six year useful life. The IPR&amp;D assets have been assigned an indefinite useful life and will be tested for impairment prospectively and, if regulatory approval is achieved, will be assigned a useful life and amortization will commence.</w:t>
      </w:r>
    </w:p>
    <w:p>
      <w:pPr>
        <w:spacing w:after="0" w:line="21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Goodwill was calculated based on the excess of the consideration transferred over net assets acquired. The goodwill recognized represents the assembled workforce, future research and development projects enabled by the platform that do not yet have sufficient substance to meet the definition of in-process research and development assets and expected synergies such as the integration of Recursion and Exscientia platforms. The goodwill is not deductible for tax purposes.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Recursion’s consolidated statement of operations for the six months ended June 30, 2025 includes $12.7 million of revenue and $ 72.1 million of operating loss from Exscientia operations. As the business combination occurred in November 2024, Recursion is still finalizing the allocation of the purchase price to assets acquired and liabilities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assumed. The preliminary purchase price allocation reflected in the June 30, 2025 balance sheet is based on the current best estimate of management and subject to change. The Company will finalize the amounts recognized as the information necessary to complete the analysis is obtained and management estimates are further refined. The primary areas subject to finalization are the valuation of intangible assets, right-of-use assets, property and equipment and the valuation of tax assets and liabilities. The Company expects to finalize the purchase price allocation soon but will do so no later than one year from the acquisition date. External specialists have been engaged to assist with certain elements of applying the acquisition method of accounting.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0"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The following pro forma summary presents consolidated revenue and earnings of Recursion as if the Exscientia business combination had occurred on January 1, 2023</w:t>
      </w:r>
      <w:r>
        <w:rPr>
          <w:rFonts w:ascii="Arial" w:cs="Arial" w:eastAsia="Arial" w:hAnsi="Arial"/>
          <w:sz w:val="18"/>
          <w:szCs w:val="18"/>
          <w:color w:val="008080"/>
        </w:rPr>
        <w:t>.</w:t>
      </w:r>
    </w:p>
    <w:tbl>
      <w:tblPr>
        <w:tblLayout w:type="fixed"/>
        <w:tblInd w:w="0" w:type="dxa"/>
        <w:tblCellMar>
          <w:top w:w="0" w:type="dxa"/>
          <w:left w:w="0" w:type="dxa"/>
          <w:bottom w:w="0" w:type="dxa"/>
          <w:right w:w="0" w:type="dxa"/>
        </w:tblCellMar>
      </w:tblPr>
      <w:tr>
        <w:trPr>
          <w:trHeight w:val="204"/>
        </w:trPr>
        <w:tc>
          <w:tcPr>
            <w:tcW w:w="35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500" w:type="dxa"/>
            <w:vAlign w:val="bottom"/>
          </w:tcPr>
          <w:p>
            <w:pPr>
              <w:jc w:val="center"/>
              <w:ind w:right="130"/>
              <w:spacing w:after="0" w:line="204" w:lineRule="exact"/>
              <w:rPr>
                <w:sz w:val="20"/>
                <w:szCs w:val="20"/>
                <w:color w:val="auto"/>
              </w:rPr>
            </w:pPr>
            <w:r>
              <w:rPr>
                <w:rFonts w:ascii="Arial" w:cs="Arial" w:eastAsia="Arial" w:hAnsi="Arial"/>
                <w:sz w:val="18"/>
                <w:szCs w:val="18"/>
                <w:b w:val="1"/>
                <w:bCs w:val="1"/>
                <w:color w:val="auto"/>
                <w:w w:val="99"/>
              </w:rPr>
              <w:t>Three months ended June</w:t>
            </w:r>
          </w:p>
        </w:tc>
        <w:tc>
          <w:tcPr>
            <w:tcW w:w="240" w:type="dxa"/>
            <w:vAlign w:val="bottom"/>
          </w:tcPr>
          <w:p>
            <w:pPr>
              <w:spacing w:after="0"/>
              <w:rPr>
                <w:sz w:val="17"/>
                <w:szCs w:val="17"/>
                <w:color w:val="auto"/>
              </w:rPr>
            </w:pPr>
          </w:p>
        </w:tc>
        <w:tc>
          <w:tcPr>
            <w:tcW w:w="2440" w:type="dxa"/>
            <w:vAlign w:val="bottom"/>
          </w:tcPr>
          <w:p>
            <w:pPr>
              <w:jc w:val="center"/>
              <w:ind w:right="30"/>
              <w:spacing w:after="0" w:line="204" w:lineRule="exact"/>
              <w:rPr>
                <w:sz w:val="20"/>
                <w:szCs w:val="20"/>
                <w:color w:val="auto"/>
              </w:rPr>
            </w:pPr>
            <w:r>
              <w:rPr>
                <w:rFonts w:ascii="Arial" w:cs="Arial" w:eastAsia="Arial" w:hAnsi="Arial"/>
                <w:sz w:val="18"/>
                <w:szCs w:val="18"/>
                <w:b w:val="1"/>
                <w:bCs w:val="1"/>
                <w:color w:val="auto"/>
                <w:w w:val="99"/>
              </w:rPr>
              <w:t>Six months ended June 30,</w:t>
            </w:r>
          </w:p>
        </w:tc>
      </w:tr>
      <w:tr>
        <w:trPr>
          <w:trHeight w:val="260"/>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Pr>
          <w:p>
            <w:pPr>
              <w:spacing w:after="0"/>
              <w:rPr>
                <w:sz w:val="22"/>
                <w:szCs w:val="22"/>
                <w:color w:val="auto"/>
              </w:rPr>
            </w:pPr>
          </w:p>
        </w:tc>
        <w:tc>
          <w:tcPr>
            <w:tcW w:w="2500" w:type="dxa"/>
            <w:vAlign w:val="bottom"/>
          </w:tcPr>
          <w:p>
            <w:pPr>
              <w:jc w:val="right"/>
              <w:ind w:right="930"/>
              <w:spacing w:after="0"/>
              <w:rPr>
                <w:sz w:val="20"/>
                <w:szCs w:val="20"/>
                <w:color w:val="auto"/>
              </w:rPr>
            </w:pPr>
            <w:r>
              <w:rPr>
                <w:rFonts w:ascii="Arial" w:cs="Arial" w:eastAsia="Arial" w:hAnsi="Arial"/>
                <w:sz w:val="18"/>
                <w:szCs w:val="18"/>
                <w:b w:val="1"/>
                <w:bCs w:val="1"/>
                <w:color w:val="auto"/>
              </w:rPr>
              <w:t>30, 2024</w:t>
            </w:r>
          </w:p>
        </w:tc>
        <w:tc>
          <w:tcPr>
            <w:tcW w:w="240" w:type="dxa"/>
            <w:vAlign w:val="bottom"/>
          </w:tcPr>
          <w:p>
            <w:pPr>
              <w:spacing w:after="0"/>
              <w:rPr>
                <w:sz w:val="22"/>
                <w:szCs w:val="22"/>
                <w:color w:val="auto"/>
              </w:rPr>
            </w:pPr>
          </w:p>
        </w:tc>
        <w:tc>
          <w:tcPr>
            <w:tcW w:w="2440" w:type="dxa"/>
            <w:vAlign w:val="bottom"/>
          </w:tcPr>
          <w:p>
            <w:pPr>
              <w:jc w:val="right"/>
              <w:ind w:right="990"/>
              <w:spacing w:after="0"/>
              <w:rPr>
                <w:sz w:val="20"/>
                <w:szCs w:val="20"/>
                <w:color w:val="auto"/>
              </w:rPr>
            </w:pPr>
            <w:r>
              <w:rPr>
                <w:rFonts w:ascii="Arial" w:cs="Arial" w:eastAsia="Arial" w:hAnsi="Arial"/>
                <w:sz w:val="18"/>
                <w:szCs w:val="18"/>
                <w:b w:val="1"/>
                <w:bCs w:val="1"/>
                <w:color w:val="auto"/>
              </w:rPr>
              <w:t>2024</w:t>
            </w:r>
          </w:p>
        </w:tc>
      </w:tr>
      <w:tr>
        <w:trPr>
          <w:trHeight w:val="56"/>
        </w:trPr>
        <w:tc>
          <w:tcPr>
            <w:tcW w:w="350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r>
      <w:tr>
        <w:trPr>
          <w:trHeight w:val="25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43,595</w:t>
            </w:r>
          </w:p>
        </w:tc>
      </w:tr>
      <w:tr>
        <w:trPr>
          <w:trHeight w:val="25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loss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(183,423)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(309,568)</w:t>
            </w:r>
          </w:p>
        </w:tc>
      </w:tr>
    </w:tbl>
    <w:p>
      <w:pPr>
        <w:spacing w:after="0" w:line="3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 forma amounts have been calculated after converting the Exscientia financial information to U.S. GAAP, applying Recursion accounting policies and applying the acquisition method of accounting at January 1, 2023. The pro forma financial information is not necessarily indicative of what the consolidated results of operations would have been had the acquisition been completed on January 1, 2023. In addition, the pro forma financial information is not a projection of the future results of operations of the combined company nor does it reflect the expected realization of any cost savings or synergies associated with the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Exscientia GmbH</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2025, Recursion completed the sale of its Austrian operations (Exscientia GmbH) to a newly formed company, Alpha Biotechnology GmbH (Alpha). As part of the sale, Recursion obtained a 49% equity interest in Alpha. Recursion entered into this transaction as part of focusing its efforts and moderating spend. Alpha is a company leveraging a patient-tissue platform for the development of precision therapeutics for the treatment of hematological and solid cancers. For the six months ended June 30, 2025, Recursion recorded a loss on the disposal of Exscientia GmbH of $4.5 million, which was classified as “Other income (loss), net” on the Condensed Consolidated Statement of Operations. Recursion also recorded a $ 4.4 million investment on the Condensed Consolidated Balance Sheet within “Other assets, non-current” related to its 49% equity interest in Alpha, which was determined to be an equity method investment.</w:t>
      </w:r>
    </w:p>
    <w:p>
      <w:pPr>
        <w:spacing w:after="0" w:line="200" w:lineRule="exact"/>
        <w:rPr>
          <w:sz w:val="20"/>
          <w:szCs w:val="20"/>
          <w:color w:val="auto"/>
        </w:rPr>
      </w:pP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has entered into various long-term real estate operating leases primarily related to office, research and development and operating activities and an equipment financing lease related to the supercomputer. The Company’s leases have remaining terms from under one year to eight years and some of those leases include options that provide Recursion with the ability to extend the lease term, generally for five years. The options are included in the lease term when it is reasonably certain that the option will be exercised.</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six months ended June 30, 2025, Recursion entered into lease modifications and termination resulting in a decrease to the right-of-use asset and lease liability of $10.1 million. This impact included the lease surrender of the Vienna facilities of Exscientia GmbH in March, which resulted in a $5.2 million reduction to both the right-of-use asset and lease liability. In connection with this surrender, the Company also incurred a lease termination fee of $5.2 million, which was classified as “Other income (loss), net” on the Condensed Consolidated Statement of Operations. Additionally, the Company entered into a lease modification related to the Schrodinger leases to decrease the lease terms, which now ended during the second quarter of 2025. This resulted in a decrease to both the right-of-use asset and lease liability by $4.9 million. As a part of the lease modifications and termination, Recursion recorded leasehold impairments of $6.0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six months ended June 30, 2024, Recursion entered into lease modifications and additions resulting in a increase to the right-of-use asset and lease liability of $13.7 million. The modifications had no impact to the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w:t>
      </w:r>
    </w:p>
    <w:p>
      <w:pPr>
        <w:spacing w:after="0" w:line="50"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 included in the measurement of lease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9,957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6,579</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financing leases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Financing cash flows from financing leases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4,077</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6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Right-of-use assets additions, modifications and termination:</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Financing leases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29,547</w:t>
            </w:r>
          </w:p>
        </w:tc>
      </w:tr>
      <w:tr>
        <w:trPr>
          <w:trHeight w:val="802"/>
        </w:trPr>
        <w:tc>
          <w:tcPr>
            <w:tcW w:w="7620" w:type="dxa"/>
            <w:vAlign w:val="bottom"/>
          </w:tcPr>
          <w:p>
            <w:pPr>
              <w:spacing w:after="0"/>
              <w:rPr>
                <w:sz w:val="20"/>
                <w:szCs w:val="20"/>
                <w:color w:val="auto"/>
              </w:rPr>
            </w:pPr>
            <w:r>
              <w:rPr>
                <w:rFonts w:ascii="Arial" w:cs="Arial" w:eastAsia="Arial" w:hAnsi="Arial"/>
                <w:sz w:val="18"/>
                <w:szCs w:val="18"/>
                <w:b w:val="1"/>
                <w:bCs w:val="1"/>
                <w:color w:val="auto"/>
              </w:rPr>
              <w:t>Note 6.  Goodwill and Intangible Assets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9"/>
        </w:trPr>
        <w:tc>
          <w:tcPr>
            <w:tcW w:w="762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1"/>
        </w:trPr>
        <w:tc>
          <w:tcPr>
            <w:tcW w:w="7620" w:type="dxa"/>
            <w:vAlign w:val="bottom"/>
          </w:tcPr>
          <w:p>
            <w:pPr>
              <w:spacing w:after="0"/>
              <w:rPr>
                <w:sz w:val="20"/>
                <w:szCs w:val="20"/>
                <w:color w:val="auto"/>
              </w:rPr>
            </w:pPr>
            <w:r>
              <w:rPr>
                <w:rFonts w:ascii="Arial" w:cs="Arial" w:eastAsia="Arial" w:hAnsi="Arial"/>
                <w:sz w:val="18"/>
                <w:szCs w:val="18"/>
                <w:color w:val="auto"/>
              </w:rPr>
              <w:t>The following table summarizes the changes in the carrying amount of goodwill:</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4"/>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148,873</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5,947</w:t>
            </w:r>
          </w:p>
        </w:tc>
      </w:tr>
      <w:tr>
        <w:trPr>
          <w:trHeight w:val="229"/>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June 30, 2025</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164,270</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 goodwill impairment was recorded during the three and six months ended June 30, 2025 and 2024.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June 30, 2025</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December 31, 2024</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6"/>
              <w:spacing w:after="0" w:line="147"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00" w:type="dxa"/>
            <w:vAlign w:val="bottom"/>
          </w:tcPr>
          <w:p>
            <w:pPr>
              <w:jc w:val="right"/>
              <w:ind w:right="56"/>
              <w:spacing w:after="0" w:line="147" w:lineRule="exact"/>
              <w:rPr>
                <w:sz w:val="20"/>
                <w:szCs w:val="20"/>
                <w:color w:val="auto"/>
              </w:rPr>
            </w:pPr>
            <w:r>
              <w:rPr>
                <w:rFonts w:ascii="Arial" w:cs="Arial" w:eastAsia="Arial" w:hAnsi="Arial"/>
                <w:sz w:val="14"/>
                <w:szCs w:val="14"/>
                <w:b w:val="1"/>
                <w:bCs w:val="1"/>
                <w:color w:val="auto"/>
              </w:rPr>
              <w:t>Gross carrying</w:t>
            </w:r>
          </w:p>
        </w:tc>
        <w:tc>
          <w:tcPr>
            <w:tcW w:w="280" w:type="dxa"/>
            <w:vAlign w:val="bottom"/>
          </w:tcPr>
          <w:p>
            <w:pPr>
              <w:spacing w:after="0"/>
              <w:rPr>
                <w:sz w:val="12"/>
                <w:szCs w:val="12"/>
                <w:color w:val="auto"/>
              </w:rPr>
            </w:pPr>
          </w:p>
        </w:tc>
        <w:tc>
          <w:tcPr>
            <w:tcW w:w="1300" w:type="dxa"/>
            <w:vAlign w:val="bottom"/>
          </w:tcPr>
          <w:p>
            <w:pPr>
              <w:jc w:val="center"/>
              <w:ind w:right="116"/>
              <w:spacing w:after="0" w:line="14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6"/>
              <w:spacing w:after="0" w:line="147"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7"/>
        </w:trPr>
        <w:tc>
          <w:tcPr>
            <w:tcW w:w="24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Definite-lived technology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240,206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(46,854)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193,352</w:t>
            </w:r>
          </w:p>
        </w:tc>
        <w:tc>
          <w:tcPr>
            <w:tcW w:w="2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224,362</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(24,544)</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199,818</w:t>
            </w:r>
          </w:p>
        </w:tc>
        <w:tc>
          <w:tcPr>
            <w:tcW w:w="0" w:type="dxa"/>
            <w:vAlign w:val="bottom"/>
          </w:tcPr>
          <w:p>
            <w:pPr>
              <w:spacing w:after="0"/>
              <w:rPr>
                <w:sz w:val="1"/>
                <w:szCs w:val="1"/>
                <w:color w:val="auto"/>
              </w:rPr>
            </w:pPr>
          </w:p>
        </w:tc>
      </w:tr>
      <w:tr>
        <w:trPr>
          <w:trHeight w:val="235"/>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Definite-lived licensed</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11,618</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(4,302)</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7,316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9,350</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Indefinite-lived intangible</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140,651</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140,651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341,319</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362,487</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335,855</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Amortization expense was $12.3 million and $24.0 million during the three and six months ended June 30, 2025, respectively. Amortization expense was $3.9 million and $7.2 million during the three and six months ended June 30, 2024, respectively. Amortization expense was included in “Research and Development” and “Cost of Revenue” in the Condensed Consolidated Statements of Operations. No indefinite-lived intangible asset impairment charges were recorded during the three and six months ended June 30,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 it pays under its indemnification obligations. The Company had no liabilities recorded for these agreements as of June 30, 2025 and December 31, 2024, as no amounts were probable.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1E1E1E"/>
        </w:rPr>
        <w:t>April 2024</w:t>
      </w:r>
      <w:r>
        <w:rPr>
          <w:rFonts w:ascii="Arial" w:cs="Arial" w:eastAsia="Arial" w:hAnsi="Arial"/>
          <w:sz w:val="17"/>
          <w:szCs w:val="17"/>
          <w:color w:val="auto"/>
        </w:rPr>
        <w:t>, a putative class action complaint was filed in the U.S. District Court for the District of New Jersey against Exscientia plc, Andrew Hopkins, Ben R. Taylor and David Nicholson (</w:t>
      </w:r>
      <w:r>
        <w:rPr>
          <w:rFonts w:ascii="Arial" w:cs="Arial" w:eastAsia="Arial" w:hAnsi="Arial"/>
          <w:sz w:val="17"/>
          <w:szCs w:val="17"/>
          <w:i w:val="1"/>
          <w:iCs w:val="1"/>
          <w:color w:val="auto"/>
        </w:rPr>
        <w:t>Campanile v. Exscientia plc,</w:t>
      </w:r>
      <w:r>
        <w:rPr>
          <w:rFonts w:ascii="Arial" w:cs="Arial" w:eastAsia="Arial" w:hAnsi="Arial"/>
          <w:sz w:val="17"/>
          <w:szCs w:val="17"/>
          <w:color w:val="auto"/>
        </w:rPr>
        <w:t xml:space="preserve"> Case No. 1:24-cv-05692). In </w:t>
      </w:r>
      <w:r>
        <w:rPr>
          <w:rFonts w:ascii="Arial" w:cs="Arial" w:eastAsia="Arial" w:hAnsi="Arial"/>
          <w:sz w:val="17"/>
          <w:szCs w:val="17"/>
          <w:color w:val="1E1E1E"/>
        </w:rPr>
        <w:t>June 2024</w:t>
      </w:r>
      <w:r>
        <w:rPr>
          <w:rFonts w:ascii="Arial" w:cs="Arial" w:eastAsia="Arial" w:hAnsi="Arial"/>
          <w:sz w:val="17"/>
          <w:szCs w:val="17"/>
          <w:color w:val="auto"/>
        </w:rPr>
        <w:t xml:space="preserve">, a separate complaint was filed against the same defendants in the U.S. District Court for the District of New Jersey (Case 1:24-cv-07181). Both complaints allege that the defendants violated federal securities laws by, among other things, making materially false and misleading statements regarding Exscientia’s business, operations and prospects. The complaints seek unspecified compensatory damages, as well as an award of reasonable attorneys’ fees and other costs, on behalf of persons and/or entities which purchased Exscientia securities between </w:t>
      </w:r>
      <w:r>
        <w:rPr>
          <w:rFonts w:ascii="Arial" w:cs="Arial" w:eastAsia="Arial" w:hAnsi="Arial"/>
          <w:sz w:val="17"/>
          <w:szCs w:val="17"/>
          <w:color w:val="1E1E1E"/>
        </w:rPr>
        <w:t xml:space="preserve">March 2022 </w:t>
      </w:r>
      <w:r>
        <w:rPr>
          <w:rFonts w:ascii="Arial" w:cs="Arial" w:eastAsia="Arial" w:hAnsi="Arial"/>
          <w:sz w:val="17"/>
          <w:szCs w:val="17"/>
          <w:color w:val="000000"/>
        </w:rPr>
        <w:t>and</w:t>
      </w:r>
      <w:r>
        <w:rPr>
          <w:rFonts w:ascii="Arial" w:cs="Arial" w:eastAsia="Arial" w:hAnsi="Arial"/>
          <w:sz w:val="17"/>
          <w:szCs w:val="17"/>
          <w:color w:val="1E1E1E"/>
        </w:rPr>
        <w:t xml:space="preserve"> February 2024</w:t>
      </w:r>
      <w:r>
        <w:rPr>
          <w:rFonts w:ascii="Arial" w:cs="Arial" w:eastAsia="Arial" w:hAnsi="Arial"/>
          <w:sz w:val="17"/>
          <w:szCs w:val="17"/>
          <w:color w:val="000000"/>
        </w:rPr>
        <w:t>. The cases were consolidated and plaintiffs filed an amended complaint on November 11, 2024 against</w:t>
      </w:r>
      <w:r>
        <w:rPr>
          <w:rFonts w:ascii="Arial" w:cs="Arial" w:eastAsia="Arial" w:hAnsi="Arial"/>
          <w:sz w:val="17"/>
          <w:szCs w:val="17"/>
          <w:color w:val="1E1E1E"/>
        </w:rPr>
        <w:t xml:space="preserve"> </w:t>
      </w:r>
      <w:r>
        <w:rPr>
          <w:rFonts w:ascii="Arial" w:cs="Arial" w:eastAsia="Arial" w:hAnsi="Arial"/>
          <w:sz w:val="17"/>
          <w:szCs w:val="17"/>
          <w:color w:val="000000"/>
        </w:rPr>
        <w:t xml:space="preserve">Exscientia plc, Andrew Hopkins and David Nicholson and the Company moved to dismiss on January 21, 2025. That motion remains pending. As of </w:t>
      </w:r>
      <w:r>
        <w:rPr>
          <w:rFonts w:ascii="Arial" w:cs="Arial" w:eastAsia="Arial" w:hAnsi="Arial"/>
          <w:sz w:val="17"/>
          <w:szCs w:val="17"/>
          <w:color w:val="1E1E1E"/>
        </w:rPr>
        <w:t>June 30, 2025</w:t>
      </w:r>
      <w:r>
        <w:rPr>
          <w:rFonts w:ascii="Arial" w:cs="Arial" w:eastAsia="Arial" w:hAnsi="Arial"/>
          <w:sz w:val="17"/>
          <w:szCs w:val="17"/>
          <w:color w:val="000000"/>
        </w:rPr>
        <w:t>, the Company had no liability recorded for these events as an unfavorable outcome was not probable.</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On June 23, 2023, the landlord filed a lawsuit against the Company (Industry Office SLC, LLC v. Recursion Pharmaceuticals, Inc., Case No. 230904627) amended in October 2023, in the Third District Court for Salt Lake County, State of Utah (the Court), alleging anticipatory repudiation, breach of contract and breach of the implied covenant of good faith and fair dealing and seeks monetary damages and attorney’s fees. As of June 30, 2025, the Company had no liability recorded for these events as an unfavorable outcome was not probable.</w:t>
      </w:r>
    </w:p>
    <w:p>
      <w:pPr>
        <w:spacing w:after="0" w:line="2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Industry Lease,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The Company is unable to estimate the possible amount or range of damages associated with the Counterclaims.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Pledged Assets</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June 30, 2025, assets pledged as collateral against finance leases totaled $21.5 million. Assets pledged as collateral are Lab Equipment reported in “Property and Equipment, net” on the Condensed Consolidated Balance Sheet. As of June 30, 2025, the liabilities associated with collateral pledged were solely comprised of a finance lease and had a carrying value of $22.6 million. The collateral pledged under the lease agreement may only be operated by the Company within the continental United States and must maintain a good title. The assets cannot be sold, disposed of or repledged by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June 30, 2025 and December 31, 2024,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(Jefferies)</w:t>
      </w:r>
    </w:p>
    <w:p>
      <w:pPr>
        <w:spacing w:after="0" w:line="2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August 2023</w:t>
      </w:r>
      <w:r>
        <w:rPr>
          <w:rFonts w:ascii="Arial" w:cs="Arial" w:eastAsia="Arial" w:hAnsi="Arial"/>
          <w:sz w:val="18"/>
          <w:szCs w:val="18"/>
          <w:color w:val="auto"/>
        </w:rPr>
        <w:t xml:space="preserve">, the Company entered into an Open Market Sales Agreement (the “Jefferies Sales Agreement”) with Jefferies LLC ( “Jefferies”), to provide for the offering, issuance and sale of up to an aggregate amount of $300.0 million of its Class A common stock from time to time in “at-the-market” (ATM) offerings. In </w:t>
      </w:r>
      <w:r>
        <w:rPr>
          <w:rFonts w:ascii="Arial" w:cs="Arial" w:eastAsia="Arial" w:hAnsi="Arial"/>
          <w:sz w:val="18"/>
          <w:szCs w:val="18"/>
          <w:color w:val="1E1E1E"/>
        </w:rPr>
        <w:t>February 2025</w:t>
      </w:r>
      <w:r>
        <w:rPr>
          <w:rFonts w:ascii="Arial" w:cs="Arial" w:eastAsia="Arial" w:hAnsi="Arial"/>
          <w:sz w:val="18"/>
          <w:szCs w:val="18"/>
          <w:color w:val="auto"/>
        </w:rPr>
        <w:t>, the Company terminated the Jefferies Sales Agreement. In total, the Company sold 26.8 million shares and received net proceeds of $199.1 million under the agreement through its termination. Of the total sales and net proceeds, the Company sold 4.9 million shares and received net proceeds of $36.9 million under the agreement in 2025, prior to its termination. The Company paid Jefferies a commission of up to 3% of the aggregate gross proceeds received from all sales of Class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The Jefferies ATM Offering was made under a prospectus supplement dated August 8, 2023 and related prospectus filed with the Securities and Exchange Commission pursuant to the Company’s automatically effective shelf registration statement on Form S-3ASR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333-264845).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(Citi)</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February 2025</w:t>
      </w:r>
      <w:r>
        <w:rPr>
          <w:rFonts w:ascii="Arial" w:cs="Arial" w:eastAsia="Arial" w:hAnsi="Arial"/>
          <w:sz w:val="18"/>
          <w:szCs w:val="18"/>
          <w:color w:val="auto"/>
        </w:rPr>
        <w:t>, following the termination of the Jefferies Sales Agreement, the Company entered into a Sales Agreement (the Citi Sales Agreement) with Citigroup Capital Markets Inc. (Citi) to provide for the offering, issuance and sale of up to an aggregate amount of $500 million of its Class A common stock from time to time in “at-the-market” offerings (the Citi ATM Offering). As of June 30, 2025, an amount of $395.9 million remained available for future sales under the Sales Agreement. For the six months ended June 30, 2025, the Company has sold 22.3 million shares and received net proceeds of $104.1 million under the agreement. Recursion is not required to sell additional shares under the Citi Sales Agreement. The Company pays the Citi Sales Agent a commission of up to 3% of the aggregate gross proceeds received from all sales of Class A common stock less certain agreed credits and reimbursements. The Citi Sales Agreement continues until the earlier of selling all shares available under the Citi Sales Agreement or terminated by written notice from either of the parties. The Citi ATM Offering is being made under a prospectus supplement dated February 28, 2025 and related prospectus filed with the Securities and Exchange Commission pursuant to the Company’s automatically effective shelf registration statement on Form S-3 (Registration No. 333-284878).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2024, the Company closed its public offering of Class A common stock and issued 35.4 million shares at a price of $6.50 per share for net proceeds of approximately $216.4 million, after deducting transaction costs of $13.6 million. In connection with the public offering of Class A common stock, the Company entered into an underwriting agreement for the offering and sale of 30.8 million shares. The Company also granted the Underwriters a 30 day option from the date of the underwriting agreement to purchase up to an additional 4.6 million shares of Class A Common Stock, which was exercised in full. The public offering was made pursuant to the Company's effective registration statement on Form S-3 (File No. 333-264845) and a related prospectus supplement and accompanying prospectus dated June 26,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Acquisition Exchangeable Shares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an agreement to issue up to 5.9 million shares of Class A common stock (the “Exchangeable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June 30, 2025, 5.0 million Exchangeable shares have been redeemed for Class A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2023</w:t>
      </w:r>
      <w:r>
        <w:rPr>
          <w:rFonts w:ascii="Arial" w:cs="Arial" w:eastAsia="Arial" w:hAnsi="Arial"/>
          <w:sz w:val="18"/>
          <w:szCs w:val="18"/>
          <w:color w:val="auto"/>
        </w:rPr>
        <w:t>,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December 2023 to register shares issued to Tempus for the initial license fee under the Tempus Agreement for resale. In December 2024, a prospectus supplement to a registration statement (File No. 333-264845) was filed to register shares issued to Tempus in payment for the 2024 annual fee. Such registration statement (File No. 333-264845) expired. A new registration statement (333-284878) was filed in February 2025 and a prospectus supplement covering all shares that have been issued under the Tempus Agreement and remained held by Tempus was filed in May 2025.</w:t>
      </w:r>
    </w:p>
    <w:p>
      <w:pPr>
        <w:spacing w:after="0" w:line="21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2024, in connection with the acquisition of Exscientia, the Company filed a Registration Statement on Form S-8 (File No. 333-283347) to register the shares of Class A common stock issuable upon exercise or settlement, as applicable, of Recursion stock options and RSUs issued under the assumed Exscientia plans and the Inducement awards. The Company has agreed to use commercially reasonable efforts to maintain the effectiveness of such registration statement as long as such Recursion stock options and RSUs issued under the assumed Exscientia plans remain outstanding.</w:t>
      </w: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May 2023,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shares for resale by the holders. The registration statement must remain effective for a period of not less than three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 June 30, 2025, Dr. Gibson and his affiliates held outstanding shares of Class B common stock</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representing approximately 14%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June 30, 2025, Dr. Gibson and his affiliates would hold approximately 14%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January 2022</w:t>
      </w:r>
      <w:r>
        <w:rPr>
          <w:rFonts w:ascii="Arial" w:cs="Arial" w:eastAsia="Arial" w:hAnsi="Arial"/>
          <w:sz w:val="18"/>
          <w:szCs w:val="18"/>
          <w:color w:val="auto"/>
        </w:rPr>
        <w:t>, the Company and Sanofi entered into a collaboration agreement to develop an AI-driven pipeline of precision-engineered medicines. The research is focused on up to 15 novel small molecule candidates across oncology and immunology and utilizes the Company’s AI platform. The Company is leading small molecule drug design and lead optimization activities with Sanofi assuming responsibility for preclinical and clinical development, manufacturing and commercialization.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received a $100.0 million non-refundable upfront payment. For the three months ended June 30, 2025, Recursion received a $7.0 million payment related to the achievement of a milestone for one of the performance obligations. The Company has also received multiple other milestone payments related to this agreement totaling approximately $30.0 million. These related to the advancement of several of the discovery programs within the collaboration and the addition of an existing Company program into the collaboration. Recursion is eligible for additional milestone payments based on performance progress of the collaboration and tiered royalties ranging from high-single-digits to mid-teens. Recursion could earn a maximum of $555.0 million from all research milestones and $1.8 billion from all development and regulatory milestones.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2024</w:t>
      </w:r>
      <w:r>
        <w:rPr>
          <w:rFonts w:ascii="Arial" w:cs="Arial" w:eastAsia="Arial" w:hAnsi="Arial"/>
          <w:sz w:val="18"/>
          <w:szCs w:val="18"/>
          <w:color w:val="auto"/>
        </w:rPr>
        <w:t>,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at least eight performance obligations related to the small molecule projects. These performance obligations are for performing research and development services for Sanofi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determined the transaction price to be $ 155.5 million, for the initial performance obligations, comprised of the upfront payment, several milestones that have been achieved and estimated additional target exercises. Prior to the three months ended June 30, 2025, Recursion had fully constrained the $ 7.0 million variable consideration milestone. Recursion is now recognizing the milestone as part of the transaction price over the completion period for the related performance obligation. Recursion has fully constrained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milestone fees were allocated to related performance obligation as the terms of the variable consideration related specifically to Recursion’s efforts to satisfy the related performance obligation. The Company recognizes revenue over time based on costs incurred relative to total expected costs to perform the research and development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is unable to estimate the completion date of the performance obligations due to the current stage of 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KGaA (Merck)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September 2023</w:t>
      </w:r>
      <w:r>
        <w:rPr>
          <w:rFonts w:ascii="Arial" w:cs="Arial" w:eastAsia="Arial" w:hAnsi="Arial"/>
          <w:sz w:val="18"/>
          <w:szCs w:val="18"/>
          <w:color w:val="auto"/>
        </w:rPr>
        <w:t>, the Company and Merck entered into a collaboration agreement to discover novel small molecule drug candidates across oncology, neuroinflammation and immunology. The collaboration utilizes the Company’s AI platform and the Company is performing drug design and discovery while Merck will be assuming responsibility for the preclinical and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color w:val="auto"/>
        </w:rPr>
        <w:t>The Company received a $20.1 million non-refundable upfront payment. Recursion is eligible for additional milestone payments based on performance progress of the collaboration and tiered royalties from the mid-single-digits to low-double-digits. The Company could earn a maximum of $73.0 million for discovery, development and sales milestones per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2024</w:t>
      </w:r>
      <w:r>
        <w:rPr>
          <w:rFonts w:ascii="Arial" w:cs="Arial" w:eastAsia="Arial" w:hAnsi="Arial"/>
          <w:sz w:val="18"/>
          <w:szCs w:val="18"/>
          <w:color w:val="auto"/>
        </w:rPr>
        <w:t>,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three performance obligations related to each project in the partnership. These performance obligations are for performing research and development services for Merck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has determined the transaction price to be $20.1 million, for the initial performance obligations, comprised of the upfront payment. Recursion will fully constrain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was unable to estimate the completion date of the performance obligations due to the current stage of work.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 In September 2024, Recursion received a $30.0 million milestone payment (the “acceptance fee”), which was an acceptance fee related to the first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determined the transaction price to be $180.0 million, comprised of the upfront payment and the acceptance fee. Prior to the three months ended September 30, 2024, Recursion had fully constrained the $30.0 million variable consideration acceptance fee. As a result of Roche’s acceptance of the neuroscience Phenomap, Recursion is now recognizing the acceptance fee as part of the transaction price over the completion period of one of the neuroscience performance obligations. Recursion has fully constrained the remaining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acceptance fee was allocated to one of the neuroscience performance obligations as the terms of the variable consideration related specifically to Recursion’s efforts to satisfy this performance obligation.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2026.</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Of the revenue recognized during the three and six months ended June 30, 2025, $15.4 million and $ 30.2 million was included in the unearned revenue balance as of December 31, 2024, respectively. Of the revenue recognized during the three and six months ended June 30, 2024, $ 11.3 million and $25.0 million was included in the unearned revenue balance as of December 31, 2023, respectively. Revenue recognized was from the upfront and variable consideration payments received from the related contracts, which decreased the aggregate unearned revenue recognized. As of June 30, 2025, the Company had $5.9 million of costs incurred to fulfill a contract on its Condensed Consolidated Balance Sheet within “Other Current Assets.”</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June 30, 2025, 23.7 million shares of Class A common stock were available for grant in the 2021 plan. In November 2024, the Board of Directors and the stockholders of the Company adopted the 2024 Inducement Equity Incentive Plan (the 2024 Plan) as part of the Exscientia acquisition. See Note 4, “Acquisitions” for additional information. As of June 30, 2025, 10.4 million shares of Class A common stock were available for grant in the 2024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31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14,089</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8,281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31,889</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15,947</w:t>
            </w: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14,074</w:t>
            </w: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25,801</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15,958</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61,390</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31,468</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six months ended June 30, 2025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Weighted-Average</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8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Shares</w:t>
            </w:r>
          </w:p>
        </w:tc>
        <w:tc>
          <w:tcPr>
            <w:tcW w:w="1120" w:type="dxa"/>
            <w:vAlign w:val="bottom"/>
          </w:tcPr>
          <w:p>
            <w:pPr>
              <w:jc w:val="center"/>
              <w:ind w:left="355"/>
              <w:spacing w:after="0" w:line="162" w:lineRule="exact"/>
              <w:rPr>
                <w:sz w:val="20"/>
                <w:szCs w:val="20"/>
                <w:color w:val="auto"/>
              </w:rPr>
            </w:pPr>
            <w:r>
              <w:rPr>
                <w:rFonts w:ascii="Arial" w:cs="Arial" w:eastAsia="Arial" w:hAnsi="Arial"/>
                <w:sz w:val="16"/>
                <w:szCs w:val="16"/>
                <w:b w:val="1"/>
                <w:bCs w:val="1"/>
                <w:color w:val="auto"/>
              </w:rPr>
              <w:t>Exercise</w:t>
            </w:r>
          </w:p>
        </w:tc>
        <w:tc>
          <w:tcPr>
            <w:tcW w:w="460" w:type="dxa"/>
            <w:vAlign w:val="bottom"/>
          </w:tcPr>
          <w:p>
            <w:pPr>
              <w:spacing w:after="0"/>
              <w:rPr>
                <w:sz w:val="14"/>
                <w:szCs w:val="14"/>
                <w:color w:val="auto"/>
              </w:rPr>
            </w:pPr>
          </w:p>
        </w:tc>
        <w:tc>
          <w:tcPr>
            <w:tcW w:w="2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 Life</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share data and per share amounts)</w:t>
            </w:r>
          </w:p>
        </w:tc>
        <w:tc>
          <w:tcPr>
            <w:tcW w:w="14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left="355"/>
              <w:spacing w:after="0"/>
              <w:rPr>
                <w:sz w:val="20"/>
                <w:szCs w:val="20"/>
                <w:color w:val="auto"/>
              </w:rPr>
            </w:pPr>
            <w:r>
              <w:rPr>
                <w:rFonts w:ascii="Arial" w:cs="Arial" w:eastAsia="Arial" w:hAnsi="Arial"/>
                <w:sz w:val="16"/>
                <w:szCs w:val="16"/>
                <w:b w:val="1"/>
                <w:bCs w:val="1"/>
                <w:color w:val="auto"/>
              </w:rPr>
              <w:t>Price</w:t>
            </w: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21,941,495</w:t>
            </w:r>
          </w:p>
        </w:tc>
        <w:tc>
          <w:tcPr>
            <w:tcW w:w="112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5.40</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62,685</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3,340,822</w:t>
            </w:r>
          </w:p>
        </w:tc>
        <w:tc>
          <w:tcPr>
            <w:tcW w:w="11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7.08</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(1,594,508)</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7.34</w:t>
            </w: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(3,568,523)</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1.26</w:t>
            </w:r>
          </w:p>
        </w:tc>
        <w:tc>
          <w:tcPr>
            <w:tcW w:w="2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19,738</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20,119,286</w:t>
            </w:r>
          </w:p>
        </w:tc>
        <w:tc>
          <w:tcPr>
            <w:tcW w:w="112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6.42</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June 30, 2025</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10,219,329</w:t>
            </w:r>
          </w:p>
        </w:tc>
        <w:tc>
          <w:tcPr>
            <w:tcW w:w="1120" w:type="dxa"/>
            <w:vAlign w:val="bottom"/>
            <w:tcBorders>
              <w:bottom w:val="single" w:sz="8" w:color="auto"/>
            </w:tcBorders>
          </w:tcPr>
          <w:p>
            <w:pPr>
              <w:jc w:val="right"/>
              <w:ind w:right="895"/>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6"/>
              </w:rPr>
              <w:t>6.32</w:t>
            </w:r>
          </w:p>
        </w:tc>
        <w:tc>
          <w:tcPr>
            <w:tcW w:w="2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w:t>
            </w:r>
          </w:p>
        </w:tc>
        <w:tc>
          <w:tcPr>
            <w:tcW w:w="3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six months ended June 30, 2025 and 2024 were $4.47 and $6.35,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1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2024</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66%</w:t>
            </w:r>
          </w:p>
        </w:tc>
        <w:tc>
          <w:tcPr>
            <w:tcW w:w="1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June 30, 2025, $46.4 million of unrecognized compensation cost related to stock options is expected to be recognized as expense over approximately the next three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six months ended June 30,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37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27,304,229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Granted</w:t>
            </w:r>
          </w:p>
        </w:tc>
        <w:tc>
          <w:tcPr>
            <w:tcW w:w="3760" w:type="dxa"/>
            <w:vAlign w:val="bottom"/>
          </w:tcPr>
          <w:p>
            <w:pPr>
              <w:jc w:val="right"/>
              <w:spacing w:after="0"/>
              <w:rPr>
                <w:sz w:val="20"/>
                <w:szCs w:val="20"/>
                <w:color w:val="auto"/>
              </w:rPr>
            </w:pPr>
            <w:r>
              <w:rPr>
                <w:rFonts w:ascii="Arial" w:cs="Arial" w:eastAsia="Arial" w:hAnsi="Arial"/>
                <w:sz w:val="18"/>
                <w:szCs w:val="18"/>
                <w:color w:val="auto"/>
              </w:rPr>
              <w:t>2,612,350</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(4,656,892)</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(3,582,221)</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2025</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21,677,466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3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fair market value of RSUs vested was $109.8 million during the six months ended June 30, 2025. As of June 30, 2025, $145.8 million of unrecognized compensation cost related to RSUs is expected to be recognized as expense over approximately the next three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did not record any U.S. income tax expense during the three and six months ended June 30, 2025 and 2024. The Company has historically incurred operating losses and maintains a full valuation allowance against its U.S. net deferred tax assets. Foreign taxes were insignificant during the three and six months ended June 30, 2025 and 2024.</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U.S. net operating losses (NOLs) and tax credit carry-forwards are subject to review and possible adjustment by the Internal Revenue Service (“IRS”) and may become subject to annual limitation due to ownership changes that occur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December 31, 2024, the Company completed a Section 382 study and did not identify ownership changes that would subject its NOLs or tax credit carry-forwards to Section 382 limitations.</w:t>
      </w:r>
    </w:p>
    <w:p>
      <w:pPr>
        <w:spacing w:after="0" w:line="21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Company files income tax returns in the United States, Canada and United Kingdom. The Company files state income tax returns in multiple states in the United States among others Utah, California and Massachusetts.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 is not currently under examination in any of these jurisdictions. The Company is subject to income tax examinations on all US federal and state returns since the 2017 tax return, Canadian income tax returns from the 2021 tax year and UK income tax returns from the 2020 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2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For the three and six months ended June 30, 2025 and 2024, Recursion calculated net loss per share of Class A, Class B and the Exchangeable common stock.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w:t>
      </w:r>
      <w:r>
        <w:rPr>
          <w:rFonts w:ascii="Arial" w:cs="Arial" w:eastAsia="Arial" w:hAnsi="Arial"/>
          <w:sz w:val="18"/>
          <w:szCs w:val="18"/>
          <w:color w:val="1E1E1E"/>
        </w:rPr>
        <w:t>For the three and</w:t>
      </w:r>
      <w:r>
        <w:rPr>
          <w:rFonts w:ascii="Arial" w:cs="Arial" w:eastAsia="Arial" w:hAnsi="Arial"/>
          <w:sz w:val="18"/>
          <w:szCs w:val="18"/>
          <w:color w:val="auto"/>
        </w:rPr>
        <w:t xml:space="preserve"> six months ended June 30, 2025 and 2024</w:t>
      </w:r>
      <w:r>
        <w:rPr>
          <w:rFonts w:ascii="Arial" w:cs="Arial" w:eastAsia="Arial" w:hAnsi="Arial"/>
          <w:sz w:val="18"/>
          <w:szCs w:val="18"/>
          <w:color w:val="1E1E1E"/>
        </w:rPr>
        <w:t>, the Company reported a net loss and</w:t>
      </w:r>
      <w:r>
        <w:rPr>
          <w:rFonts w:ascii="Arial" w:cs="Arial" w:eastAsia="Arial" w:hAnsi="Arial"/>
          <w:sz w:val="18"/>
          <w:szCs w:val="18"/>
          <w:color w:val="auto"/>
        </w:rPr>
        <w:t xml:space="preserve"> therefore basic and diluted loss per share were the same.</w:t>
      </w: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Class B and the Exchangeable common stock was the same during the three and six months ended June 30, 2025 and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19"/>
                <w:szCs w:val="19"/>
                <w:color w:val="auto"/>
              </w:rPr>
            </w:pPr>
          </w:p>
        </w:tc>
        <w:tc>
          <w:tcPr>
            <w:tcW w:w="286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Six months ended June 30,</w:t>
            </w:r>
          </w:p>
        </w:tc>
      </w:tr>
      <w:tr>
        <w:trPr>
          <w:trHeight w:val="23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5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2024</w:t>
            </w: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(97,540)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(374,384)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(188,913)</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5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417,361,147</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242,196,409</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410,268,199</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239,107,879</w:t>
            </w: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excluded the following potential common shares from the computation of diluted net loss per share for the periods indicated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460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Three months ended June 30,</w:t>
            </w:r>
          </w:p>
        </w:tc>
        <w:tc>
          <w:tcPr>
            <w:tcW w:w="32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Six months ended June 30,</w:t>
            </w:r>
          </w:p>
        </w:tc>
      </w:tr>
      <w:tr>
        <w:trPr>
          <w:trHeight w:val="235"/>
        </w:trPr>
        <w:tc>
          <w:tcPr>
            <w:tcW w:w="34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2025</w:t>
            </w:r>
          </w:p>
        </w:tc>
        <w:tc>
          <w:tcPr>
            <w:tcW w:w="18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2024</w:t>
            </w:r>
          </w:p>
        </w:tc>
        <w:tc>
          <w:tcPr>
            <w:tcW w:w="18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2025</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5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2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7,273,308</w:t>
            </w:r>
          </w:p>
        </w:tc>
        <w:tc>
          <w:tcPr>
            <w:tcW w:w="1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7,840,123</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9,658,580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9,230,517</w:t>
            </w:r>
          </w:p>
        </w:tc>
      </w:tr>
      <w:tr>
        <w:trPr>
          <w:trHeight w:val="25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Tempus agreement</w:t>
            </w:r>
          </w:p>
        </w:tc>
        <w:tc>
          <w:tcPr>
            <w:tcW w:w="2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6,286,466</w:t>
            </w:r>
          </w:p>
        </w:tc>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6,694,934</w:t>
            </w: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6,286,466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6,694,934</w:t>
            </w:r>
          </w:p>
        </w:tc>
      </w:tr>
      <w:tr>
        <w:trPr>
          <w:trHeight w:val="275"/>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13,559,774</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14,535,057</w:t>
            </w:r>
          </w:p>
        </w:tc>
        <w:tc>
          <w:tcPr>
            <w:tcW w:w="1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15,945,046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15,925,451</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1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8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as required by a lease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June 30, 2025</w:t>
            </w: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Basis of fair value measurement</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220,822</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220,822</w:t>
            </w:r>
          </w:p>
        </w:tc>
        <w:tc>
          <w:tcPr>
            <w:tcW w:w="260" w:type="dxa"/>
            <w:vAlign w:val="bottom"/>
          </w:tcPr>
          <w:p>
            <w:pPr>
              <w:spacing w:after="0"/>
              <w:rPr>
                <w:sz w:val="19"/>
                <w:szCs w:val="19"/>
                <w:color w:val="auto"/>
              </w:rPr>
            </w:pPr>
          </w:p>
        </w:tc>
        <w:tc>
          <w:tcPr>
            <w:tcW w:w="1300" w:type="dxa"/>
            <w:vAlign w:val="bottom"/>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 cash and cash equivalents</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533,845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533,845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Basis of fair value measurement</w:t>
            </w:r>
          </w:p>
        </w:tc>
      </w:tr>
      <w:tr>
        <w:trPr>
          <w:trHeight w:val="250"/>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December 31, 2024</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8"/>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4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0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235,812</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235,812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820"/>
              <w:spacing w:after="0"/>
              <w:rPr>
                <w:sz w:val="20"/>
                <w:szCs w:val="20"/>
                <w:color w:val="auto"/>
              </w:rPr>
            </w:pPr>
            <w:r>
              <w:rPr>
                <w:rFonts w:ascii="Arial" w:cs="Arial" w:eastAsia="Arial" w:hAnsi="Arial"/>
                <w:sz w:val="18"/>
                <w:szCs w:val="18"/>
                <w:color w:val="auto"/>
              </w:rPr>
              <w:t>— $</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 deposits</w:t>
            </w:r>
          </w:p>
        </w:tc>
        <w:tc>
          <w:tcPr>
            <w:tcW w:w="10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160,487</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48"/>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 - cash and cash equivalents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603,024</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gridSpan w:val="4"/>
          </w:tcPr>
          <w:p>
            <w:pPr>
              <w:ind w:left="1200"/>
              <w:spacing w:after="0"/>
              <w:rPr>
                <w:sz w:val="20"/>
                <w:szCs w:val="20"/>
                <w:color w:val="auto"/>
              </w:rPr>
            </w:pPr>
            <w:r>
              <w:rPr>
                <w:rFonts w:ascii="Arial" w:cs="Arial" w:eastAsia="Arial" w:hAnsi="Arial"/>
                <w:sz w:val="16"/>
                <w:szCs w:val="16"/>
                <w:b w:val="1"/>
                <w:bCs w:val="1"/>
                <w:color w:val="auto"/>
              </w:rPr>
              <w:t>Book values</w:t>
            </w:r>
          </w:p>
        </w:tc>
        <w:tc>
          <w:tcPr>
            <w:tcW w:w="300" w:type="dxa"/>
            <w:vAlign w:val="bottom"/>
          </w:tcPr>
          <w:p>
            <w:pPr>
              <w:spacing w:after="0"/>
              <w:rPr>
                <w:sz w:val="18"/>
                <w:szCs w:val="18"/>
                <w:color w:val="auto"/>
              </w:rPr>
            </w:pPr>
          </w:p>
        </w:tc>
        <w:tc>
          <w:tcPr>
            <w:tcW w:w="366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June 30, 2025</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June 30, 2025</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Notes payable and financing lease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26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3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current</w:t>
            </w:r>
          </w:p>
        </w:tc>
        <w:tc>
          <w:tcPr>
            <w:tcW w:w="280" w:type="dxa"/>
            <w:vAlign w:val="bottom"/>
            <w:vMerge w:val="continue"/>
            <w:shd w:val="clear" w:color="auto" w:fill="CCEEFF"/>
          </w:tcPr>
          <w:p>
            <w:pPr>
              <w:spacing w:after="0"/>
              <w:rPr>
                <w:sz w:val="20"/>
                <w:szCs w:val="20"/>
                <w:color w:val="auto"/>
              </w:rPr>
            </w:pPr>
          </w:p>
        </w:tc>
        <w:tc>
          <w:tcPr>
            <w:tcW w:w="166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7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80" w:type="dxa"/>
            <w:vAlign w:val="bottom"/>
          </w:tcPr>
          <w:p>
            <w:pPr>
              <w:ind w:left="20"/>
              <w:spacing w:after="0" w:line="183" w:lineRule="exact"/>
              <w:rPr>
                <w:sz w:val="20"/>
                <w:szCs w:val="20"/>
                <w:color w:val="auto"/>
              </w:rPr>
            </w:pPr>
            <w:r>
              <w:rPr>
                <w:rFonts w:ascii="Arial" w:cs="Arial" w:eastAsia="Arial" w:hAnsi="Arial"/>
                <w:sz w:val="18"/>
                <w:szCs w:val="18"/>
                <w:color w:val="auto"/>
              </w:rPr>
              <w:t>Notes payable and financing lease</w:t>
            </w:r>
          </w:p>
        </w:tc>
        <w:tc>
          <w:tcPr>
            <w:tcW w:w="28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14,196</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19,022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14,196</w:t>
            </w:r>
          </w:p>
        </w:tc>
        <w:tc>
          <w:tcPr>
            <w:tcW w:w="2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 non-current</w:t>
            </w: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2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loss</w:t>
      </w:r>
    </w:p>
    <w:p>
      <w:pPr>
        <w:spacing w:after="0" w:line="2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Recursion operates as a single operating segment that is managed on a consolidated basis. The Company’s chief operating decision maker is its Chief Executive Officer. The Company’s chief operating decision maker uses segment net loss to evaluate the performance of its segment, analyze financial trends, compare the budget to the actual operating results and make resource allocation decisions. Segment net loss represents the Company’s consolidated net loss. All corporate costs, global function support costs, overhead costs and other shared costs are included within this segment. Other segment items primarily include general and administrative expenses including facilities, information technology, professional fees (including auditing, tax and legal) and insurance.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The following table presents Recursion’s segment net loss: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6"/>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9"/>
              </w:rPr>
              <w:t>Three months ended June 30,</w:t>
            </w:r>
          </w:p>
        </w:tc>
        <w:tc>
          <w:tcPr>
            <w:tcW w:w="120" w:type="dxa"/>
            <w:vAlign w:val="bottom"/>
          </w:tcPr>
          <w:p>
            <w:pPr>
              <w:spacing w:after="0"/>
              <w:rPr>
                <w:sz w:val="24"/>
                <w:szCs w:val="24"/>
                <w:color w:val="auto"/>
              </w:rPr>
            </w:pPr>
          </w:p>
        </w:tc>
        <w:tc>
          <w:tcPr>
            <w:tcW w:w="2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w:t>
            </w:r>
          </w:p>
        </w:tc>
        <w:tc>
          <w:tcPr>
            <w:tcW w:w="3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33,968</w:t>
            </w: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w:t>
            </w:r>
          </w:p>
        </w:tc>
      </w:tr>
      <w:tr>
        <w:trPr>
          <w:trHeight w:val="270"/>
        </w:trPr>
        <w:tc>
          <w:tcPr>
            <w:tcW w:w="5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segment expenses</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Salaries</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83,037</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50,298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166,591</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100,656</w:t>
            </w: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83,798</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34,757</w:t>
            </w: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Platform</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13,792</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2,889</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22,557</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4,772</w:t>
            </w: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Discovery</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w:t>
            </w: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11,960</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22,524</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22,916</w:t>
            </w: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26,185</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45,516</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w:t>
            </w:r>
          </w:p>
        </w:tc>
      </w:tr>
      <w:tr>
        <w:trPr>
          <w:trHeight w:val="25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segment items</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15,975</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15,510</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38,910</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29,908</w:t>
            </w: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176,227</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367,595</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196,883</w:t>
            </w:r>
          </w:p>
        </w:tc>
      </w:tr>
      <w:tr>
        <w:trPr>
          <w:trHeight w:val="256"/>
        </w:trPr>
        <w:tc>
          <w:tcPr>
            <w:tcW w:w="5700" w:type="dxa"/>
            <w:vAlign w:val="bottom"/>
          </w:tcPr>
          <w:p>
            <w:pPr>
              <w:ind w:left="20"/>
              <w:spacing w:after="0"/>
              <w:rPr>
                <w:sz w:val="20"/>
                <w:szCs w:val="20"/>
                <w:color w:val="auto"/>
              </w:rPr>
            </w:pPr>
            <w:r>
              <w:rPr>
                <w:rFonts w:ascii="Arial" w:cs="Arial" w:eastAsia="Arial" w:hAnsi="Arial"/>
                <w:sz w:val="18"/>
                <w:szCs w:val="18"/>
                <w:color w:val="auto"/>
              </w:rPr>
              <w:t>Other non-operating income (loss), net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4,330</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(6,947)</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6,668</w:t>
            </w:r>
          </w:p>
        </w:tc>
      </w:tr>
      <w:tr>
        <w:trPr>
          <w:trHeight w:val="257"/>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4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segment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171,897</w:t>
            </w:r>
          </w:p>
        </w:tc>
        <w:tc>
          <w:tcPr>
            <w:tcW w:w="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97,540</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374,384</w:t>
            </w:r>
          </w:p>
        </w:tc>
        <w:tc>
          <w:tcPr>
            <w:tcW w:w="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188,913</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2"/>
        </w:trPr>
        <w:tc>
          <w:tcPr>
            <w:tcW w:w="5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2"/>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Supplemental asset information</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1"/>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expenditures for additions to long-lived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34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Segment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Recursion’s operating revenues are attributed to the following geographic areas based on the location the services are performed: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40" w:type="dxa"/>
            <w:vAlign w:val="bottom"/>
          </w:tcPr>
          <w:p>
            <w:pPr>
              <w:spacing w:after="0"/>
              <w:rPr>
                <w:sz w:val="20"/>
                <w:szCs w:val="20"/>
                <w:color w:val="auto"/>
              </w:rPr>
            </w:pPr>
          </w:p>
        </w:tc>
        <w:tc>
          <w:tcPr>
            <w:tcW w:w="3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2024</w:t>
            </w: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13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27,895</w:t>
            </w:r>
          </w:p>
        </w:tc>
      </w:tr>
      <w:tr>
        <w:trPr>
          <w:trHeight w:val="22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13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2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33,921</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27,895</w:t>
            </w: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Recursion generates revenue primarily from a single service, research and development services, therefore, the Company does not report additional information on revenue from external customers.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Recursion’s long-lived assets are attributed to the following geographic areas based on their location: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June 30, 2025</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December 31, 2024</w:t>
            </w:r>
          </w:p>
        </w:tc>
      </w:tr>
      <w:tr>
        <w:trPr>
          <w:trHeight w:val="25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78,471</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46,364</w:t>
            </w: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56,332</w:t>
            </w:r>
          </w:p>
        </w:tc>
      </w:tr>
      <w:tr>
        <w:trPr>
          <w:trHeight w:val="25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32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5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2025, Recursion entered into a membership interest purchase agreement (the Purchase Agreement) to acquire Rallybio Corporation’s (“Rallybio”) full interest in Recursion and Rallybio’s joint ENPP1 inhibitor program (REC-102) and an associated backup molecule for the treatment of hypophosphatasia (HPP), a rare and debilitating genetic disorder through the purchase of Rallybio’s interest in Re Ventures I, LLC. Rallybio received certain payments, including 1.5 million shares of Recursion’s Class A common stock, and may receive a contingent equity payment of $12.5 million upon the initiation of additional preclinical studies and a $5.0 million milestone payment in connection with the initiation of dosing in a Phase 1 clinical study. Rallybio is also eligible to receive low single-digit royalties on all future net sales by Recursion. In addition, Rallybio may be eligible to receive certain payments in the event of Recursion’s sale of the REC-102 program.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b w:val="1"/>
          <w:bCs w:val="1"/>
          <w:color w:val="1E1E1E"/>
        </w:rPr>
        <w:t>.</w:t>
      </w:r>
    </w:p>
    <w:p>
      <w:pPr>
        <w:spacing w:after="0" w:line="2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The following is a discussion and analysis of the financial condition of Recursion Pharmaceuticals, Inc. (Recursion, the Company, we, us or our) and the results of operations.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2024 (the 2024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2024 Annual Report and in our subsequent Quarterly Reports on Form 10-Q, including this Quarterly Report on Form 10-Q,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Recursion is a leading clinical stage TechBio company decoding biology to radically improve lives. We aim to achieve our mission by industrializing drug discovery using the Recursion Operating System (OS), a vertical platform of diverse technologies that enables us to map and navigate trillions of biological, chemical and patient-centric relationships utilizing approximately 65 petabytes of proprietary data. The Recursion OS integrates ‘Real World’ data generated in our own wet-laboratories or by select partners and a ‘World Model’ which is a collection of AI computational models we also build in-house. Today, our scaled ‘wet-lab’ biology, chemistry and patient-centric experimental data feed our ‘dry-lab’ computational tools to identify, validate and translate therapeutic insights, which we can then validate in our wet-lab to both advance drug discovery programs and to generate data to further refine our world model.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a few key factors that differentiate Recursion from other technology-enabled drug discovery companies.</w:t>
      </w:r>
    </w:p>
    <w:p>
      <w:pPr>
        <w:spacing w:after="0" w:line="252" w:lineRule="exact"/>
        <w:rPr>
          <w:sz w:val="20"/>
          <w:szCs w:val="20"/>
          <w:color w:val="auto"/>
        </w:rPr>
      </w:pPr>
    </w:p>
    <w:p>
      <w:pPr>
        <w:ind w:left="660" w:right="16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Recursion has built a full-stack platform utilizing many biology, chemistry and patient-centric proprietary datasets and modular tools to industrialize drug discovery, while most other competitor companies rely on a point solution to solve one important step in drug discovery. We recognize that drug discovery is made up of many steps and a point solution is insufficient to generate efficiencies across the entire process. To decode biology, we must construct a full-stack technology platform capable of integrating and industrializing many complex workflows.</w:t>
      </w:r>
    </w:p>
    <w:p>
      <w:pPr>
        <w:spacing w:after="0" w:line="2" w:lineRule="exact"/>
        <w:rPr>
          <w:rFonts w:ascii="Arial" w:cs="Arial" w:eastAsia="Arial" w:hAnsi="Arial"/>
          <w:sz w:val="18"/>
          <w:szCs w:val="18"/>
          <w:color w:val="auto"/>
        </w:rPr>
      </w:pPr>
    </w:p>
    <w:p>
      <w:pPr>
        <w:ind w:left="660" w:right="200" w:hanging="328"/>
        <w:spacing w:after="0" w:line="25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Recursion integrates wet-lab and dry-lab capabilities in-house to create a virtuous cycle of iteration. Fit-for-purpose wet-lab experimental data are translated by dry-lab digital tools into in silico hypotheses and testable predictions, which in turn generates more wet-lab data from which improved predictions can be made. Recursion is well positioned compared to companies of a similar stage either focused more specifically on the wet-lab only (traditional biotech or pharma companies) or dry-lab only (companies facing rapidly commoditized algorithms and a challenge differentiating on non-proprietary data).</w:t>
      </w:r>
    </w:p>
    <w:p>
      <w:pPr>
        <w:spacing w:after="0" w:line="2" w:lineRule="exact"/>
        <w:rPr>
          <w:rFonts w:ascii="Arial" w:cs="Arial" w:eastAsia="Arial" w:hAnsi="Arial"/>
          <w:sz w:val="18"/>
          <w:szCs w:val="18"/>
          <w:color w:val="auto"/>
        </w:rPr>
      </w:pPr>
    </w:p>
    <w:p>
      <w:pPr>
        <w:ind w:left="660" w:hanging="328"/>
        <w:spacing w:after="0" w:line="24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auto"/>
        </w:rPr>
        <w:t>Recursion has achieved a significant scale with respect to its scientific, technological and business endeavors. With over 5 high potential clinical and pre-clinical programs across oncology and rare disease indications, four of the largest discovery partnerships in the biopharma industry with Roche-Genentech, Sanofi, Bayer and Merck KGaA and over four technology and data-focused partnerships, Recursion is on the precipice of demonstrating the potential of technology-driven approaches to increase speed, quality and scalability of drug discovery.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leverage the Recursion OS to deliver value in three ways: 1) our own pipeline of clinical and preclinical potential medicines focused in precision oncology, rare disease and other areas of high unmet need; 2) by discovering new medicines with large biopharmaceutical companies in some of the biggest areas of unmet need in medicine like neuroscience and inflammation; and 3) by leveraging our tools, technology and data for the benefit of other partners in targeted and limited ways.</w:t>
      </w:r>
    </w:p>
    <w:p>
      <w:pPr>
        <w:spacing w:after="0" w:line="20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are actively advancing key catalysts in our pipeline while demonstrating significant progress in addressing high unmet medical needs. At the same time, we continue to validate various components of the Recursion OS, which has played a role in advancing every program in our portfolio, reinforcing its potential to accelerate drug discovery and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 Internal and Partnered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5863590" cy="2983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Pipeline Updates:</w:t>
      </w:r>
    </w:p>
    <w:p>
      <w:pPr>
        <w:spacing w:after="0" w:line="27" w:lineRule="exact"/>
        <w:rPr>
          <w:sz w:val="20"/>
          <w:szCs w:val="20"/>
          <w:color w:val="auto"/>
        </w:rPr>
      </w:pPr>
    </w:p>
    <w:p>
      <w:pPr>
        <w:ind w:left="660" w:hanging="328"/>
        <w:spacing w:after="0" w:line="250" w:lineRule="auto"/>
        <w:tabs>
          <w:tab w:leader="none" w:pos="65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REC-1245 (RBM39): </w:t>
      </w:r>
      <w:r>
        <w:rPr>
          <w:rFonts w:ascii="Arial" w:cs="Arial" w:eastAsia="Arial" w:hAnsi="Arial"/>
          <w:sz w:val="18"/>
          <w:szCs w:val="18"/>
          <w:color w:val="auto"/>
        </w:rPr>
        <w:t>Recursion provided updates on the biomarker strategy and patient population currently enrolling in the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Phase 1/2 DAHLIA study.</w:t>
      </w: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About REC-1245</w:t>
      </w:r>
    </w:p>
    <w:p>
      <w:pPr>
        <w:spacing w:after="0" w:line="9" w:lineRule="exact"/>
        <w:rPr>
          <w:rFonts w:ascii="Arial" w:cs="Arial" w:eastAsia="Arial" w:hAnsi="Arial"/>
          <w:sz w:val="18"/>
          <w:szCs w:val="18"/>
          <w:color w:val="auto"/>
        </w:rPr>
      </w:pPr>
    </w:p>
    <w:p>
      <w:pPr>
        <w:ind w:left="1960" w:right="440" w:hanging="332"/>
        <w:spacing w:after="0" w:line="250" w:lineRule="auto"/>
        <w:tabs>
          <w:tab w:leader="none" w:pos="1956" w:val="left"/>
        </w:tabs>
        <w:numPr>
          <w:ilvl w:val="2"/>
          <w:numId w:val="8"/>
        </w:numPr>
        <w:rPr>
          <w:rFonts w:ascii="Arial" w:cs="Arial" w:eastAsia="Arial" w:hAnsi="Arial"/>
          <w:sz w:val="18"/>
          <w:szCs w:val="18"/>
          <w:color w:val="auto"/>
        </w:rPr>
      </w:pPr>
      <w:r>
        <w:rPr>
          <w:rFonts w:ascii="Arial" w:cs="Arial" w:eastAsia="Arial" w:hAnsi="Arial"/>
          <w:sz w:val="18"/>
          <w:szCs w:val="18"/>
          <w:color w:val="auto"/>
        </w:rPr>
        <w:t>Potential first-in-class oral RBM39 degrader that selectively impairs alternative splicing to silence multiple DDR pathways, leading to high replication stress.</w:t>
      </w:r>
    </w:p>
    <w:p>
      <w:pPr>
        <w:ind w:left="1960" w:right="420" w:hanging="332"/>
        <w:spacing w:after="0" w:line="250" w:lineRule="auto"/>
        <w:tabs>
          <w:tab w:leader="none" w:pos="1956" w:val="left"/>
        </w:tabs>
        <w:numPr>
          <w:ilvl w:val="2"/>
          <w:numId w:val="8"/>
        </w:numPr>
        <w:rPr>
          <w:rFonts w:ascii="Arial" w:cs="Arial" w:eastAsia="Arial" w:hAnsi="Arial"/>
          <w:sz w:val="18"/>
          <w:szCs w:val="18"/>
          <w:color w:val="auto"/>
        </w:rPr>
      </w:pPr>
      <w:r>
        <w:rPr>
          <w:rFonts w:ascii="Arial" w:cs="Arial" w:eastAsia="Arial" w:hAnsi="Arial"/>
          <w:sz w:val="18"/>
          <w:szCs w:val="18"/>
          <w:color w:val="auto"/>
        </w:rPr>
        <w:t>Characterized to selectively mimic the phenotype associated with CDK12 loss of function using Recursion’s AI-powered maps of human biology.</w:t>
      </w: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Update on target patient population</w:t>
      </w:r>
    </w:p>
    <w:p>
      <w:pPr>
        <w:spacing w:after="0" w:line="9" w:lineRule="exact"/>
        <w:rPr>
          <w:rFonts w:ascii="Arial" w:cs="Arial" w:eastAsia="Arial" w:hAnsi="Arial"/>
          <w:sz w:val="18"/>
          <w:szCs w:val="18"/>
          <w:color w:val="auto"/>
        </w:rPr>
      </w:pPr>
    </w:p>
    <w:p>
      <w:pPr>
        <w:ind w:left="1960" w:hanging="332"/>
        <w:spacing w:after="0" w:line="250" w:lineRule="auto"/>
        <w:tabs>
          <w:tab w:leader="none" w:pos="1956" w:val="left"/>
        </w:tabs>
        <w:numPr>
          <w:ilvl w:val="2"/>
          <w:numId w:val="8"/>
        </w:numPr>
        <w:rPr>
          <w:rFonts w:ascii="Arial" w:cs="Arial" w:eastAsia="Arial" w:hAnsi="Arial"/>
          <w:sz w:val="18"/>
          <w:szCs w:val="18"/>
          <w:color w:val="auto"/>
        </w:rPr>
      </w:pPr>
      <w:r>
        <w:rPr>
          <w:rFonts w:ascii="Arial" w:cs="Arial" w:eastAsia="Arial" w:hAnsi="Arial"/>
          <w:sz w:val="18"/>
          <w:szCs w:val="18"/>
          <w:color w:val="auto"/>
        </w:rPr>
        <w:t>Early preclinical data shows REC-1245 reduces viability in tumors characterized by replication stress and DNA repair vulnerabilities (DDR defects) across multiple solid tumor types, including MSI-H/dMMR, HRR altered cancers, and other tumors.</w:t>
      </w:r>
    </w:p>
    <w:p>
      <w:pPr>
        <w:spacing w:after="0" w:line="1" w:lineRule="exact"/>
        <w:rPr>
          <w:rFonts w:ascii="Arial" w:cs="Arial" w:eastAsia="Arial" w:hAnsi="Arial"/>
          <w:sz w:val="18"/>
          <w:szCs w:val="18"/>
          <w:color w:val="auto"/>
        </w:rPr>
      </w:pPr>
    </w:p>
    <w:p>
      <w:pPr>
        <w:ind w:left="1940" w:hanging="312"/>
        <w:spacing w:after="0" w:line="207" w:lineRule="exact"/>
        <w:tabs>
          <w:tab w:leader="none" w:pos="1940" w:val="left"/>
        </w:tabs>
        <w:numPr>
          <w:ilvl w:val="2"/>
          <w:numId w:val="8"/>
        </w:numPr>
        <w:rPr>
          <w:rFonts w:ascii="Arial" w:cs="Arial" w:eastAsia="Arial" w:hAnsi="Arial"/>
          <w:sz w:val="18"/>
          <w:szCs w:val="18"/>
          <w:color w:val="auto"/>
        </w:rPr>
      </w:pPr>
      <w:r>
        <w:rPr>
          <w:rFonts w:ascii="Arial" w:cs="Arial" w:eastAsia="Arial" w:hAnsi="Arial"/>
          <w:sz w:val="18"/>
          <w:szCs w:val="18"/>
          <w:color w:val="auto"/>
        </w:rPr>
        <w:t>Multi</w:t>
      </w:r>
      <w:r>
        <w:rPr>
          <w:rFonts w:ascii="MS PGothic" w:cs="MS PGothic" w:eastAsia="MS PGothic" w:hAnsi="MS PGothic"/>
          <w:sz w:val="18"/>
          <w:szCs w:val="18"/>
          <w:color w:val="auto"/>
        </w:rPr>
        <w:t>‑</w:t>
      </w:r>
      <w:r>
        <w:rPr>
          <w:rFonts w:ascii="Arial" w:cs="Arial" w:eastAsia="Arial" w:hAnsi="Arial"/>
          <w:sz w:val="18"/>
          <w:szCs w:val="18"/>
          <w:color w:val="auto"/>
        </w:rPr>
        <w:t>omic profiling underway to refine the molecular signature of sensitivity.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Additional DAHLIA trial details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940" w:hanging="312"/>
        <w:spacing w:after="0"/>
        <w:tabs>
          <w:tab w:leader="none" w:pos="1940" w:val="left"/>
        </w:tabs>
        <w:numPr>
          <w:ilvl w:val="2"/>
          <w:numId w:val="9"/>
        </w:numPr>
        <w:rPr>
          <w:rFonts w:ascii="Arial" w:cs="Arial" w:eastAsia="Arial" w:hAnsi="Arial"/>
          <w:sz w:val="18"/>
          <w:szCs w:val="18"/>
          <w:color w:val="auto"/>
        </w:rPr>
      </w:pPr>
      <w:r>
        <w:rPr>
          <w:rFonts w:ascii="Arial" w:cs="Arial" w:eastAsia="Arial" w:hAnsi="Arial"/>
          <w:sz w:val="18"/>
          <w:szCs w:val="18"/>
          <w:color w:val="auto"/>
        </w:rPr>
        <w:t>Monotherapy dose-escalation of Phase 1/2 DAHLIA trial in patients with advanced solid tumors ongoing.</w:t>
      </w:r>
    </w:p>
    <w:p>
      <w:pPr>
        <w:spacing w:after="0" w:line="27" w:lineRule="exact"/>
        <w:rPr>
          <w:rFonts w:ascii="Arial" w:cs="Arial" w:eastAsia="Arial" w:hAnsi="Arial"/>
          <w:sz w:val="18"/>
          <w:szCs w:val="18"/>
          <w:color w:val="auto"/>
        </w:rPr>
      </w:pPr>
    </w:p>
    <w:p>
      <w:pPr>
        <w:ind w:left="1940" w:hanging="312"/>
        <w:spacing w:after="0"/>
        <w:tabs>
          <w:tab w:leader="none" w:pos="1940" w:val="left"/>
        </w:tabs>
        <w:numPr>
          <w:ilvl w:val="2"/>
          <w:numId w:val="9"/>
        </w:numPr>
        <w:rPr>
          <w:rFonts w:ascii="Arial" w:cs="Arial" w:eastAsia="Arial" w:hAnsi="Arial"/>
          <w:sz w:val="18"/>
          <w:szCs w:val="18"/>
          <w:color w:val="auto"/>
        </w:rPr>
      </w:pPr>
      <w:r>
        <w:rPr>
          <w:rFonts w:ascii="Arial" w:cs="Arial" w:eastAsia="Arial" w:hAnsi="Arial"/>
          <w:sz w:val="18"/>
          <w:szCs w:val="18"/>
          <w:color w:val="auto"/>
        </w:rPr>
        <w:t>Early safety and PK data from the Phase 1 dose-escalation portion on track for 1H26.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REC-617 (CDK7): </w:t>
      </w:r>
      <w:r>
        <w:rPr>
          <w:rFonts w:ascii="Arial" w:cs="Arial" w:eastAsia="Arial" w:hAnsi="Arial"/>
          <w:sz w:val="18"/>
          <w:szCs w:val="18"/>
          <w:color w:val="auto"/>
        </w:rPr>
        <w:t>Recursion initiated a combination dose escalation portion of the ELUCIDATE Phase 1/2 trial in 1H25.</w:t>
      </w:r>
    </w:p>
    <w:p>
      <w:pPr>
        <w:spacing w:after="0" w:line="9" w:lineRule="exact"/>
        <w:rPr>
          <w:rFonts w:ascii="Arial" w:cs="Arial" w:eastAsia="Arial" w:hAnsi="Arial"/>
          <w:sz w:val="18"/>
          <w:szCs w:val="18"/>
          <w:b w:val="1"/>
          <w:bCs w:val="1"/>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About REC-617</w:t>
      </w:r>
    </w:p>
    <w:p>
      <w:pPr>
        <w:spacing w:after="0" w:line="9" w:lineRule="exact"/>
        <w:rPr>
          <w:rFonts w:ascii="Arial" w:cs="Arial" w:eastAsia="Arial" w:hAnsi="Arial"/>
          <w:sz w:val="18"/>
          <w:szCs w:val="18"/>
          <w:color w:val="auto"/>
        </w:rPr>
      </w:pPr>
    </w:p>
    <w:p>
      <w:pPr>
        <w:ind w:left="1940" w:hanging="312"/>
        <w:spacing w:after="0"/>
        <w:tabs>
          <w:tab w:leader="none" w:pos="1940" w:val="left"/>
        </w:tabs>
        <w:numPr>
          <w:ilvl w:val="2"/>
          <w:numId w:val="9"/>
        </w:numPr>
        <w:rPr>
          <w:rFonts w:ascii="Arial" w:cs="Arial" w:eastAsia="Arial" w:hAnsi="Arial"/>
          <w:sz w:val="18"/>
          <w:szCs w:val="18"/>
          <w:color w:val="auto"/>
        </w:rPr>
      </w:pPr>
      <w:r>
        <w:rPr>
          <w:rFonts w:ascii="Arial" w:cs="Arial" w:eastAsia="Arial" w:hAnsi="Arial"/>
          <w:sz w:val="18"/>
          <w:szCs w:val="18"/>
          <w:color w:val="auto"/>
        </w:rPr>
        <w:t>Orally bioavailable, highly potent, and selective CDK7 inhibitor with best-in-class potential.</w:t>
      </w:r>
    </w:p>
    <w:p>
      <w:pPr>
        <w:spacing w:after="0" w:line="9" w:lineRule="exact"/>
        <w:rPr>
          <w:rFonts w:ascii="Arial" w:cs="Arial" w:eastAsia="Arial" w:hAnsi="Arial"/>
          <w:sz w:val="18"/>
          <w:szCs w:val="18"/>
          <w:color w:val="auto"/>
        </w:rPr>
      </w:pPr>
    </w:p>
    <w:p>
      <w:pPr>
        <w:ind w:left="1960" w:hanging="332"/>
        <w:spacing w:after="0" w:line="250" w:lineRule="auto"/>
        <w:tabs>
          <w:tab w:leader="none" w:pos="1956" w:val="left"/>
        </w:tabs>
        <w:numPr>
          <w:ilvl w:val="2"/>
          <w:numId w:val="9"/>
        </w:numPr>
        <w:rPr>
          <w:rFonts w:ascii="Arial" w:cs="Arial" w:eastAsia="Arial" w:hAnsi="Arial"/>
          <w:sz w:val="18"/>
          <w:szCs w:val="18"/>
          <w:color w:val="auto"/>
        </w:rPr>
      </w:pPr>
      <w:r>
        <w:rPr>
          <w:rFonts w:ascii="Arial" w:cs="Arial" w:eastAsia="Arial" w:hAnsi="Arial"/>
          <w:sz w:val="18"/>
          <w:szCs w:val="18"/>
          <w:color w:val="auto"/>
        </w:rPr>
        <w:t>Precision-designed using Recursion’s generative AI and active learning platform to optimize for non-covalent binding and ADME/PK, potentially delivering a broader therapeutic window, reduced off-target effects, and enhanced absorption.</w:t>
      </w:r>
    </w:p>
    <w:p>
      <w:pPr>
        <w:spacing w:after="0" w:line="1" w:lineRule="exact"/>
        <w:rPr>
          <w:rFonts w:ascii="Arial" w:cs="Arial" w:eastAsia="Arial" w:hAnsi="Arial"/>
          <w:sz w:val="18"/>
          <w:szCs w:val="18"/>
          <w:color w:val="auto"/>
        </w:rPr>
      </w:pPr>
    </w:p>
    <w:p>
      <w:pPr>
        <w:ind w:left="1960" w:hanging="332"/>
        <w:spacing w:after="0" w:line="250" w:lineRule="auto"/>
        <w:tabs>
          <w:tab w:leader="none" w:pos="1956" w:val="left"/>
        </w:tabs>
        <w:numPr>
          <w:ilvl w:val="2"/>
          <w:numId w:val="9"/>
        </w:numPr>
        <w:rPr>
          <w:rFonts w:ascii="Arial" w:cs="Arial" w:eastAsia="Arial" w:hAnsi="Arial"/>
          <w:sz w:val="18"/>
          <w:szCs w:val="18"/>
          <w:color w:val="auto"/>
        </w:rPr>
      </w:pPr>
      <w:r>
        <w:rPr>
          <w:rFonts w:ascii="Arial" w:cs="Arial" w:eastAsia="Arial" w:hAnsi="Arial"/>
          <w:sz w:val="18"/>
          <w:szCs w:val="18"/>
          <w:color w:val="auto"/>
        </w:rPr>
        <w:t>Early Phase 1/2 results demonstrated promising safety and efficacy signals, including a durable partial response in a late-stage metastatic ovarian cancer patient and stable disease across four other patients with solid tumors (e.g. CRC, NSCLC).</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Update on target patient population</w:t>
      </w:r>
    </w:p>
    <w:p>
      <w:pPr>
        <w:spacing w:after="0" w:line="9" w:lineRule="exact"/>
        <w:rPr>
          <w:rFonts w:ascii="Arial" w:cs="Arial" w:eastAsia="Arial" w:hAnsi="Arial"/>
          <w:sz w:val="18"/>
          <w:szCs w:val="18"/>
          <w:color w:val="auto"/>
        </w:rPr>
      </w:pPr>
    </w:p>
    <w:p>
      <w:pPr>
        <w:ind w:left="1960" w:right="340" w:hanging="332"/>
        <w:spacing w:after="0" w:line="250" w:lineRule="auto"/>
        <w:tabs>
          <w:tab w:leader="none" w:pos="1956" w:val="left"/>
        </w:tabs>
        <w:numPr>
          <w:ilvl w:val="2"/>
          <w:numId w:val="9"/>
        </w:numPr>
        <w:rPr>
          <w:rFonts w:ascii="Arial" w:cs="Arial" w:eastAsia="Arial" w:hAnsi="Arial"/>
          <w:sz w:val="18"/>
          <w:szCs w:val="18"/>
          <w:color w:val="auto"/>
        </w:rPr>
      </w:pPr>
      <w:r>
        <w:rPr>
          <w:rFonts w:ascii="Arial" w:cs="Arial" w:eastAsia="Arial" w:hAnsi="Arial"/>
          <w:sz w:val="18"/>
          <w:szCs w:val="18"/>
          <w:color w:val="auto"/>
        </w:rPr>
        <w:t>Based on early clinical, preclinical, and causal AI modeling data, Recursion selected ovarian cancer as the initial combination dose expansion cohort.</w:t>
      </w: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Additional ELUCIDATE combination trial details</w:t>
      </w:r>
    </w:p>
    <w:p>
      <w:pPr>
        <w:spacing w:after="0" w:line="9" w:lineRule="exact"/>
        <w:rPr>
          <w:rFonts w:ascii="Arial" w:cs="Arial" w:eastAsia="Arial" w:hAnsi="Arial"/>
          <w:sz w:val="18"/>
          <w:szCs w:val="18"/>
          <w:color w:val="auto"/>
        </w:rPr>
      </w:pPr>
    </w:p>
    <w:p>
      <w:pPr>
        <w:ind w:left="1960" w:right="400" w:hanging="332"/>
        <w:spacing w:after="0" w:line="242" w:lineRule="auto"/>
        <w:tabs>
          <w:tab w:leader="none" w:pos="1956" w:val="left"/>
        </w:tabs>
        <w:numPr>
          <w:ilvl w:val="2"/>
          <w:numId w:val="9"/>
        </w:numPr>
        <w:rPr>
          <w:rFonts w:ascii="Arial" w:cs="Arial" w:eastAsia="Arial" w:hAnsi="Arial"/>
          <w:sz w:val="18"/>
          <w:szCs w:val="18"/>
          <w:color w:val="auto"/>
        </w:rPr>
      </w:pPr>
      <w:r>
        <w:rPr>
          <w:rFonts w:ascii="Arial" w:cs="Arial" w:eastAsia="Arial" w:hAnsi="Arial"/>
          <w:sz w:val="18"/>
          <w:szCs w:val="18"/>
          <w:color w:val="auto"/>
        </w:rPr>
        <w:t>REC-617 in combination with standards of care in 2L+ platinum-resistant ovarian cancer population. Enrollment activities have been initiated.</w:t>
      </w:r>
    </w:p>
    <w:p>
      <w:pPr>
        <w:spacing w:after="0" w:line="1" w:lineRule="exact"/>
        <w:rPr>
          <w:rFonts w:ascii="Arial" w:cs="Arial" w:eastAsia="Arial" w:hAnsi="Arial"/>
          <w:sz w:val="18"/>
          <w:szCs w:val="18"/>
          <w:color w:val="auto"/>
        </w:rPr>
      </w:pPr>
    </w:p>
    <w:p>
      <w:pPr>
        <w:ind w:left="1940" w:hanging="312"/>
        <w:spacing w:after="0" w:line="234" w:lineRule="auto"/>
        <w:tabs>
          <w:tab w:leader="none" w:pos="1940" w:val="left"/>
        </w:tabs>
        <w:numPr>
          <w:ilvl w:val="2"/>
          <w:numId w:val="9"/>
        </w:numPr>
        <w:rPr>
          <w:rFonts w:ascii="Arial" w:cs="Arial" w:eastAsia="Arial" w:hAnsi="Arial"/>
          <w:sz w:val="18"/>
          <w:szCs w:val="18"/>
          <w:color w:val="auto"/>
        </w:rPr>
      </w:pPr>
      <w:r>
        <w:rPr>
          <w:rFonts w:ascii="Arial" w:cs="Arial" w:eastAsia="Arial" w:hAnsi="Arial"/>
          <w:sz w:val="18"/>
          <w:szCs w:val="18"/>
          <w:color w:val="auto"/>
        </w:rPr>
        <w:t>Additional tumor types and therapies for single-arm expansion cohorts under evaluation.</w:t>
      </w:r>
    </w:p>
    <w:p>
      <w:pPr>
        <w:ind w:left="1940" w:hanging="312"/>
        <w:spacing w:after="0" w:line="234" w:lineRule="auto"/>
        <w:tabs>
          <w:tab w:leader="none" w:pos="1940" w:val="left"/>
        </w:tabs>
        <w:numPr>
          <w:ilvl w:val="2"/>
          <w:numId w:val="9"/>
        </w:numPr>
        <w:rPr>
          <w:rFonts w:ascii="Arial" w:cs="Arial" w:eastAsia="Arial" w:hAnsi="Arial"/>
          <w:sz w:val="18"/>
          <w:szCs w:val="18"/>
          <w:color w:val="auto"/>
        </w:rPr>
      </w:pPr>
      <w:r>
        <w:rPr>
          <w:rFonts w:ascii="Arial" w:cs="Arial" w:eastAsia="Arial" w:hAnsi="Arial"/>
          <w:sz w:val="18"/>
          <w:szCs w:val="18"/>
          <w:color w:val="auto"/>
        </w:rPr>
        <w:t>Additional data from monotherapy dose-escalation on-track for 2H25.</w:t>
      </w:r>
    </w:p>
    <w:p>
      <w:pPr>
        <w:spacing w:after="0" w:line="1" w:lineRule="exact"/>
        <w:rPr>
          <w:sz w:val="20"/>
          <w:szCs w:val="20"/>
          <w:color w:val="auto"/>
        </w:rPr>
      </w:pPr>
    </w:p>
    <w:p>
      <w:pPr>
        <w:ind w:left="660" w:right="40" w:hanging="328"/>
        <w:spacing w:after="0" w:line="250" w:lineRule="auto"/>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REC-102 (ENPP1): </w:t>
      </w:r>
      <w:r>
        <w:rPr>
          <w:rFonts w:ascii="Arial" w:cs="Arial" w:eastAsia="Arial" w:hAnsi="Arial"/>
          <w:sz w:val="18"/>
          <w:szCs w:val="18"/>
          <w:color w:val="auto"/>
        </w:rPr>
        <w:t>Acquired full rights to REC-102, Recursion’s ENPP1 inhibitor for the treatment of hypophosphatasia (HPP), from</w:t>
      </w:r>
      <w:r>
        <w:rPr>
          <w:rFonts w:ascii="Arial" w:cs="Arial" w:eastAsia="Arial" w:hAnsi="Arial"/>
          <w:sz w:val="18"/>
          <w:szCs w:val="18"/>
          <w:b w:val="1"/>
          <w:bCs w:val="1"/>
          <w:color w:val="auto"/>
        </w:rPr>
        <w:t xml:space="preserve"> </w:t>
      </w:r>
      <w:r>
        <w:rPr>
          <w:rFonts w:ascii="Arial" w:cs="Arial" w:eastAsia="Arial" w:hAnsi="Arial"/>
          <w:sz w:val="18"/>
          <w:szCs w:val="18"/>
          <w:color w:val="auto"/>
        </w:rPr>
        <w:t>its joint venture with Rallybio.</w:t>
      </w:r>
    </w:p>
    <w:p>
      <w:pPr>
        <w:ind w:left="1300" w:right="20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REC-102 is the first potential oral disease-modifying treatment for HPP, a rare and debilitating genetic disorder with limited treatment options.</w:t>
      </w:r>
    </w:p>
    <w:p>
      <w:pPr>
        <w:ind w:left="1300" w:right="12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Additional preclinical data from the REC-102 program will be presented at the 2025 American Society for Bone and Mineral Research (ASMBR), being held in Seattle, WA.</w:t>
      </w:r>
    </w:p>
    <w:p>
      <w:pPr>
        <w:ind w:left="1960" w:right="500" w:hanging="332"/>
        <w:spacing w:after="0" w:line="250" w:lineRule="auto"/>
        <w:tabs>
          <w:tab w:leader="none" w:pos="1955" w:val="left"/>
        </w:tabs>
        <w:numPr>
          <w:ilvl w:val="2"/>
          <w:numId w:val="10"/>
        </w:numPr>
        <w:rPr>
          <w:rFonts w:ascii="Arial" w:cs="Arial" w:eastAsia="Arial" w:hAnsi="Arial"/>
          <w:sz w:val="18"/>
          <w:szCs w:val="18"/>
          <w:color w:val="auto"/>
        </w:rPr>
      </w:pPr>
      <w:r>
        <w:rPr>
          <w:rFonts w:ascii="Arial" w:cs="Arial" w:eastAsia="Arial" w:hAnsi="Arial"/>
          <w:sz w:val="18"/>
          <w:szCs w:val="18"/>
          <w:color w:val="auto"/>
        </w:rPr>
        <w:t xml:space="preserve">A poster titled </w:t>
      </w:r>
      <w:r>
        <w:rPr>
          <w:rFonts w:ascii="Arial" w:cs="Arial" w:eastAsia="Arial" w:hAnsi="Arial"/>
          <w:sz w:val="18"/>
          <w:szCs w:val="18"/>
          <w:i w:val="1"/>
          <w:iCs w:val="1"/>
          <w:color w:val="auto"/>
        </w:rPr>
        <w:t>Amelioration of osteomalacia in late-onset HPP mice via pharmacological inhibition of ENPP1 i</w:t>
      </w:r>
      <w:r>
        <w:rPr>
          <w:rFonts w:ascii="Arial" w:cs="Arial" w:eastAsia="Arial" w:hAnsi="Arial"/>
          <w:sz w:val="18"/>
          <w:szCs w:val="18"/>
          <w:color w:val="auto"/>
        </w:rPr>
        <w:t>s scheduled for presentation on September 6, 2025 between 2:00 PM - 3:30 PM PT, during the Basic and Translational session.</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Phase 1 initiation remains on-track for 2H26.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milestones:</w:t>
      </w:r>
    </w:p>
    <w:p>
      <w:pPr>
        <w:spacing w:after="0" w:line="1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REC-4881 (MEK1/2): Additional data in FAP from TUPELO expected in 2H25.</w:t>
      </w:r>
    </w:p>
    <w:p>
      <w:pPr>
        <w:spacing w:after="0" w:line="2"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REC-617 (CDK7): Additional monotherapy data expected in 2H25.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REC-7735 (PI3Kα H1047R): Preclinical studies ongoing with development candidate expected in 2H25.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REC-1245 (RBM39): Early Phase 1 safety and PK monotherapy data expected in 1H26.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REC-3565 (MALT1): Early Phase 1 safety and PK monotherapy data expected in 2H26.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REC-102 (ENPP1): Phase 1 initiation expected in 2H26.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for over $100 million in partnership milestones by the end of 2026.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Several programs are advancing towards potential development candidate designation over the next 12-15 months.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Multiple neuroscience target validation programs advancing by leveraging the RecursionOS.</w:t>
      </w:r>
    </w:p>
    <w:p>
      <w:pPr>
        <w:spacing w:after="0" w:line="207" w:lineRule="exact"/>
        <w:rPr>
          <w:sz w:val="20"/>
          <w:szCs w:val="20"/>
          <w:color w:val="auto"/>
        </w:rPr>
      </w:pPr>
    </w:p>
    <w:p>
      <w:pPr>
        <w:jc w:val="both"/>
        <w:ind w:left="660" w:right="42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Sanofi: </w:t>
      </w:r>
      <w:r>
        <w:rPr>
          <w:rFonts w:ascii="Arial" w:cs="Arial" w:eastAsia="Arial" w:hAnsi="Arial"/>
          <w:sz w:val="18"/>
          <w:szCs w:val="18"/>
          <w:color w:val="auto"/>
        </w:rPr>
        <w:t>Recursion and Sanofi continue to advance multi-target collaboration for up to 15 best-in-class or first-in-class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oncology and immunology, with $130 million in upfront and milestone payments achieved to date. Each program has the potential for over $300 million in milestone payments.</w:t>
      </w:r>
    </w:p>
    <w:p>
      <w:pPr>
        <w:spacing w:after="0" w:line="2" w:lineRule="exact"/>
        <w:rPr>
          <w:rFonts w:ascii="Arial" w:cs="Arial" w:eastAsia="Arial" w:hAnsi="Arial"/>
          <w:sz w:val="18"/>
          <w:szCs w:val="18"/>
          <w:color w:val="auto"/>
        </w:rPr>
      </w:pPr>
    </w:p>
    <w:p>
      <w:pPr>
        <w:ind w:left="1300" w:right="540" w:hanging="320"/>
        <w:spacing w:after="0" w:line="242"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2Q, achieved a $7 million milestone payment for an immunology program. Under the collaboration, this is the fourth partnered program reaching a significant discovery milestone in 18 months.</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Sanofi is now leveraging combined RecursionOS 2.0, including phenomics, to identify new program opportunities.</w:t>
      </w: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Several programs are advancing towards potential development candidate designation over the next 12-15 months.</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Roche and Genentech: </w:t>
      </w:r>
      <w:r>
        <w:rPr>
          <w:rFonts w:ascii="Arial" w:cs="Arial" w:eastAsia="Arial" w:hAnsi="Arial"/>
          <w:sz w:val="18"/>
          <w:szCs w:val="18"/>
          <w:color w:val="auto"/>
        </w:rPr>
        <w:t>Recursion continues to make meaningful progress on both building additional neuromaps and driving target</w:t>
      </w:r>
      <w:r>
        <w:rPr>
          <w:rFonts w:ascii="Arial" w:cs="Arial" w:eastAsia="Arial" w:hAnsi="Arial"/>
          <w:sz w:val="18"/>
          <w:szCs w:val="18"/>
          <w:b w:val="1"/>
          <w:bCs w:val="1"/>
          <w:color w:val="auto"/>
        </w:rPr>
        <w:t xml:space="preserve"> </w:t>
      </w:r>
      <w:r>
        <w:rPr>
          <w:rFonts w:ascii="Arial" w:cs="Arial" w:eastAsia="Arial" w:hAnsi="Arial"/>
          <w:sz w:val="18"/>
          <w:szCs w:val="18"/>
          <w:color w:val="auto"/>
        </w:rPr>
        <w:t>validation and small molecule programs in a single GI oncology indication.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right="140" w:hanging="320"/>
        <w:spacing w:after="0" w:line="260"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Neuro</w:t>
      </w:r>
      <w:r>
        <w:rPr>
          <w:rFonts w:ascii="Arial" w:cs="Arial" w:eastAsia="Arial" w:hAnsi="Arial"/>
          <w:sz w:val="18"/>
          <w:szCs w:val="18"/>
          <w:color w:val="auto"/>
        </w:rPr>
        <w:t>: To date, the collaboration has built a whole-genome knockout phenomap derived from over one trillion iPSC-derived</w:t>
      </w:r>
      <w:r>
        <w:rPr>
          <w:rFonts w:ascii="Arial" w:cs="Arial" w:eastAsia="Arial" w:hAnsi="Arial"/>
          <w:sz w:val="18"/>
          <w:szCs w:val="18"/>
          <w:i w:val="1"/>
          <w:iCs w:val="1"/>
          <w:color w:val="auto"/>
        </w:rPr>
        <w:t xml:space="preserve"> </w:t>
      </w:r>
      <w:r>
        <w:rPr>
          <w:rFonts w:ascii="Arial" w:cs="Arial" w:eastAsia="Arial" w:hAnsi="Arial"/>
          <w:sz w:val="18"/>
          <w:szCs w:val="18"/>
          <w:color w:val="auto"/>
        </w:rPr>
        <w:t>neural cells, alongside around 5,000 transcriptomes representing approximately 171 TB of data.</w:t>
      </w:r>
    </w:p>
    <w:p>
      <w:pPr>
        <w:spacing w:after="0" w:line="1" w:lineRule="exact"/>
        <w:rPr>
          <w:rFonts w:ascii="Arial" w:cs="Arial" w:eastAsia="Arial" w:hAnsi="Arial"/>
          <w:sz w:val="18"/>
          <w:szCs w:val="18"/>
          <w:color w:val="auto"/>
        </w:rPr>
      </w:pPr>
    </w:p>
    <w:p>
      <w:pPr>
        <w:ind w:left="1960" w:right="480" w:hanging="332"/>
        <w:spacing w:after="0" w:line="250" w:lineRule="auto"/>
        <w:tabs>
          <w:tab w:leader="none" w:pos="1956" w:val="left"/>
        </w:tabs>
        <w:numPr>
          <w:ilvl w:val="2"/>
          <w:numId w:val="13"/>
        </w:numPr>
        <w:rPr>
          <w:rFonts w:ascii="Arial" w:cs="Arial" w:eastAsia="Arial" w:hAnsi="Arial"/>
          <w:sz w:val="18"/>
          <w:szCs w:val="18"/>
          <w:color w:val="auto"/>
        </w:rPr>
      </w:pPr>
      <w:r>
        <w:rPr>
          <w:rFonts w:ascii="Arial" w:cs="Arial" w:eastAsia="Arial" w:hAnsi="Arial"/>
          <w:sz w:val="18"/>
          <w:szCs w:val="18"/>
          <w:color w:val="auto"/>
        </w:rPr>
        <w:t>Potential neuroscience targets have been identified for validation from the map, and today multiple novel target validation programs are advancing leveraging the RecursionOS and Genentech’s biological expertise.</w:t>
      </w:r>
    </w:p>
    <w:p>
      <w:pPr>
        <w:ind w:left="1960" w:right="220" w:hanging="332"/>
        <w:spacing w:after="0" w:line="250" w:lineRule="auto"/>
        <w:tabs>
          <w:tab w:leader="none" w:pos="1956" w:val="left"/>
        </w:tabs>
        <w:numPr>
          <w:ilvl w:val="2"/>
          <w:numId w:val="13"/>
        </w:numPr>
        <w:rPr>
          <w:rFonts w:ascii="Arial" w:cs="Arial" w:eastAsia="Arial" w:hAnsi="Arial"/>
          <w:sz w:val="18"/>
          <w:szCs w:val="18"/>
          <w:color w:val="auto"/>
        </w:rPr>
      </w:pPr>
      <w:r>
        <w:rPr>
          <w:rFonts w:ascii="Arial" w:cs="Arial" w:eastAsia="Arial" w:hAnsi="Arial"/>
          <w:sz w:val="18"/>
          <w:szCs w:val="18"/>
          <w:color w:val="auto"/>
        </w:rPr>
        <w:t>Building additional neuromaps, including multi-modal maps, combining Roche and Genentech's expertise in single cell screens with Recursion’s and Genentech’s multi-omic machine learning capabilities.</w:t>
      </w:r>
    </w:p>
    <w:p>
      <w:pPr>
        <w:ind w:left="1300" w:right="280" w:hanging="320"/>
        <w:spacing w:after="0" w:line="250"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GI-Oncology</w:t>
      </w:r>
      <w:r>
        <w:rPr>
          <w:rFonts w:ascii="Arial" w:cs="Arial" w:eastAsia="Arial" w:hAnsi="Arial"/>
          <w:sz w:val="18"/>
          <w:szCs w:val="18"/>
          <w:color w:val="auto"/>
        </w:rPr>
        <w:t>: To date, Recursion has generated all whole genome scale and small molecule GI-oncology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phenomaps contemplated in the partnership, from which both novel target and small molecule programs can be surfaced.</w:t>
      </w:r>
    </w:p>
    <w:p>
      <w:pPr>
        <w:ind w:left="1620"/>
        <w:spacing w:after="0"/>
        <w:rPr>
          <w:rFonts w:ascii="Arial" w:cs="Arial" w:eastAsia="Arial" w:hAnsi="Arial"/>
          <w:sz w:val="18"/>
          <w:szCs w:val="18"/>
          <w:color w:val="auto"/>
        </w:rPr>
      </w:pPr>
      <w:r>
        <w:rPr>
          <w:rFonts w:ascii="Arial" w:cs="Arial" w:eastAsia="Arial" w:hAnsi="Arial"/>
          <w:sz w:val="18"/>
          <w:szCs w:val="18"/>
          <w:color w:val="auto"/>
        </w:rPr>
        <w:t>◦   One optioned program continues to advance toward lead series.</w:t>
      </w:r>
    </w:p>
    <w:p>
      <w:pPr>
        <w:spacing w:after="0" w:line="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   Focused on advancing multiple novel target and/or compound programs.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Bayer: </w:t>
      </w:r>
      <w:r>
        <w:rPr>
          <w:rFonts w:ascii="Arial" w:cs="Arial" w:eastAsia="Arial" w:hAnsi="Arial"/>
          <w:sz w:val="18"/>
          <w:szCs w:val="18"/>
          <w:color w:val="auto"/>
        </w:rPr>
        <w:t>Recursion and Bayer have nominated multiple early discovery precision oncology programs against previously “undruggable”</w:t>
      </w:r>
      <w:r>
        <w:rPr>
          <w:rFonts w:ascii="Arial" w:cs="Arial" w:eastAsia="Arial" w:hAnsi="Arial"/>
          <w:sz w:val="18"/>
          <w:szCs w:val="18"/>
          <w:b w:val="1"/>
          <w:bCs w:val="1"/>
          <w:color w:val="auto"/>
        </w:rPr>
        <w:t xml:space="preserve"> </w:t>
      </w:r>
      <w:r>
        <w:rPr>
          <w:rFonts w:ascii="Arial" w:cs="Arial" w:eastAsia="Arial" w:hAnsi="Arial"/>
          <w:sz w:val="18"/>
          <w:szCs w:val="18"/>
          <w:color w:val="auto"/>
        </w:rPr>
        <w:t>targets. Work is underway to advance multiple programs to lead series milestone decisions.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Merck KgAa, Darmstadt, Germany</w:t>
      </w:r>
      <w:r>
        <w:rPr>
          <w:rFonts w:ascii="Arial" w:cs="Arial" w:eastAsia="Arial" w:hAnsi="Arial"/>
          <w:sz w:val="18"/>
          <w:szCs w:val="18"/>
          <w:color w:val="auto"/>
        </w:rPr>
        <w:t>: Collaboration ongoing to identify first-in-class and best-in-class targets.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863590" cy="1988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40"/>
        <w:spacing w:after="0" w:line="245" w:lineRule="auto"/>
        <w:rPr>
          <w:sz w:val="20"/>
          <w:szCs w:val="20"/>
          <w:color w:val="auto"/>
        </w:rPr>
      </w:pPr>
      <w:r>
        <w:rPr>
          <w:rFonts w:ascii="Arial" w:cs="Arial" w:eastAsia="Arial" w:hAnsi="Arial"/>
          <w:sz w:val="18"/>
          <w:szCs w:val="18"/>
          <w:color w:val="auto"/>
        </w:rPr>
        <w:t>Recursion OS 2.0: The platform is continuing to drive program development with applications across biology, chemistry and clinical development.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Actively expanding the Virtual Cell to understand and predict cellular behavior across a wider range of biology.</w:t>
      </w:r>
    </w:p>
    <w:p>
      <w:pPr>
        <w:spacing w:after="0" w:line="9" w:lineRule="exact"/>
        <w:rPr>
          <w:rFonts w:ascii="Arial" w:cs="Arial" w:eastAsia="Arial" w:hAnsi="Arial"/>
          <w:sz w:val="18"/>
          <w:szCs w:val="18"/>
          <w:color w:val="auto"/>
        </w:rPr>
      </w:pPr>
    </w:p>
    <w:p>
      <w:pPr>
        <w:ind w:left="1300" w:hanging="320"/>
        <w:spacing w:after="0" w:line="250"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Boltz-2 open source model released with MIT and Nvidia to commoditize state of the art performance for binding affinity prediction approaching the accuracy of physics-based free energy perturbation (FEP) calculations while being over 1,000 times faster and less computationally expensive. The open source tool has been downloaded by over 40,000 unique users to date.</w:t>
      </w:r>
    </w:p>
    <w:p>
      <w:pPr>
        <w:spacing w:after="0" w:line="1" w:lineRule="exact"/>
        <w:rPr>
          <w:rFonts w:ascii="Arial" w:cs="Arial" w:eastAsia="Arial" w:hAnsi="Arial"/>
          <w:sz w:val="18"/>
          <w:szCs w:val="18"/>
          <w:color w:val="auto"/>
        </w:rPr>
      </w:pPr>
    </w:p>
    <w:p>
      <w:pPr>
        <w:ind w:left="1300" w:right="340" w:hanging="320"/>
        <w:spacing w:after="0" w:line="250"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Incorporating diverse cell types beyond HUVEC and disease areas beyond oncology, to discover more novel biology and new medicines.</w:t>
      </w:r>
    </w:p>
    <w:p>
      <w:pPr>
        <w:ind w:left="660" w:right="20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Recursion continues to expand its ClinTech platform, integrating high-quality, linked patient datasets like Tempus, HealthVerity, and Helix to strengthen programs, bolster preclinical and early clinical data to select patients (e.g., for REC-617), and optimize recruitment.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updates:</w:t>
      </w:r>
    </w:p>
    <w:p>
      <w:pPr>
        <w:spacing w:after="0" w:line="27"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 xml:space="preserve">Total restructuring costs for the six months ended June 30, 2025 and 2024, were </w:t>
      </w:r>
      <w:r>
        <w:rPr>
          <w:rFonts w:ascii="Arial" w:cs="Arial" w:eastAsia="Arial" w:hAnsi="Arial"/>
          <w:sz w:val="18"/>
          <w:szCs w:val="18"/>
          <w:color w:val="1E1E1E"/>
        </w:rPr>
        <w:t>$8.8 million</w:t>
      </w:r>
      <w:r>
        <w:rPr>
          <w:rFonts w:ascii="Arial" w:cs="Arial" w:eastAsia="Arial" w:hAnsi="Arial"/>
          <w:sz w:val="18"/>
          <w:szCs w:val="18"/>
          <w:color w:val="auto"/>
        </w:rPr>
        <w:t xml:space="preserve"> and </w:t>
      </w:r>
      <w:r>
        <w:rPr>
          <w:rFonts w:ascii="Arial" w:cs="Arial" w:eastAsia="Arial" w:hAnsi="Arial"/>
          <w:sz w:val="18"/>
          <w:szCs w:val="18"/>
          <w:color w:val="1E1E1E"/>
        </w:rPr>
        <w:t>$1.1 million, respectively</w:t>
      </w:r>
      <w:r>
        <w:rPr>
          <w:rFonts w:ascii="Arial" w:cs="Arial" w:eastAsia="Arial" w:hAnsi="Arial"/>
          <w:sz w:val="18"/>
          <w:szCs w:val="18"/>
          <w:color w:val="auto"/>
        </w:rPr>
        <w:t>. These were driven primarily by our June 2025 announced program. See Note 3, “Supplemental Financial Information” to the Condensed Consolidated “Financial Statements for additional details.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8"/>
          <w:szCs w:val="18"/>
          <w:color w:val="1E1E1E"/>
        </w:rPr>
        <w:t>2023</w:t>
      </w:r>
      <w:r>
        <w:rPr>
          <w:rFonts w:ascii="Arial" w:cs="Arial" w:eastAsia="Arial" w:hAnsi="Arial"/>
          <w:sz w:val="18"/>
          <w:szCs w:val="18"/>
          <w:color w:val="auto"/>
        </w:rPr>
        <w:t xml:space="preserve">, our financing and operations activities include the following: </w:t>
      </w:r>
      <w:r>
        <w:rPr>
          <w:rFonts w:ascii="Arial" w:cs="Arial" w:eastAsia="Arial" w:hAnsi="Arial"/>
          <w:sz w:val="18"/>
          <w:szCs w:val="18"/>
          <w:color w:val="1E1E1E"/>
        </w:rPr>
        <w:t>In</w:t>
      </w:r>
      <w:r>
        <w:rPr>
          <w:rFonts w:ascii="Arial" w:cs="Arial" w:eastAsia="Arial" w:hAnsi="Arial"/>
          <w:sz w:val="18"/>
          <w:szCs w:val="18"/>
          <w:color w:val="auto"/>
        </w:rPr>
        <w:t xml:space="preserve"> July 2023</w:t>
      </w:r>
      <w:r>
        <w:rPr>
          <w:rFonts w:ascii="Arial" w:cs="Arial" w:eastAsia="Arial" w:hAnsi="Arial"/>
          <w:sz w:val="18"/>
          <w:szCs w:val="18"/>
          <w:color w:val="1E1E1E"/>
        </w:rPr>
        <w:t>, we issued an aggregate of</w:t>
      </w:r>
      <w:r>
        <w:rPr>
          <w:rFonts w:ascii="Arial" w:cs="Arial" w:eastAsia="Arial" w:hAnsi="Arial"/>
          <w:sz w:val="18"/>
          <w:szCs w:val="18"/>
          <w:color w:val="auto"/>
        </w:rPr>
        <w:t xml:space="preserve"> 7.7 million </w:t>
      </w:r>
      <w:r>
        <w:rPr>
          <w:rFonts w:ascii="Arial" w:cs="Arial" w:eastAsia="Arial" w:hAnsi="Arial"/>
          <w:sz w:val="18"/>
          <w:szCs w:val="18"/>
          <w:color w:val="1E1E1E"/>
        </w:rPr>
        <w:t>shares of our</w:t>
      </w:r>
      <w:r>
        <w:rPr>
          <w:rFonts w:ascii="Arial" w:cs="Arial" w:eastAsia="Arial" w:hAnsi="Arial"/>
          <w:sz w:val="18"/>
          <w:szCs w:val="18"/>
          <w:color w:val="auto"/>
        </w:rPr>
        <w:t xml:space="preserve"> </w:t>
      </w:r>
      <w:r>
        <w:rPr>
          <w:rFonts w:ascii="Arial" w:cs="Arial" w:eastAsia="Arial" w:hAnsi="Arial"/>
          <w:sz w:val="18"/>
          <w:szCs w:val="18"/>
          <w:color w:val="1E1E1E"/>
        </w:rPr>
        <w:t xml:space="preserve">Class A common stock at a purchase price of $6.49 per share in the 2023 Private Placement with NVIDIA Corporation for net proceeds of approximately $49.9 million. In </w:t>
      </w:r>
      <w:r>
        <w:rPr>
          <w:rFonts w:ascii="Arial" w:cs="Arial" w:eastAsia="Arial" w:hAnsi="Arial"/>
          <w:sz w:val="18"/>
          <w:szCs w:val="18"/>
          <w:color w:val="000000"/>
        </w:rPr>
        <w:t>August 2023</w:t>
      </w:r>
      <w:r>
        <w:rPr>
          <w:rFonts w:ascii="Arial" w:cs="Arial" w:eastAsia="Arial" w:hAnsi="Arial"/>
          <w:sz w:val="18"/>
          <w:szCs w:val="18"/>
          <w:color w:val="1E1E1E"/>
        </w:rPr>
        <w:t>, we entered into an O</w:t>
      </w:r>
      <w:r>
        <w:rPr>
          <w:rFonts w:ascii="Arial" w:cs="Arial" w:eastAsia="Arial" w:hAnsi="Arial"/>
          <w:sz w:val="18"/>
          <w:szCs w:val="18"/>
          <w:color w:val="000000"/>
        </w:rPr>
        <w:t>pen Market Sales Agreement with Jefferies LLC to provide for the offering,</w:t>
      </w:r>
      <w:r>
        <w:rPr>
          <w:rFonts w:ascii="Arial" w:cs="Arial" w:eastAsia="Arial" w:hAnsi="Arial"/>
          <w:sz w:val="18"/>
          <w:szCs w:val="18"/>
          <w:color w:val="1E1E1E"/>
        </w:rPr>
        <w:t xml:space="preserve"> </w:t>
      </w:r>
      <w:r>
        <w:rPr>
          <w:rFonts w:ascii="Arial" w:cs="Arial" w:eastAsia="Arial" w:hAnsi="Arial"/>
          <w:sz w:val="18"/>
          <w:szCs w:val="18"/>
          <w:color w:val="000000"/>
        </w:rPr>
        <w:t xml:space="preserve">issuance and sale of up to an aggregate amount of </w:t>
      </w:r>
      <w:r>
        <w:rPr>
          <w:rFonts w:ascii="Arial" w:cs="Arial" w:eastAsia="Arial" w:hAnsi="Arial"/>
          <w:sz w:val="18"/>
          <w:szCs w:val="18"/>
          <w:color w:val="1E1E1E"/>
        </w:rPr>
        <w:t>$300.0 million</w:t>
      </w:r>
      <w:r>
        <w:rPr>
          <w:rFonts w:ascii="Arial" w:cs="Arial" w:eastAsia="Arial" w:hAnsi="Arial"/>
          <w:sz w:val="18"/>
          <w:szCs w:val="18"/>
          <w:color w:val="000000"/>
        </w:rPr>
        <w:t xml:space="preserve"> of its Class A common stock. The Company sold 26.8 million shares and received net proceeds of $199.1 million under the agreement. In June 2024, we issued an aggregate of 35.4 million shares of our Class A common stock at a purchase price of </w:t>
      </w:r>
      <w:r>
        <w:rPr>
          <w:rFonts w:ascii="Arial" w:cs="Arial" w:eastAsia="Arial" w:hAnsi="Arial"/>
          <w:sz w:val="18"/>
          <w:szCs w:val="18"/>
          <w:color w:val="1E1E1E"/>
        </w:rPr>
        <w:t>$6.50</w:t>
      </w:r>
      <w:r>
        <w:rPr>
          <w:rFonts w:ascii="Arial" w:cs="Arial" w:eastAsia="Arial" w:hAnsi="Arial"/>
          <w:sz w:val="18"/>
          <w:szCs w:val="18"/>
          <w:color w:val="000000"/>
        </w:rPr>
        <w:t xml:space="preserve"> per share and received net proceeds of $216.4 million</w:t>
      </w:r>
      <w:r>
        <w:rPr>
          <w:rFonts w:ascii="Arial" w:cs="Arial" w:eastAsia="Arial" w:hAnsi="Arial"/>
          <w:sz w:val="18"/>
          <w:szCs w:val="18"/>
          <w:color w:val="1E1E1E"/>
        </w:rPr>
        <w:t>, after deducting</w:t>
      </w:r>
      <w:r>
        <w:rPr>
          <w:rFonts w:ascii="Arial" w:cs="Arial" w:eastAsia="Arial" w:hAnsi="Arial"/>
          <w:sz w:val="18"/>
          <w:szCs w:val="18"/>
          <w:color w:val="000000"/>
        </w:rPr>
        <w:t xml:space="preserve"> transaction costs of $13.6 million. </w:t>
      </w:r>
      <w:r>
        <w:rPr>
          <w:rFonts w:ascii="Arial" w:cs="Arial" w:eastAsia="Arial" w:hAnsi="Arial"/>
          <w:sz w:val="18"/>
          <w:szCs w:val="18"/>
          <w:color w:val="1E1E1E"/>
        </w:rPr>
        <w:t>See Note 8, “Common Stock” to the Condensed Consolidated Financial Statements for additional information on the public offering.</w:t>
      </w:r>
      <w:r>
        <w:rPr>
          <w:rFonts w:ascii="Arial" w:cs="Arial" w:eastAsia="Arial" w:hAnsi="Arial"/>
          <w:sz w:val="18"/>
          <w:szCs w:val="18"/>
          <w:color w:val="000000"/>
        </w:rPr>
        <w:t xml:space="preserve"> </w:t>
      </w:r>
      <w:r>
        <w:rPr>
          <w:rFonts w:ascii="Arial" w:cs="Arial" w:eastAsia="Arial" w:hAnsi="Arial"/>
          <w:sz w:val="18"/>
          <w:szCs w:val="18"/>
          <w:color w:val="1E1E1E"/>
        </w:rPr>
        <w:t>In September 2024</w:t>
      </w:r>
      <w:r>
        <w:rPr>
          <w:rFonts w:ascii="Arial" w:cs="Arial" w:eastAsia="Arial" w:hAnsi="Arial"/>
          <w:sz w:val="18"/>
          <w:szCs w:val="18"/>
          <w:color w:val="000000"/>
        </w:rPr>
        <w:t>, we received a Phenomap acceptance fee of $30.0 million from our collaboration with Roche. In</w:t>
      </w:r>
      <w:r>
        <w:rPr>
          <w:rFonts w:ascii="Arial" w:cs="Arial" w:eastAsia="Arial" w:hAnsi="Arial"/>
          <w:sz w:val="18"/>
          <w:szCs w:val="18"/>
          <w:color w:val="1E1E1E"/>
        </w:rPr>
        <w:t xml:space="preserve"> February 2025</w:t>
      </w:r>
      <w:r>
        <w:rPr>
          <w:rFonts w:ascii="Arial" w:cs="Arial" w:eastAsia="Arial" w:hAnsi="Arial"/>
          <w:sz w:val="18"/>
          <w:szCs w:val="18"/>
          <w:color w:val="000000"/>
        </w:rPr>
        <w:t>, the</w:t>
      </w:r>
      <w:r>
        <w:rPr>
          <w:rFonts w:ascii="Arial" w:cs="Arial" w:eastAsia="Arial" w:hAnsi="Arial"/>
          <w:sz w:val="18"/>
          <w:szCs w:val="18"/>
          <w:color w:val="1E1E1E"/>
        </w:rPr>
        <w:t xml:space="preserve"> </w:t>
      </w:r>
      <w:r>
        <w:rPr>
          <w:rFonts w:ascii="Arial" w:cs="Arial" w:eastAsia="Arial" w:hAnsi="Arial"/>
          <w:sz w:val="18"/>
          <w:szCs w:val="18"/>
          <w:color w:val="000000"/>
        </w:rPr>
        <w:t>Company terminated the Sales Agreement with Jefferies LLC and entered into a Sales Agreement with Citigroup Capital Markets Inc., to provide for the offering, issuance and sale of up to an aggregate amount of 500.0 million of its Class A common stock. As of June 30, 2025, an amount of $395.9 million remained available for future sales under the Sales Agreement. For the six months ended June 30, 2025, the Company has sold 22.3 million shares and received net proceeds of $104.1 million under the agreement.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use the capital we have raised to fund operating and investing activities across platform research operations, drug discovery, clinical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development, digital and other infrastructure, creation of our portfolio of intellectual property and administrative support. We do not have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products approved for commercial sale and have not generated any revenues from product sales. We had cash and cash equivalents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$525.1 million as of June 30, 2025. Based on our current operating plan, we believe that our cash and cash equivalents will be sufficient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our operations for at least the next twelve months.</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inception, we have incurred significant operating losses. Our net losses were $171.9 million and $374.4 million during the three and six months ended June 30, 2025, respectively. Our net losses were $97.5 million and $188.9 million during the three and six months ended June 30, 2024, respectively. As of June 30, 2025, our accumulated deficit was $1.8 billion.</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10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June</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right"/>
              <w:ind w:right="47"/>
              <w:spacing w:after="0"/>
              <w:rPr>
                <w:sz w:val="20"/>
                <w:szCs w:val="20"/>
                <w:color w:val="auto"/>
              </w:rPr>
            </w:pPr>
            <w:r>
              <w:rPr>
                <w:rFonts w:ascii="Arial" w:cs="Arial" w:eastAsia="Arial" w:hAnsi="Arial"/>
                <w:sz w:val="16"/>
                <w:szCs w:val="16"/>
                <w:b w:val="1"/>
                <w:bCs w:val="1"/>
                <w:color w:val="auto"/>
              </w:rPr>
              <w:t>Six months ended June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0"/>
        </w:trPr>
        <w:tc>
          <w:tcPr>
            <w:tcW w:w="2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b w:val="1"/>
                <w:bCs w:val="1"/>
                <w:color w:val="auto"/>
              </w:rPr>
              <w:t>30,</w:t>
            </w: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b w:val="1"/>
                <w:bCs w:val="1"/>
                <w:color w:val="auto"/>
              </w:rPr>
              <w:t>30,</w:t>
            </w: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39"/>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47"/>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67"/>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w:t>
            </w:r>
          </w:p>
        </w:tc>
      </w:tr>
      <w:tr>
        <w:trPr>
          <w:trHeight w:val="196"/>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revenue</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19,103</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14,404</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27"/>
              <w:spacing w:after="0"/>
              <w:rPr>
                <w:sz w:val="20"/>
                <w:szCs w:val="20"/>
                <w:color w:val="auto"/>
              </w:rPr>
            </w:pPr>
            <w:r>
              <w:rPr>
                <w:rFonts w:ascii="Arial" w:cs="Arial" w:eastAsia="Arial" w:hAnsi="Arial"/>
                <w:sz w:val="14"/>
                <w:szCs w:val="14"/>
                <w:color w:val="auto"/>
              </w:rPr>
              <w:t>4,699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33,921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07"/>
              <w:spacing w:after="0"/>
              <w:rPr>
                <w:sz w:val="20"/>
                <w:szCs w:val="20"/>
                <w:color w:val="auto"/>
              </w:rPr>
            </w:pPr>
            <w:r>
              <w:rPr>
                <w:rFonts w:ascii="Arial" w:cs="Arial" w:eastAsia="Arial" w:hAnsi="Arial"/>
                <w:sz w:val="14"/>
                <w:szCs w:val="14"/>
                <w:color w:val="auto"/>
              </w:rPr>
              <w:t>6,026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98"/>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Grant revenue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color w:val="auto"/>
              </w:rPr>
              <w:t>107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47</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color w:val="auto"/>
              </w:rPr>
              <w:t>(269)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20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14,417</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27"/>
              <w:spacing w:after="0"/>
              <w:rPr>
                <w:sz w:val="20"/>
                <w:szCs w:val="20"/>
                <w:color w:val="auto"/>
              </w:rPr>
            </w:pPr>
            <w:r>
              <w:rPr>
                <w:rFonts w:ascii="Arial" w:cs="Arial" w:eastAsia="Arial" w:hAnsi="Arial"/>
                <w:sz w:val="14"/>
                <w:szCs w:val="14"/>
                <w:color w:val="auto"/>
              </w:rPr>
              <w:t>4,806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33,968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28,211</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7"/>
              <w:spacing w:after="0"/>
              <w:rPr>
                <w:sz w:val="20"/>
                <w:szCs w:val="20"/>
                <w:color w:val="auto"/>
              </w:rPr>
            </w:pPr>
            <w:r>
              <w:rPr>
                <w:rFonts w:ascii="Arial" w:cs="Arial" w:eastAsia="Arial" w:hAnsi="Arial"/>
                <w:sz w:val="14"/>
                <w:szCs w:val="14"/>
                <w:color w:val="auto"/>
              </w:rPr>
              <w:t>5,757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r>
        <w:trPr>
          <w:trHeight w:val="257"/>
        </w:trPr>
        <w:tc>
          <w:tcPr>
            <w:tcW w:w="2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8"/>
        </w:trPr>
        <w:tc>
          <w:tcPr>
            <w:tcW w:w="2960" w:type="dxa"/>
            <w:vAlign w:val="bottom"/>
          </w:tcPr>
          <w:p>
            <w:pPr>
              <w:ind w:left="140"/>
              <w:spacing w:after="0"/>
              <w:rPr>
                <w:sz w:val="20"/>
                <w:szCs w:val="20"/>
                <w:color w:val="auto"/>
              </w:rPr>
            </w:pPr>
            <w:r>
              <w:rPr>
                <w:rFonts w:ascii="Arial" w:cs="Arial" w:eastAsia="Arial" w:hAnsi="Arial"/>
                <w:sz w:val="14"/>
                <w:szCs w:val="14"/>
                <w:color w:val="auto"/>
              </w:rPr>
              <w:t>Cost of revenue</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20,161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9,199</w:t>
            </w:r>
          </w:p>
        </w:tc>
        <w:tc>
          <w:tcPr>
            <w:tcW w:w="280" w:type="dxa"/>
            <w:vAlign w:val="bottom"/>
          </w:tcPr>
          <w:p>
            <w:pPr>
              <w:spacing w:after="0"/>
              <w:rPr>
                <w:sz w:val="17"/>
                <w:szCs w:val="17"/>
                <w:color w:val="auto"/>
              </w:rPr>
            </w:pPr>
          </w:p>
        </w:tc>
        <w:tc>
          <w:tcPr>
            <w:tcW w:w="1100" w:type="dxa"/>
            <w:vAlign w:val="bottom"/>
          </w:tcPr>
          <w:p>
            <w:pPr>
              <w:jc w:val="right"/>
              <w:ind w:right="327"/>
              <w:spacing w:after="0"/>
              <w:rPr>
                <w:sz w:val="20"/>
                <w:szCs w:val="20"/>
                <w:color w:val="auto"/>
              </w:rPr>
            </w:pPr>
            <w:r>
              <w:rPr>
                <w:rFonts w:ascii="Arial" w:cs="Arial" w:eastAsia="Arial" w:hAnsi="Arial"/>
                <w:sz w:val="14"/>
                <w:szCs w:val="14"/>
                <w:color w:val="auto"/>
              </w:rPr>
              <w:t>10,962</w:t>
            </w:r>
          </w:p>
        </w:tc>
        <w:tc>
          <w:tcPr>
            <w:tcW w:w="640" w:type="dxa"/>
            <w:vAlign w:val="bottom"/>
          </w:tcPr>
          <w:p>
            <w:pPr>
              <w:jc w:val="right"/>
              <w:spacing w:after="0"/>
              <w:rPr>
                <w:sz w:val="20"/>
                <w:szCs w:val="20"/>
                <w:color w:val="auto"/>
              </w:rPr>
            </w:pPr>
            <w:r>
              <w:rPr>
                <w:rFonts w:ascii="Arial" w:cs="Arial" w:eastAsia="Arial" w:hAnsi="Arial"/>
                <w:sz w:val="14"/>
                <w:szCs w:val="14"/>
                <w:color w:val="auto"/>
              </w:rPr>
              <w:t>&gt;100%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
              <w:spacing w:after="0"/>
              <w:rPr>
                <w:sz w:val="20"/>
                <w:szCs w:val="20"/>
                <w:color w:val="auto"/>
              </w:rPr>
            </w:pPr>
            <w:r>
              <w:rPr>
                <w:rFonts w:ascii="Arial" w:cs="Arial" w:eastAsia="Arial" w:hAnsi="Arial"/>
                <w:sz w:val="14"/>
                <w:szCs w:val="14"/>
                <w:color w:val="auto"/>
              </w:rPr>
              <w:t>41,990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20,365</w:t>
            </w:r>
          </w:p>
        </w:tc>
        <w:tc>
          <w:tcPr>
            <w:tcW w:w="180" w:type="dxa"/>
            <w:vAlign w:val="bottom"/>
          </w:tcPr>
          <w:p>
            <w:pPr>
              <w:spacing w:after="0"/>
              <w:rPr>
                <w:sz w:val="17"/>
                <w:szCs w:val="17"/>
                <w:color w:val="auto"/>
              </w:rPr>
            </w:pPr>
          </w:p>
        </w:tc>
        <w:tc>
          <w:tcPr>
            <w:tcW w:w="1160" w:type="dxa"/>
            <w:vAlign w:val="bottom"/>
          </w:tcPr>
          <w:p>
            <w:pPr>
              <w:jc w:val="right"/>
              <w:ind w:right="407"/>
              <w:spacing w:after="0"/>
              <w:rPr>
                <w:sz w:val="20"/>
                <w:szCs w:val="20"/>
                <w:color w:val="auto"/>
              </w:rPr>
            </w:pPr>
            <w:r>
              <w:rPr>
                <w:rFonts w:ascii="Arial" w:cs="Arial" w:eastAsia="Arial" w:hAnsi="Arial"/>
                <w:sz w:val="14"/>
                <w:szCs w:val="14"/>
                <w:color w:val="auto"/>
              </w:rPr>
              <w:t>21,625</w:t>
            </w:r>
          </w:p>
        </w:tc>
        <w:tc>
          <w:tcPr>
            <w:tcW w:w="660" w:type="dxa"/>
            <w:vAlign w:val="bottom"/>
          </w:tcPr>
          <w:p>
            <w:pPr>
              <w:jc w:val="right"/>
              <w:spacing w:after="0"/>
              <w:rPr>
                <w:sz w:val="20"/>
                <w:szCs w:val="20"/>
                <w:color w:val="auto"/>
              </w:rPr>
            </w:pPr>
            <w:r>
              <w:rPr>
                <w:rFonts w:ascii="Arial" w:cs="Arial" w:eastAsia="Arial" w:hAnsi="Arial"/>
                <w:sz w:val="14"/>
                <w:szCs w:val="14"/>
                <w:color w:val="auto"/>
              </w:rPr>
              <w:t>&gt;100%</w:t>
            </w:r>
          </w:p>
        </w:tc>
      </w:tr>
      <w:tr>
        <w:trPr>
          <w:trHeight w:val="207"/>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128,636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73,928</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27"/>
              <w:spacing w:after="0"/>
              <w:rPr>
                <w:sz w:val="20"/>
                <w:szCs w:val="20"/>
                <w:color w:val="auto"/>
              </w:rPr>
            </w:pPr>
            <w:r>
              <w:rPr>
                <w:rFonts w:ascii="Arial" w:cs="Arial" w:eastAsia="Arial" w:hAnsi="Arial"/>
                <w:sz w:val="14"/>
                <w:szCs w:val="14"/>
                <w:color w:val="auto"/>
              </w:rPr>
              <w:t>54,708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258,269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141,488</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7"/>
              <w:spacing w:after="0"/>
              <w:rPr>
                <w:sz w:val="20"/>
                <w:szCs w:val="20"/>
                <w:color w:val="auto"/>
              </w:rPr>
            </w:pPr>
            <w:r>
              <w:rPr>
                <w:rFonts w:ascii="Arial" w:cs="Arial" w:eastAsia="Arial" w:hAnsi="Arial"/>
                <w:sz w:val="14"/>
                <w:szCs w:val="14"/>
                <w:color w:val="auto"/>
              </w:rPr>
              <w:t>116,781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r>
      <w:tr>
        <w:trPr>
          <w:trHeight w:val="198"/>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46,653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31,833</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color w:val="auto"/>
              </w:rPr>
              <w:t>14,820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101,304</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63,241</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color w:val="auto"/>
              </w:rPr>
              <w:t>38,063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r>
      <w:tr>
        <w:trPr>
          <w:trHeight w:val="20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costs and expenses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195,450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114,960</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27"/>
              <w:spacing w:after="0"/>
              <w:rPr>
                <w:sz w:val="20"/>
                <w:szCs w:val="20"/>
                <w:color w:val="auto"/>
              </w:rPr>
            </w:pPr>
            <w:r>
              <w:rPr>
                <w:rFonts w:ascii="Arial" w:cs="Arial" w:eastAsia="Arial" w:hAnsi="Arial"/>
                <w:sz w:val="14"/>
                <w:szCs w:val="14"/>
                <w:color w:val="auto"/>
              </w:rPr>
              <w:t>80,490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401,563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225,094</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7"/>
              <w:spacing w:after="0"/>
              <w:rPr>
                <w:sz w:val="20"/>
                <w:szCs w:val="20"/>
                <w:color w:val="auto"/>
              </w:rPr>
            </w:pPr>
            <w:r>
              <w:rPr>
                <w:rFonts w:ascii="Arial" w:cs="Arial" w:eastAsia="Arial" w:hAnsi="Arial"/>
                <w:sz w:val="14"/>
                <w:szCs w:val="14"/>
                <w:color w:val="auto"/>
              </w:rPr>
              <w:t>176,469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78 %</w:t>
            </w:r>
          </w:p>
        </w:tc>
      </w:tr>
      <w:tr>
        <w:trPr>
          <w:trHeight w:val="257"/>
        </w:trPr>
        <w:tc>
          <w:tcPr>
            <w:tcW w:w="2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19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(176,227)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(100,543)</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7"/>
              <w:spacing w:after="0"/>
              <w:rPr>
                <w:sz w:val="20"/>
                <w:szCs w:val="20"/>
                <w:color w:val="auto"/>
              </w:rPr>
            </w:pPr>
            <w:r>
              <w:rPr>
                <w:rFonts w:ascii="Arial" w:cs="Arial" w:eastAsia="Arial" w:hAnsi="Arial"/>
                <w:sz w:val="14"/>
                <w:szCs w:val="14"/>
                <w:color w:val="auto"/>
              </w:rPr>
              <w:t>(75,684)</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(367,595)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(196,883)</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67"/>
              <w:spacing w:after="0"/>
              <w:rPr>
                <w:sz w:val="20"/>
                <w:szCs w:val="20"/>
                <w:color w:val="auto"/>
              </w:rPr>
            </w:pPr>
            <w:r>
              <w:rPr>
                <w:rFonts w:ascii="Arial" w:cs="Arial" w:eastAsia="Arial" w:hAnsi="Arial"/>
                <w:sz w:val="14"/>
                <w:szCs w:val="14"/>
                <w:color w:val="auto"/>
              </w:rPr>
              <w:t>(170,712)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r>
      <w:tr>
        <w:trPr>
          <w:trHeight w:val="198"/>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income (loss), net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2,480</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color w:val="auto"/>
              </w:rPr>
              <w:t>1,850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(6,947)</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6,668</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color w:val="auto"/>
              </w:rPr>
              <w:t>(13,615)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0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 benefit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(171,897)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(98,063)</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7"/>
              <w:spacing w:after="0"/>
              <w:rPr>
                <w:sz w:val="20"/>
                <w:szCs w:val="20"/>
                <w:color w:val="auto"/>
              </w:rPr>
            </w:pPr>
            <w:r>
              <w:rPr>
                <w:rFonts w:ascii="Arial" w:cs="Arial" w:eastAsia="Arial" w:hAnsi="Arial"/>
                <w:sz w:val="14"/>
                <w:szCs w:val="14"/>
                <w:color w:val="auto"/>
              </w:rPr>
              <w:t>(73,834)</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(374,542)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(190,215)</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67"/>
              <w:spacing w:after="0"/>
              <w:rPr>
                <w:sz w:val="20"/>
                <w:szCs w:val="20"/>
                <w:color w:val="auto"/>
              </w:rPr>
            </w:pPr>
            <w:r>
              <w:rPr>
                <w:rFonts w:ascii="Arial" w:cs="Arial" w:eastAsia="Arial" w:hAnsi="Arial"/>
                <w:sz w:val="14"/>
                <w:szCs w:val="14"/>
                <w:color w:val="auto"/>
              </w:rPr>
              <w:t>(184,327)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97 %</w:t>
            </w:r>
          </w:p>
        </w:tc>
      </w:tr>
      <w:tr>
        <w:trPr>
          <w:trHeight w:val="19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(523)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158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color w:val="auto"/>
              </w:rPr>
              <w:t>(1,144)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24"/>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(171,897)</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(97,540)</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4"/>
                <w:szCs w:val="14"/>
                <w:color w:val="auto"/>
              </w:rPr>
              <w:t>(74,357)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(374,384)</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(188,913)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4"/>
                <w:szCs w:val="14"/>
                <w:color w:val="auto"/>
              </w:rPr>
              <w:t>(185,471)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right"/>
              <w:ind w:right="181"/>
              <w:spacing w:after="0"/>
              <w:rPr>
                <w:sz w:val="20"/>
                <w:szCs w:val="20"/>
                <w:color w:val="auto"/>
              </w:rPr>
            </w:pPr>
            <w:r>
              <w:rPr>
                <w:rFonts w:ascii="Arial" w:cs="Arial" w:eastAsia="Arial" w:hAnsi="Arial"/>
                <w:sz w:val="16"/>
                <w:szCs w:val="16"/>
                <w:b w:val="1"/>
                <w:bCs w:val="1"/>
                <w:color w:val="auto"/>
              </w:rPr>
              <w:t>Six months ended</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6"/>
        </w:trPr>
        <w:tc>
          <w:tcPr>
            <w:tcW w:w="3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39"/>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6"/>
              </w:rPr>
              <w:t>2024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14,404</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4,699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33,921</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27,895</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6,026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5"/>
        </w:trPr>
        <w:tc>
          <w:tcPr>
            <w:tcW w:w="31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107</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(269)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5"/>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19,223</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14,417</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4,806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33,968</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28,211</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5,757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
        </w:trPr>
        <w:tc>
          <w:tcPr>
            <w:tcW w:w="3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198"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For the three and six months ended June 30, 2025, the increase in revenue compared to prior period was due to the timing of projects from the Company’s Sanofi, Roche and Merck KGaA, Darmstadt, Germany collaborations.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cost of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Six months ended June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0"/>
        </w:trPr>
        <w:tc>
          <w:tcPr>
            <w:tcW w:w="3660" w:type="dxa"/>
            <w:vAlign w:val="bottom"/>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June 30,</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Change</w:t>
            </w:r>
          </w:p>
        </w:tc>
      </w:tr>
      <w:tr>
        <w:trPr>
          <w:trHeight w:val="41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r>
      <w:tr>
        <w:trPr>
          <w:trHeight w:val="235"/>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20,161 $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10,962</w:t>
            </w:r>
          </w:p>
        </w:tc>
        <w:tc>
          <w:tcPr>
            <w:tcW w:w="88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6"/>
                <w:szCs w:val="16"/>
                <w:color w:val="auto"/>
              </w:rPr>
              <w:t>&gt;100%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20,365</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21,625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 of revenue consists of the Company’s costs to provide services for drug discovery required under performance obligations with partnership customers. These primarily include materials costs, service hours performed by our employees and depreciation of property and equipment.</w:t>
      </w:r>
    </w:p>
    <w:p>
      <w:pPr>
        <w:spacing w:after="0" w:line="19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For the three and six months ended June 30, 2025, the change in cost of revenue compared to prior period was due to our Exscientia acquisition for which our results now also include additional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research and development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 June</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0"/>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30,</w:t>
            </w: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20"/>
                <w:szCs w:val="20"/>
                <w:color w:val="auto"/>
              </w:rPr>
            </w:pPr>
          </w:p>
        </w:tc>
      </w:tr>
      <w:tr>
        <w:trPr>
          <w:trHeight w:val="41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210"/>
        </w:trPr>
        <w:tc>
          <w:tcPr>
            <w:tcW w:w="328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80,023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47,202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148,774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58,734</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90,040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22,586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15,540</w:t>
            </w:r>
          </w:p>
        </w:tc>
        <w:tc>
          <w:tcPr>
            <w:tcW w:w="24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7,046</w:t>
            </w:r>
          </w:p>
        </w:tc>
        <w:tc>
          <w:tcPr>
            <w:tcW w:w="560" w:type="dxa"/>
            <w:vAlign w:val="bottom"/>
          </w:tcPr>
          <w:p>
            <w:pPr>
              <w:jc w:val="right"/>
              <w:spacing w:after="0"/>
              <w:rPr>
                <w:sz w:val="20"/>
                <w:szCs w:val="20"/>
                <w:color w:val="auto"/>
              </w:rPr>
            </w:pPr>
            <w:r>
              <w:rPr>
                <w:rFonts w:ascii="Arial" w:cs="Arial" w:eastAsia="Arial" w:hAnsi="Arial"/>
                <w:sz w:val="16"/>
                <w:szCs w:val="16"/>
                <w:color w:val="auto"/>
              </w:rPr>
              <w:t>45 %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43,436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32,182</w:t>
            </w:r>
          </w:p>
        </w:tc>
        <w:tc>
          <w:tcPr>
            <w:tcW w:w="24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11,254</w:t>
            </w:r>
          </w:p>
        </w:tc>
        <w:tc>
          <w:tcPr>
            <w:tcW w:w="62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1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19,568</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4,859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5,819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14,089</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8,579</w:t>
            </w:r>
          </w:p>
        </w:tc>
        <w:tc>
          <w:tcPr>
            <w:tcW w:w="24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5,510</w:t>
            </w:r>
          </w:p>
        </w:tc>
        <w:tc>
          <w:tcPr>
            <w:tcW w:w="560" w:type="dxa"/>
            <w:vAlign w:val="bottom"/>
          </w:tcPr>
          <w:p>
            <w:pPr>
              <w:jc w:val="right"/>
              <w:spacing w:after="0"/>
              <w:rPr>
                <w:sz w:val="20"/>
                <w:szCs w:val="20"/>
                <w:color w:val="auto"/>
              </w:rPr>
            </w:pPr>
            <w:r>
              <w:rPr>
                <w:rFonts w:ascii="Arial" w:cs="Arial" w:eastAsia="Arial" w:hAnsi="Arial"/>
                <w:sz w:val="16"/>
                <w:szCs w:val="16"/>
                <w:color w:val="auto"/>
              </w:rPr>
              <w:t>64 %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31,889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16,574</w:t>
            </w:r>
          </w:p>
        </w:tc>
        <w:tc>
          <w:tcPr>
            <w:tcW w:w="24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15,315</w:t>
            </w:r>
          </w:p>
        </w:tc>
        <w:tc>
          <w:tcPr>
            <w:tcW w:w="620" w:type="dxa"/>
            <w:vAlign w:val="bottom"/>
          </w:tcPr>
          <w:p>
            <w:pPr>
              <w:jc w:val="right"/>
              <w:spacing w:after="0"/>
              <w:rPr>
                <w:sz w:val="20"/>
                <w:szCs w:val="20"/>
                <w:color w:val="auto"/>
              </w:rPr>
            </w:pPr>
            <w:r>
              <w:rPr>
                <w:rFonts w:ascii="Arial" w:cs="Arial" w:eastAsia="Arial" w:hAnsi="Arial"/>
                <w:sz w:val="16"/>
                <w:szCs w:val="16"/>
                <w:color w:val="auto"/>
              </w:rPr>
              <w:t>92 %</w:t>
            </w:r>
          </w:p>
        </w:tc>
      </w:tr>
      <w:tr>
        <w:trPr>
          <w:trHeight w:val="21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UK R&amp;D tax credit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(2,064)</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(4,345)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3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(7,845)</w:t>
            </w:r>
          </w:p>
        </w:tc>
        <w:tc>
          <w:tcPr>
            <w:tcW w:w="76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(1,302)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5"/>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128,636</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73,928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54,708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258,269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141,488</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116,781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develop and operate our platform;</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discovery efforts which may lead to development candidates, including research materials and external research;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for clinical development of our investigational products;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operating our digital infrastructure; and</w:t>
      </w:r>
    </w:p>
    <w:p>
      <w:pPr>
        <w:spacing w:after="0" w:line="9" w:lineRule="exact"/>
        <w:rPr>
          <w:rFonts w:ascii="Arial" w:cs="Arial" w:eastAsia="Arial" w:hAnsi="Arial"/>
          <w:sz w:val="18"/>
          <w:szCs w:val="18"/>
          <w:color w:val="auto"/>
        </w:rPr>
      </w:pPr>
    </w:p>
    <w:p>
      <w:pPr>
        <w:ind w:left="980" w:right="420" w:hanging="324"/>
        <w:spacing w:after="0" w:line="242"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direct and allocated expenses incurred as a result of research and development activities, including those for facilities, depreciation, amortization and insurance</w:t>
      </w:r>
      <w:r>
        <w:rPr>
          <w:rFonts w:ascii="Arial" w:cs="Arial" w:eastAsia="Arial" w:hAnsi="Arial"/>
          <w:sz w:val="18"/>
          <w:szCs w:val="18"/>
          <w:color w:val="1E1E1E"/>
        </w:rPr>
        <w:t>.</w:t>
      </w:r>
    </w:p>
    <w:p>
      <w:pPr>
        <w:spacing w:after="0" w:line="1" w:lineRule="exact"/>
        <w:rPr>
          <w:rFonts w:ascii="Arial" w:cs="Arial" w:eastAsia="Arial" w:hAnsi="Arial"/>
          <w:sz w:val="18"/>
          <w:szCs w:val="18"/>
          <w:color w:val="auto"/>
        </w:rPr>
      </w:pPr>
    </w:p>
    <w:p>
      <w:pPr>
        <w:ind w:left="980" w:right="620" w:hanging="324"/>
        <w:spacing w:after="0" w:line="250" w:lineRule="auto"/>
        <w:tabs>
          <w:tab w:leader="none" w:pos="975" w:val="left"/>
        </w:tabs>
        <w:numPr>
          <w:ilvl w:val="0"/>
          <w:numId w:val="15"/>
        </w:numPr>
        <w:rPr>
          <w:rFonts w:ascii="Arial" w:cs="Arial" w:eastAsia="Arial" w:hAnsi="Arial"/>
          <w:sz w:val="18"/>
          <w:szCs w:val="18"/>
          <w:color w:val="1E1E1E"/>
        </w:rPr>
      </w:pPr>
      <w:r>
        <w:rPr>
          <w:rFonts w:ascii="Arial" w:cs="Arial" w:eastAsia="Arial" w:hAnsi="Arial"/>
          <w:sz w:val="18"/>
          <w:szCs w:val="18"/>
          <w:color w:val="auto"/>
        </w:rPr>
        <w:t>certain cash refundable research and development tax credits including the research and development expenditure credit (RDEC) in the United Kingdom.</w:t>
      </w:r>
    </w:p>
    <w:p>
      <w:pPr>
        <w:spacing w:after="0" w:line="21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advance payments for goods or services to be used or rendered in future research and product development activities pursuant to a contractual arrangement are classified as prepaid expenses until such goods or services are rendered.</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Significant components of research and development expense include the following allocated by development phase: Platform, which refers primarily to expenses related to screening of product candidates through hit identification, this also includes expenses related to Tempus records purchased; Discovery, which refers primarily to expenses related to hit identification through development of candidates; and Clinical, which refers primarily to expenses related to development of candidates and beyond.</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three months ended June 30, 2025, the increase in research and development expenses compared to the prior period was primarily driven by Tempus record purchases of $22.7 million, the inclusion of Exscientia’s results of $29.6 million and increased personnel costs.</w:t>
      </w:r>
    </w:p>
    <w:p>
      <w:pPr>
        <w:spacing w:after="0" w:line="180"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color w:val="auto"/>
        </w:rPr>
        <w:t>For the six months ended June 30, 2025, the increase in research and development expenses compared to the prior period was primarily driven by Tempus record purchases of $46.9 million, the inclusion of Exscientia’s results of $55.5 million and increased personnel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 June</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40"/>
        </w:trPr>
        <w:tc>
          <w:tcPr>
            <w:tcW w:w="3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99"/>
              </w:rPr>
              <w:t>June 30,</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w:t>
            </w: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00" w:type="dxa"/>
            <w:vAlign w:val="bottom"/>
            <w:tcBorders>
              <w:bottom w:val="single" w:sz="8" w:color="auto"/>
            </w:tcBorders>
          </w:tcPr>
          <w:p>
            <w:pPr>
              <w:spacing w:after="0"/>
              <w:rPr>
                <w:sz w:val="20"/>
                <w:szCs w:val="20"/>
                <w:color w:val="auto"/>
              </w:rPr>
            </w:pPr>
          </w:p>
        </w:tc>
      </w:tr>
      <w:tr>
        <w:trPr>
          <w:trHeight w:val="23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235"/>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46,653 $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31,833</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14,820</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47 %  $   101,304 $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63,241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38,063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0"/>
        </w:trPr>
        <w:tc>
          <w:tcPr>
            <w:tcW w:w="3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three months ended June 30, 2025, the increase in general and administrative expense compared to prior period was primarily driven by the inclusion of Exscientia’s results of $4.6 million, an increase in salaries and wages of $2.8 million and severance expenses related to the June 2025 program of $8.4 million.</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six months ended June 30, 2025, the increase in general and administrative expense compared to prior period was primarily driven by the inclusion of Exscientia’s results of $12.4 million, an increase in salaries and wages of $12.9 million and severance expenses related to the June 2025 program of $8.4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other income (loss), net: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 June</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0"/>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6"/>
                <w:szCs w:val="16"/>
                <w:b w:val="1"/>
                <w:bCs w:val="1"/>
                <w:color w:val="auto"/>
                <w:w w:val="99"/>
              </w:rPr>
              <w:t>June 30,</w:t>
            </w: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30,</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0"/>
                <w:szCs w:val="20"/>
                <w:color w:val="auto"/>
              </w:rPr>
            </w:pPr>
          </w:p>
        </w:tc>
      </w:tr>
      <w:tr>
        <w:trPr>
          <w:trHeight w:val="23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2024</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2,177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66.7 %</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3,688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50.4 %</w:t>
            </w: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(480)</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(394)</w:t>
            </w:r>
          </w:p>
        </w:tc>
        <w:tc>
          <w:tcPr>
            <w:tcW w:w="26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(86)</w:t>
            </w:r>
          </w:p>
        </w:tc>
        <w:tc>
          <w:tcPr>
            <w:tcW w:w="640" w:type="dxa"/>
            <w:vAlign w:val="bottom"/>
          </w:tcPr>
          <w:p>
            <w:pPr>
              <w:jc w:val="right"/>
              <w:spacing w:after="0"/>
              <w:rPr>
                <w:sz w:val="20"/>
                <w:szCs w:val="20"/>
                <w:color w:val="auto"/>
              </w:rPr>
            </w:pPr>
            <w:r>
              <w:rPr>
                <w:rFonts w:ascii="Arial" w:cs="Arial" w:eastAsia="Arial" w:hAnsi="Arial"/>
                <w:sz w:val="16"/>
                <w:szCs w:val="16"/>
                <w:color w:val="auto"/>
              </w:rPr>
              <w:t>21.8 %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(414)</w:t>
            </w:r>
          </w:p>
        </w:tc>
        <w:tc>
          <w:tcPr>
            <w:tcW w:w="22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(574)</w:t>
            </w:r>
          </w:p>
        </w:tc>
        <w:tc>
          <w:tcPr>
            <w:tcW w:w="70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(241)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61.5 %</w:t>
            </w:r>
          </w:p>
        </w:tc>
        <w:tc>
          <w:tcPr>
            <w:tcW w:w="1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(16,960)</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(16,729)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(loss),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4,330</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1,850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74.6 %</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(13,615)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June 30, 2025, the increase in other income (loss), net compared to prior period related to an increase in interest</w:t>
      </w:r>
      <w:r>
        <w:rPr>
          <w:rFonts w:ascii="Arial" w:cs="Arial" w:eastAsia="Arial" w:hAnsi="Arial"/>
          <w:sz w:val="18"/>
          <w:szCs w:val="18"/>
          <w:color w:val="1E1E1E"/>
        </w:rPr>
        <w:t xml:space="preserve"> </w:t>
      </w:r>
      <w:r>
        <w:rPr>
          <w:rFonts w:ascii="Arial" w:cs="Arial" w:eastAsia="Arial" w:hAnsi="Arial"/>
          <w:sz w:val="18"/>
          <w:szCs w:val="18"/>
          <w:color w:val="000000"/>
        </w:rPr>
        <w:t>income driven by our increase in earnings on cash and cash equivalents in money market funds.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six months ended June 30, 2025</w:t>
      </w:r>
      <w:r>
        <w:rPr>
          <w:rFonts w:ascii="Arial" w:cs="Arial" w:eastAsia="Arial" w:hAnsi="Arial"/>
          <w:sz w:val="18"/>
          <w:szCs w:val="18"/>
          <w:color w:val="1E1E1E"/>
        </w:rPr>
        <w:t xml:space="preserve">, the </w:t>
      </w:r>
      <w:r>
        <w:rPr>
          <w:rFonts w:ascii="Arial" w:cs="Arial" w:eastAsia="Arial" w:hAnsi="Arial"/>
          <w:sz w:val="18"/>
          <w:szCs w:val="18"/>
          <w:color w:val="000000"/>
        </w:rPr>
        <w:t>decrease in other income (loss), net compared to prior period related to our loss on disposal of</w:t>
      </w:r>
      <w:r>
        <w:rPr>
          <w:rFonts w:ascii="Arial" w:cs="Arial" w:eastAsia="Arial" w:hAnsi="Arial"/>
          <w:sz w:val="18"/>
          <w:szCs w:val="18"/>
          <w:color w:val="1E1E1E"/>
        </w:rPr>
        <w:t xml:space="preserve"> </w:t>
      </w:r>
      <w:r>
        <w:rPr>
          <w:rFonts w:ascii="Arial" w:cs="Arial" w:eastAsia="Arial" w:hAnsi="Arial"/>
          <w:sz w:val="18"/>
          <w:szCs w:val="18"/>
          <w:color w:val="000000"/>
        </w:rPr>
        <w:t>Exscientia GmbH of $4.5 million and our Vienna lease termination fee of $5.2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not yet commercialized any products and do not expect to generate revenue from the sales of any product candidates for at least several years. Cash and cash equivalents totaled $525.1 million and $594.3 million as of June 30, 2025 and December 31, 2024, respectively.</w:t>
      </w:r>
    </w:p>
    <w:p>
      <w:pPr>
        <w:spacing w:after="0" w:line="184"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We have incurred operating losses and experienced negative operating cash flows and we anticipate that the Company will continue to incur losses for at least the foreseeable future. Our net loss was $171.9 million and $374.4 million during the three and six months ended June 30,</w:t>
      </w:r>
    </w:p>
    <w:p>
      <w:pPr>
        <w:ind w:right="120"/>
        <w:spacing w:after="0" w:line="237" w:lineRule="auto"/>
        <w:rPr>
          <w:sz w:val="20"/>
          <w:szCs w:val="20"/>
          <w:color w:val="auto"/>
        </w:rPr>
      </w:pPr>
      <w:r>
        <w:rPr>
          <w:rFonts w:ascii="Arial" w:cs="Arial" w:eastAsia="Arial" w:hAnsi="Arial"/>
          <w:sz w:val="18"/>
          <w:szCs w:val="18"/>
          <w:color w:val="auto"/>
        </w:rPr>
        <w:t xml:space="preserve">2025, respectively. </w:t>
      </w:r>
      <w:r>
        <w:rPr>
          <w:rFonts w:ascii="Arial" w:cs="Arial" w:eastAsia="Arial" w:hAnsi="Arial"/>
          <w:sz w:val="18"/>
          <w:szCs w:val="18"/>
          <w:color w:val="1E1E1E"/>
        </w:rPr>
        <w:t>Our net loss was</w:t>
      </w:r>
      <w:r>
        <w:rPr>
          <w:rFonts w:ascii="Arial" w:cs="Arial" w:eastAsia="Arial" w:hAnsi="Arial"/>
          <w:sz w:val="18"/>
          <w:szCs w:val="18"/>
          <w:color w:val="auto"/>
        </w:rPr>
        <w:t xml:space="preserve"> $97.5 million </w:t>
      </w:r>
      <w:r>
        <w:rPr>
          <w:rFonts w:ascii="Arial" w:cs="Arial" w:eastAsia="Arial" w:hAnsi="Arial"/>
          <w:sz w:val="18"/>
          <w:szCs w:val="18"/>
          <w:color w:val="1E1E1E"/>
        </w:rPr>
        <w:t>and</w:t>
      </w:r>
      <w:r>
        <w:rPr>
          <w:rFonts w:ascii="Arial" w:cs="Arial" w:eastAsia="Arial" w:hAnsi="Arial"/>
          <w:sz w:val="18"/>
          <w:szCs w:val="18"/>
          <w:color w:val="auto"/>
        </w:rPr>
        <w:t xml:space="preserve"> $188.9 million </w:t>
      </w:r>
      <w:r>
        <w:rPr>
          <w:rFonts w:ascii="Arial" w:cs="Arial" w:eastAsia="Arial" w:hAnsi="Arial"/>
          <w:sz w:val="18"/>
          <w:szCs w:val="18"/>
          <w:color w:val="1E1E1E"/>
        </w:rPr>
        <w:t>during the</w:t>
      </w:r>
      <w:r>
        <w:rPr>
          <w:rFonts w:ascii="Arial" w:cs="Arial" w:eastAsia="Arial" w:hAnsi="Arial"/>
          <w:sz w:val="18"/>
          <w:szCs w:val="18"/>
          <w:color w:val="auto"/>
        </w:rPr>
        <w:t xml:space="preserve"> three and six months ended June 30, 2024</w:t>
      </w:r>
      <w:r>
        <w:rPr>
          <w:rFonts w:ascii="Arial" w:cs="Arial" w:eastAsia="Arial" w:hAnsi="Arial"/>
          <w:sz w:val="18"/>
          <w:szCs w:val="18"/>
          <w:color w:val="1E1E1E"/>
        </w:rPr>
        <w:t>, respectively</w:t>
      </w:r>
      <w:r>
        <w:rPr>
          <w:rFonts w:ascii="Arial" w:cs="Arial" w:eastAsia="Arial" w:hAnsi="Arial"/>
          <w:sz w:val="18"/>
          <w:szCs w:val="18"/>
          <w:color w:val="auto"/>
        </w:rPr>
        <w:t>. As of June 30, 2025, we had an accumulated deficit of $1.8 billion.</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8"/>
          <w:szCs w:val="18"/>
          <w:color w:val="1E1E1E"/>
        </w:rPr>
        <w:t>2023</w:t>
      </w:r>
      <w:r>
        <w:rPr>
          <w:rFonts w:ascii="Arial" w:cs="Arial" w:eastAsia="Arial" w:hAnsi="Arial"/>
          <w:sz w:val="18"/>
          <w:szCs w:val="18"/>
          <w:color w:val="auto"/>
        </w:rPr>
        <w:t>, we have financed our operations primarily through Class A common stock issuances. As of June 30, 2025, we have received net proceeds of $569.5 million from Class A common stock issuances. See Note 8, “Common Stock” to the Condensed Consolidated Financial Statements for additional details on Class A common stock issuances. Additionally, as of June 30, 2025, we have received proceeds of $44.0 million from our strategic partnerships. See Note 9, “Collaborative Development Contracts” to the Condensed Consolidated Financial Statements for additional details on the strategic partnerships.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Condensed Consolidated Statements of Cash Flows for each of the periods presented below:</w:t>
      </w:r>
    </w:p>
    <w:p>
      <w:pPr>
        <w:spacing w:after="0" w:line="6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34925</wp:posOffset>
            </wp:positionV>
            <wp:extent cx="23660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(208,375)</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(184,519)</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(13,078)</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(10,835)</w:t>
            </w: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7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138,186</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277,019</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used by operating activities increased during the six months ended June 30, 2025 as a result of higher costs incurred for research and development and general and administrative due to the Company’s acquisition of Exscientia. This included Exscientia GmbH disposal related payments of $9.7 million and severance payments of $10.4 million. See Note 4</w:t>
      </w:r>
      <w:r>
        <w:rPr>
          <w:rFonts w:ascii="Arial" w:cs="Arial" w:eastAsia="Arial" w:hAnsi="Arial"/>
          <w:sz w:val="18"/>
          <w:szCs w:val="18"/>
          <w:color w:val="1E1E1E"/>
        </w:rPr>
        <w:t>,</w:t>
      </w:r>
      <w:r>
        <w:rPr>
          <w:rFonts w:ascii="Arial" w:cs="Arial" w:eastAsia="Arial" w:hAnsi="Arial"/>
          <w:sz w:val="18"/>
          <w:szCs w:val="18"/>
          <w:color w:val="auto"/>
        </w:rPr>
        <w:t xml:space="preserve"> “Acquisitions” to the Consolidated Financial Statements for additional details related to the Exscientia acquisition and Exscientia GmbH disposal.</w:t>
      </w:r>
    </w:p>
    <w:p>
      <w:pPr>
        <w:spacing w:after="0" w:line="2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Cash used by operating activities increased during the six months ended June 30, 2024 as a result of higher costs incurred for research and development and general and administrative due to the Company’s expansion and upgraded capabilities.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Cash used by investing activities during the six months ended June 30, 2025 consisted of the disposal of Exscientia GmbH of $4.4 million and property and equipment purchases of $5.0 million.</w:t>
      </w:r>
    </w:p>
    <w:p>
      <w:pPr>
        <w:spacing w:after="0" w:line="198"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 xml:space="preserve">Cash used by investing activities during the six months ended June 30, 2024 consisted primarily of purchases of property and equipment of $7.8 million, which included $2.9 million for a project to upgrade the BioHive -2 supercomputer and $2.7 million for lab equipment purchases. </w:t>
      </w:r>
      <w:r>
        <w:rPr>
          <w:rFonts w:ascii="Arial" w:cs="Arial" w:eastAsia="Arial" w:hAnsi="Arial"/>
          <w:sz w:val="18"/>
          <w:szCs w:val="18"/>
          <w:color w:val="1E1E1E"/>
        </w:rPr>
        <w:t xml:space="preserve">Additionally, investing activities included the purchase of an intangible asset of </w:t>
      </w:r>
      <w:r>
        <w:rPr>
          <w:rFonts w:ascii="Arial" w:cs="Arial" w:eastAsia="Arial" w:hAnsi="Arial"/>
          <w:sz w:val="18"/>
          <w:szCs w:val="18"/>
          <w:color w:val="000000"/>
        </w:rPr>
        <w:t>$3.0 million</w:t>
      </w:r>
      <w:r>
        <w:rPr>
          <w:rFonts w:ascii="Arial" w:cs="Arial" w:eastAsia="Arial" w:hAnsi="Arial"/>
          <w:sz w:val="18"/>
          <w:szCs w:val="18"/>
          <w:color w:val="1E1E1E"/>
        </w:rPr>
        <w:t xml:space="preserve"> from Helix.</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provided by financing activities during the six months ended June 30, 2025 primarily included proceeds of $141.0 million from common stock issuances. Financing outflows included a $3.0 million payment for the purchase of an intangible asset that was not soon after the purchase.</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Cash provided by financing activities during the six months ended June 30, 2024 primarily included proceeds of $272.4 million from common stock issuances. Financing cash inflows also included proceeds from equity incentive plans of $4.7 million</w:t>
      </w:r>
      <w:r>
        <w:rPr>
          <w:rFonts w:ascii="Arial" w:cs="Arial" w:eastAsia="Arial" w:hAnsi="Arial"/>
          <w:sz w:val="18"/>
          <w:szCs w:val="18"/>
          <w:color w:val="1E1E1E"/>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2024 Annual Report. There were no significant changes in the Company’s application of its critical accounting policies during the six months ended June 30,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exposed to market risk related to changes in interest rates on our investment portfolio of cash and cash equivalents. As of June 30, 2025, our cash and cash equivalents consisted of money market funds. Our primary exposure to market risk is interest income sensitivity, which is affected by changes in interest rates. A hypothetical 100 basis point decrease in interest rates as of June 30, 2025</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ensuing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employees and our operations are primarily located in the United States, United Kingdom and Canada and our expenses are primarily denominated in U.S. dollars, Great British pounds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three and six months ended June 30, 2025 and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provide reasonable assurance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2025, our disclosure controls and procedures were ineffective due to the material weakness in internal control over financial reporting disclosed in Part II, Item 9A of our Annual Report on Form 10-K for the year ended December 31,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25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remediation actions have been taken as of June 30, 2025 related to the material weakness for estimated costs and time to completion and controls to validate the completeness and accuracy of data used to calculate revenue and unearned revenue related to our license agreement:</w:t>
      </w:r>
    </w:p>
    <w:p>
      <w:pPr>
        <w:spacing w:after="0" w:line="198" w:lineRule="exact"/>
        <w:rPr>
          <w:sz w:val="20"/>
          <w:szCs w:val="20"/>
          <w:color w:val="auto"/>
        </w:rPr>
      </w:pPr>
    </w:p>
    <w:p>
      <w:pPr>
        <w:ind w:left="660" w:right="26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Improvement of documentation procedures regarding specific inquiries related to the cost model used for revenue recognition and the resulting responses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Improvement of documentation for the review of changes in cost model due to responses from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Provided additional documentation for internal reports to validate and support completeness and accuracy of reports</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Improvement of documentation of these processes was done with the input of our third-party consultants who continue to be involved in the design and enhancement of the revenue recognition policies and procedures</w:t>
      </w:r>
    </w:p>
    <w:p>
      <w:pPr>
        <w:spacing w:after="0" w:line="19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 following remediation actions have been taken as of June 30, 2025 related to the material weakness for the acquired Exscientia business:</w:t>
      </w:r>
    </w:p>
    <w:p>
      <w:pPr>
        <w:spacing w:after="0" w:line="220" w:lineRule="exact"/>
        <w:rPr>
          <w:sz w:val="20"/>
          <w:szCs w:val="20"/>
          <w:color w:val="auto"/>
        </w:rPr>
      </w:pPr>
    </w:p>
    <w:p>
      <w:pPr>
        <w:ind w:left="660" w:right="440" w:hanging="328"/>
        <w:spacing w:after="0" w:line="237"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Improvement of documentation of key processes and controls in the financial statement close process, including considerations around segregation of duties</w:t>
      </w:r>
    </w:p>
    <w:p>
      <w:pPr>
        <w:spacing w:after="0" w:line="18" w:lineRule="exact"/>
        <w:rPr>
          <w:rFonts w:ascii="Arial" w:cs="Arial" w:eastAsia="Arial" w:hAnsi="Arial"/>
          <w:sz w:val="22"/>
          <w:szCs w:val="22"/>
          <w:color w:val="auto"/>
        </w:rPr>
      </w:pPr>
    </w:p>
    <w:p>
      <w:pPr>
        <w:ind w:left="660" w:right="160" w:hanging="328"/>
        <w:spacing w:after="0" w:line="237" w:lineRule="auto"/>
        <w:tabs>
          <w:tab w:leader="none" w:pos="655"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auto"/>
        </w:rPr>
        <w:t>Improvement of documentation of key processes and controls related to information technology general controls that are significant to the financial statement close processes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auto"/>
        </w:rPr>
        <w:t>On-going integration of Exscientia’s operations into our overall system of internal control over financial reporting</w:t>
      </w:r>
    </w:p>
    <w:p>
      <w:pPr>
        <w:spacing w:after="0" w:line="23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While significant progress has been made to enhance our internal control over financial reporting, Recursion is still designing, implementing and testing these processes, procedures and controls.</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June 30,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three months ended June 30, 2025, management was in the process of integrating the internal controls of the acquired business (Exscientia) into Recursion's existing operations as part of planned integration activities. There were no other changes in internal control over financial reporting (as defined in Rules 13a-15(f) and 15d-15(f) under the Exchange Act)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sections titled Part I, Item 1A. “Risk Factors” of our 2024 Annual Report and Part II, Item 1A. “Risk Factors” of our Quarterly Report on Form 10-Q for the quarter ended March 31, 2025.</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risk factors set forth below represent new risk factors or those containing changes to the similarly titled risk factor included in the sections titled “Risk Factors” in Part I, Item 1A. of our 2024 Annual Report and Part II, Item 1A. “Risk Factors” of our Quarterly Report on Form 10-Q for the quarter ended March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OPERATIONS/COMMERCIALIZATION</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disagreements between us and tax authorities regarding the application of existing tax laws or regulations may have a material adverse effect on our business, cash flow, financial condition or results of operations.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Tax Cuts and Jobs Act of 2017 (TCJA) eliminated the option to deduct research and development expenditures currently and requires taxpayers to capitalize and amortize them over five or fifteen years pursuant to Code Section 174, beginning in 2022. In July 2025, the “One Big Beautiful Bill Act” (OBBBA) was signed into law, which suspended the research and development amortization requirement of TCJA with respect to domestic expenses, permitting the full deduction of domestic research and</w:t>
      </w:r>
    </w:p>
    <w:p>
      <w:pPr>
        <w:spacing w:after="0" w:line="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development expenses in the year they are incurred for tax years 2025 through 2029. Further, the Inflation Reduction Act of 2022 (IRA), among other changes, imposes a one-percent excise tax on stock repurchases made on or after January 1, 2023. Any further changes in tax laws or regulations that are applied adversely to us could have a material adverse effect on our business, cash flow,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-449580</wp:posOffset>
            </wp:positionV>
            <wp:extent cx="381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pacing w:after="0" w:line="1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tax authority may disagree with tax positions that we take, and may take the position that tax liabilities, interest and penalties, which could be material, are payable by us. Contesting such an assessment may be lengthy and costly and if we were unsuccessful in disputing the assessment, the implications could increase our anticipated effective tax rate, where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4" w:lineRule="exact"/>
        <w:rPr>
          <w:sz w:val="20"/>
          <w:szCs w:val="20"/>
          <w:color w:val="auto"/>
        </w:rPr>
      </w:pPr>
    </w:p>
    <w:p>
      <w:pPr>
        <w:jc w:val="both"/>
        <w:ind w:right="200"/>
        <w:spacing w:after="0" w:line="272" w:lineRule="auto"/>
        <w:rPr>
          <w:sz w:val="20"/>
          <w:szCs w:val="20"/>
          <w:color w:val="auto"/>
        </w:rPr>
      </w:pPr>
      <w:r>
        <w:rPr>
          <w:rFonts w:ascii="Arial" w:cs="Arial" w:eastAsia="Arial" w:hAnsi="Arial"/>
          <w:sz w:val="18"/>
          <w:szCs w:val="18"/>
          <w:b w:val="1"/>
          <w:bCs w:val="1"/>
          <w:i w:val="1"/>
          <w:iCs w:val="1"/>
          <w:color w:val="auto"/>
        </w:rPr>
        <w:t>Increasing scrutiny and changing expectations from governments, regulators, and third-parties relating to environmental, social and governance (ESG) policies and practices may cause us to incur additional costs, expose us to additional risks or impact our reputation.</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recent years, there has been increasing public focus and scrutiny from certain investors, employees and other stakeholders concerning corporate responsibility, specifically related to ESG factors. 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investors increase expectations related to ESG matters. Third-party providers of ESG ratings and reports on companies have increased in number, resulting in varied and, in some cases, inconsistent standards and frameworks. Topics considered in such assessments include, among others, our efforts and impacts with respect to climate change; diversity, equity and inclusion (DEI); and the role of our board of directors in supervising various sustainability issues.</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DEI initiatives in the private sector. Such anti-ESG and anti-DEI-related policies, legislation, initiatives, litigation, legal opinions, and scrutiny could result in our facing additional compliance obligations, becoming the subject of investigations and enforcement actions, or sustaining reputational harm.</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our business practices do not meet evolving investor, government agency or other stakeholder expectations and standards with respect to ESG, then our reputation, our ability to attract or retain employees and the market price of our securities could be negatively impacted. New governmental regulations could result in new directives and new or more stringent forms of ESG oversight and disclosures which may lead to increased expenditures for sustainability initiatives, which in turn could have a material adverse effect on our business, financial condition, cash flows and results of operations and could cause the market value of our common stock to decline.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4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222222"/>
        </w:rPr>
        <w:t>We have recently undertaken a cost reduction plan, and may do so again in the future. The assumptions underlying these activities may prove to be inaccurate, or we may fail to achieve the expected benefits therefrom.</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222222"/>
        </w:rPr>
        <w:t xml:space="preserve">As part of our </w:t>
      </w:r>
      <w:r>
        <w:rPr>
          <w:rFonts w:ascii="Arial" w:cs="Arial" w:eastAsia="Arial" w:hAnsi="Arial"/>
          <w:sz w:val="18"/>
          <w:szCs w:val="18"/>
          <w:color w:val="000000"/>
        </w:rPr>
        <w:t>strategic positioning to reduce costs and adapt to regulatory policy uncertainty, we announced in June 2025 a cost reduction</w:t>
      </w:r>
      <w:r>
        <w:rPr>
          <w:rFonts w:ascii="Arial" w:cs="Arial" w:eastAsia="Arial" w:hAnsi="Arial"/>
          <w:sz w:val="18"/>
          <w:szCs w:val="18"/>
          <w:color w:val="222222"/>
        </w:rPr>
        <w:t xml:space="preserve"> </w:t>
      </w:r>
      <w:r>
        <w:rPr>
          <w:rFonts w:ascii="Arial" w:cs="Arial" w:eastAsia="Arial" w:hAnsi="Arial"/>
          <w:sz w:val="18"/>
          <w:szCs w:val="18"/>
          <w:color w:val="000000"/>
        </w:rPr>
        <w:t xml:space="preserve">plan to promote the long-term sustainability and scalability of the Company. As part of this plan, we have reduced our workforce.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actions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We may not complete the current or any cost reduction plan on the anticipated timetable, and even if successfully completed, we may not achieve the anticipated cost savings, operating </w:t>
      </w:r>
      <w:r>
        <w:rPr>
          <w:rFonts w:ascii="Arial" w:cs="Arial" w:eastAsia="Arial" w:hAnsi="Arial"/>
          <w:sz w:val="18"/>
          <w:szCs w:val="18"/>
          <w:color w:val="222222"/>
        </w:rPr>
        <w:t>efficiencies</w:t>
      </w:r>
      <w:r>
        <w:rPr>
          <w:rFonts w:ascii="Arial" w:cs="Arial" w:eastAsia="Arial" w:hAnsi="Arial"/>
          <w:sz w:val="18"/>
          <w:szCs w:val="18"/>
          <w:color w:val="000000"/>
        </w:rPr>
        <w:t xml:space="preserve"> </w:t>
      </w:r>
      <w:r>
        <w:rPr>
          <w:rFonts w:ascii="Arial" w:cs="Arial" w:eastAsia="Arial" w:hAnsi="Arial"/>
          <w:sz w:val="18"/>
          <w:szCs w:val="18"/>
          <w:color w:val="222222"/>
        </w:rPr>
        <w:t>or other benefits of such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Sales of Unregistered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six months ended June 30, 2025, we issued 46,400 shares of our Class A common stock to our employees, directors, advisors and consultants upon the exercise of stock options under our Key Personnel Incentive Stock Plan for aggregate consideration of approximately $16 thousand, in reliance on the exemption provided by Rule 701(b)(2)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1E1E1E"/>
        </w:rPr>
        <w:t xml:space="preserve">On May 12, 2025, Christopher Gibson, CEO and President, and a member of our Board of Directors, terminated (within the meaning of Rule 10b5-1(c)(1)(iv)) a Rule 10b5-1 trading arrangement previously adopted in December 2024, and adopted a subsequent Rule 10b5-1 trading arrangement that is intended to satisfy the affirmative defense of Rule 10b5-1(c) for the sale of up to </w:t>
      </w:r>
      <w:r>
        <w:rPr>
          <w:rFonts w:ascii="Arial" w:cs="Arial" w:eastAsia="Arial" w:hAnsi="Arial"/>
          <w:sz w:val="18"/>
          <w:szCs w:val="18"/>
          <w:color w:val="000000"/>
        </w:rPr>
        <w:t>86,634</w:t>
      </w:r>
      <w:r>
        <w:rPr>
          <w:rFonts w:ascii="Arial" w:cs="Arial" w:eastAsia="Arial" w:hAnsi="Arial"/>
          <w:sz w:val="18"/>
          <w:szCs w:val="18"/>
          <w:color w:val="1E1E1E"/>
        </w:rPr>
        <w:t xml:space="preserve"> shares of the Company’s Class A common stock and the potential conversion and sale of up to </w:t>
      </w:r>
      <w:r>
        <w:rPr>
          <w:rFonts w:ascii="Arial" w:cs="Arial" w:eastAsia="Arial" w:hAnsi="Arial"/>
          <w:sz w:val="18"/>
          <w:szCs w:val="18"/>
          <w:color w:val="000000"/>
        </w:rPr>
        <w:t>4,247,433</w:t>
      </w:r>
      <w:r>
        <w:rPr>
          <w:rFonts w:ascii="Arial" w:cs="Arial" w:eastAsia="Arial" w:hAnsi="Arial"/>
          <w:sz w:val="18"/>
          <w:szCs w:val="18"/>
          <w:color w:val="1E1E1E"/>
        </w:rPr>
        <w:t xml:space="preserve"> shares of the Company’s Class B common stock, a majority of which will not execute absent a significant increase in the market price of the Company’s Class A common stock. The plan is effective until no later than August 13, 2026.</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20"/>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0"/>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5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4660" w:type="dxa"/>
            <w:vAlign w:val="bottom"/>
            <w:gridSpan w:val="27"/>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Transaction Agreement by and between Recursion</w:t>
              </w:r>
            </w:hyperlink>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580" w:type="dxa"/>
            <w:vAlign w:val="bottom"/>
          </w:tcPr>
          <w:p>
            <w:pPr>
              <w:jc w:val="center"/>
              <w:spacing w:after="0" w:line="169" w:lineRule="exact"/>
              <w:rPr>
                <w:sz w:val="20"/>
                <w:szCs w:val="20"/>
                <w:color w:val="auto"/>
              </w:rPr>
            </w:pPr>
            <w:r>
              <w:rPr>
                <w:rFonts w:ascii="Arial" w:cs="Arial" w:eastAsia="Arial" w:hAnsi="Arial"/>
                <w:sz w:val="16"/>
                <w:szCs w:val="16"/>
                <w:color w:val="auto"/>
              </w:rPr>
              <w:t>August 8, 2024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64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Pharmaceuticals, Inc. and Exscientia plc dated as</w:t>
              </w:r>
            </w:hyperlink>
          </w:p>
        </w:tc>
        <w:tc>
          <w:tcPr>
            <w:tcW w:w="1020" w:type="dxa"/>
            <w:vAlign w:val="bottom"/>
            <w:gridSpan w:val="17"/>
          </w:tcPr>
          <w:p>
            <w:pPr>
              <w:jc w:val="right"/>
              <w:ind w:right="180"/>
              <w:spacing w:after="0" w:line="142" w:lineRule="exact"/>
              <w:rPr>
                <w:rFonts w:ascii="Arial" w:cs="Arial" w:eastAsia="Arial" w:hAnsi="Arial"/>
                <w:sz w:val="16"/>
                <w:szCs w:val="16"/>
                <w:color w:val="0000FF"/>
                <w:w w:val="95"/>
              </w:rPr>
            </w:pPr>
            <w:hyperlink r:id="rId54">
              <w:r>
                <w:rPr>
                  <w:rFonts w:ascii="Arial" w:cs="Arial" w:eastAsia="Arial" w:hAnsi="Arial"/>
                  <w:sz w:val="16"/>
                  <w:szCs w:val="16"/>
                  <w:color w:val="0000FF"/>
                  <w:w w:val="95"/>
                </w:rPr>
                <w:t>of August 8,</w:t>
              </w:r>
            </w:hyperlink>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54">
              <w:r>
                <w:rPr>
                  <w:rFonts w:ascii="Arial" w:cs="Arial" w:eastAsia="Arial" w:hAnsi="Arial"/>
                  <w:sz w:val="16"/>
                  <w:szCs w:val="16"/>
                  <w:color w:val="0000FF"/>
                  <w:w w:val="94"/>
                </w:rPr>
                <w:t>2024.</w:t>
              </w:r>
            </w:hyperlink>
          </w:p>
        </w:tc>
        <w:tc>
          <w:tcPr>
            <w:tcW w:w="1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660" w:type="dxa"/>
            <w:vAlign w:val="bottom"/>
            <w:gridSpan w:val="27"/>
          </w:tcPr>
          <w:p>
            <w:pPr>
              <w:spacing w:after="0"/>
              <w:rPr>
                <w:rFonts w:ascii="Arial" w:cs="Arial" w:eastAsia="Arial" w:hAnsi="Arial"/>
                <w:sz w:val="16"/>
                <w:szCs w:val="16"/>
                <w:color w:val="0000FF"/>
              </w:rPr>
            </w:pPr>
            <w:hyperlink r:id="rId55">
              <w:r>
                <w:rPr>
                  <w:rFonts w:ascii="Arial" w:cs="Arial" w:eastAsia="Arial" w:hAnsi="Arial"/>
                  <w:sz w:val="16"/>
                  <w:szCs w:val="16"/>
                  <w:color w:val="0000FF"/>
                </w:rPr>
                <w:t>Amended and Restated Certificate of Incorporation of Recursion</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55">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660" w:type="dxa"/>
            <w:vAlign w:val="bottom"/>
            <w:gridSpan w:val="27"/>
          </w:tcPr>
          <w:p>
            <w:pPr>
              <w:spacing w:after="0"/>
              <w:rPr>
                <w:rFonts w:ascii="Arial" w:cs="Arial" w:eastAsia="Arial" w:hAnsi="Arial"/>
                <w:sz w:val="16"/>
                <w:szCs w:val="16"/>
                <w:color w:val="0000FF"/>
              </w:rPr>
            </w:pPr>
            <w:hyperlink r:id="rId56">
              <w:r>
                <w:rPr>
                  <w:rFonts w:ascii="Arial" w:cs="Arial" w:eastAsia="Arial" w:hAnsi="Arial"/>
                  <w:sz w:val="16"/>
                  <w:szCs w:val="16"/>
                  <w:color w:val="0000FF"/>
                </w:rPr>
                <w:t>Amended and Restated Bylaws of Recursion Pharmaceuticals,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660" w:type="dxa"/>
            <w:vAlign w:val="bottom"/>
            <w:gridSpan w:val="27"/>
          </w:tcPr>
          <w:p>
            <w:pPr>
              <w:spacing w:after="0"/>
              <w:rPr>
                <w:rFonts w:ascii="Arial" w:cs="Arial" w:eastAsia="Arial" w:hAnsi="Arial"/>
                <w:sz w:val="16"/>
                <w:szCs w:val="16"/>
                <w:color w:val="0000FF"/>
              </w:rPr>
            </w:pPr>
            <w:hyperlink r:id="rId57">
              <w:r>
                <w:rPr>
                  <w:rFonts w:ascii="Arial" w:cs="Arial" w:eastAsia="Arial" w:hAnsi="Arial"/>
                  <w:sz w:val="16"/>
                  <w:szCs w:val="16"/>
                  <w:color w:val="0000FF"/>
                </w:rPr>
                <w:t>Specimen Class A common stock certificate of the Registrant.</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440" w:type="dxa"/>
            <w:vAlign w:val="bottom"/>
            <w:tcBorders>
              <w:bottom w:val="single" w:sz="8" w:color="0000FF"/>
            </w:tcBorders>
            <w:gridSpan w:val="17"/>
          </w:tcPr>
          <w:p>
            <w:pPr>
              <w:spacing w:after="0"/>
              <w:rPr>
                <w:rFonts w:ascii="Arial" w:cs="Arial" w:eastAsia="Arial" w:hAnsi="Arial"/>
                <w:sz w:val="16"/>
                <w:szCs w:val="16"/>
                <w:color w:val="0000FF"/>
              </w:rPr>
            </w:pPr>
            <w:hyperlink r:id="rId58">
              <w:r>
                <w:rPr>
                  <w:rFonts w:ascii="Arial" w:cs="Arial" w:eastAsia="Arial" w:hAnsi="Arial"/>
                  <w:sz w:val="16"/>
                  <w:szCs w:val="16"/>
                  <w:color w:val="0000FF"/>
                </w:rPr>
                <w:t>Exchangeable Share Support Agreement, dated May 8, 2023.</w:t>
              </w:r>
            </w:hyperlink>
          </w:p>
        </w:tc>
        <w:tc>
          <w:tcPr>
            <w:tcW w:w="220" w:type="dxa"/>
            <w:vAlign w:val="bottom"/>
            <w:gridSpan w:val="10"/>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660" w:type="dxa"/>
            <w:vAlign w:val="bottom"/>
            <w:gridSpan w:val="27"/>
          </w:tcPr>
          <w:p>
            <w:pPr>
              <w:spacing w:after="0"/>
              <w:rPr>
                <w:rFonts w:ascii="Arial" w:cs="Arial" w:eastAsia="Arial" w:hAnsi="Arial"/>
                <w:sz w:val="16"/>
                <w:szCs w:val="16"/>
                <w:color w:val="0000FF"/>
              </w:rPr>
            </w:pPr>
            <w:hyperlink r:id="rId59">
              <w:r>
                <w:rPr>
                  <w:rFonts w:ascii="Arial" w:cs="Arial" w:eastAsia="Arial" w:hAnsi="Arial"/>
                  <w:sz w:val="16"/>
                  <w:szCs w:val="16"/>
                  <w:color w:val="0000FF"/>
                </w:rPr>
                <w:t>Registration Rights Agreement, dated October 24, 2022,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October 25, 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among the Company and the Purchasers.</w:t>
              </w:r>
            </w:hyperlink>
          </w:p>
        </w:tc>
        <w:tc>
          <w:tcPr>
            <w:tcW w:w="158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660" w:type="dxa"/>
            <w:vAlign w:val="bottom"/>
            <w:gridSpan w:val="27"/>
          </w:tcPr>
          <w:p>
            <w:pPr>
              <w:spacing w:after="0"/>
              <w:rPr>
                <w:rFonts w:ascii="Arial" w:cs="Arial" w:eastAsia="Arial" w:hAnsi="Arial"/>
                <w:sz w:val="16"/>
                <w:szCs w:val="16"/>
                <w:color w:val="0000FF"/>
              </w:rPr>
            </w:pPr>
            <w:hyperlink r:id="rId60">
              <w:r>
                <w:rPr>
                  <w:rFonts w:ascii="Arial" w:cs="Arial" w:eastAsia="Arial" w:hAnsi="Arial"/>
                  <w:sz w:val="16"/>
                  <w:szCs w:val="16"/>
                  <w:color w:val="0000FF"/>
                </w:rPr>
                <w:t>Registration Agreement, dated May 16,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Registrant, Valence Discovery, Inc., and certain shareholders of</w:t>
              </w:r>
            </w:hyperlink>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Valence Discovery, Inc.</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660" w:type="dxa"/>
            <w:vAlign w:val="bottom"/>
            <w:gridSpan w:val="27"/>
          </w:tcPr>
          <w:p>
            <w:pPr>
              <w:spacing w:after="0"/>
              <w:rPr>
                <w:rFonts w:ascii="Arial" w:cs="Arial" w:eastAsia="Arial" w:hAnsi="Arial"/>
                <w:sz w:val="16"/>
                <w:szCs w:val="16"/>
                <w:color w:val="0000FF"/>
              </w:rPr>
            </w:pPr>
            <w:hyperlink r:id="rId61">
              <w:r>
                <w:rPr>
                  <w:rFonts w:ascii="Arial" w:cs="Arial" w:eastAsia="Arial" w:hAnsi="Arial"/>
                  <w:sz w:val="16"/>
                  <w:szCs w:val="16"/>
                  <w:color w:val="0000FF"/>
                </w:rPr>
                <w:t>Registration Agreement, dated May 25,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Registrant, Recursion Canada Inc., and certain shareholders of</w:t>
              </w:r>
            </w:hyperlink>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Cyclica Inc.</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4660" w:type="dxa"/>
            <w:vAlign w:val="bottom"/>
            <w:gridSpan w:val="27"/>
          </w:tcPr>
          <w:p>
            <w:pPr>
              <w:spacing w:after="0"/>
              <w:rPr>
                <w:rFonts w:ascii="Arial" w:cs="Arial" w:eastAsia="Arial" w:hAnsi="Arial"/>
                <w:sz w:val="16"/>
                <w:szCs w:val="16"/>
                <w:color w:val="0000FF"/>
              </w:rPr>
            </w:pPr>
            <w:hyperlink r:id="rId62">
              <w:r>
                <w:rPr>
                  <w:rFonts w:ascii="Arial" w:cs="Arial" w:eastAsia="Arial" w:hAnsi="Arial"/>
                  <w:sz w:val="16"/>
                  <w:szCs w:val="16"/>
                  <w:color w:val="0000FF"/>
                </w:rPr>
                <w:t>Registration Rights Agreement, dated July 11, 2023,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31.1</w:t>
            </w:r>
          </w:p>
        </w:tc>
        <w:tc>
          <w:tcPr>
            <w:tcW w:w="4660" w:type="dxa"/>
            <w:vAlign w:val="bottom"/>
            <w:gridSpan w:val="27"/>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2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340" w:type="dxa"/>
            <w:vAlign w:val="bottom"/>
            <w:gridSpan w:val="12"/>
          </w:tcPr>
          <w:p>
            <w:pPr>
              <w:jc w:val="right"/>
              <w:ind w:right="180"/>
              <w:spacing w:after="0" w:line="142" w:lineRule="exact"/>
              <w:rPr>
                <w:sz w:val="20"/>
                <w:szCs w:val="20"/>
                <w:color w:val="auto"/>
              </w:rPr>
            </w:pPr>
            <w:r>
              <w:rPr>
                <w:rFonts w:ascii="Arial" w:cs="Arial" w:eastAsia="Arial" w:hAnsi="Arial"/>
                <w:sz w:val="16"/>
                <w:szCs w:val="16"/>
                <w:color w:val="0000FF"/>
              </w:rPr>
              <w:t>of</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8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0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Oxley Act of 2002.</w:t>
            </w:r>
          </w:p>
        </w:tc>
        <w:tc>
          <w:tcPr>
            <w:tcW w:w="2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31.2</w:t>
            </w:r>
          </w:p>
        </w:tc>
        <w:tc>
          <w:tcPr>
            <w:tcW w:w="466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gridSpan w:val="27"/>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25"/>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4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of 2002.</w:t>
            </w:r>
          </w:p>
        </w:tc>
        <w:tc>
          <w:tcPr>
            <w:tcW w:w="120" w:type="dxa"/>
            <w:vAlign w:val="bottom"/>
            <w:gridSpan w:val="6"/>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32.1**</w:t>
            </w:r>
          </w:p>
        </w:tc>
        <w:tc>
          <w:tcPr>
            <w:tcW w:w="4660" w:type="dxa"/>
            <w:vAlign w:val="bottom"/>
            <w:gridSpan w:val="27"/>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4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gridSpan w:val="27"/>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4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620" w:type="dxa"/>
            <w:vAlign w:val="bottom"/>
            <w:gridSpan w:val="15"/>
          </w:tcPr>
          <w:p>
            <w:pPr>
              <w:jc w:val="right"/>
              <w:ind w:right="160"/>
              <w:spacing w:after="0" w:line="142" w:lineRule="exact"/>
              <w:rPr>
                <w:sz w:val="20"/>
                <w:szCs w:val="20"/>
                <w:color w:val="auto"/>
              </w:rPr>
            </w:pPr>
            <w:r>
              <w:rPr>
                <w:rFonts w:ascii="Arial" w:cs="Arial" w:eastAsia="Arial" w:hAnsi="Arial"/>
                <w:sz w:val="16"/>
                <w:szCs w:val="16"/>
                <w:color w:val="0000FF"/>
              </w:rPr>
              <w:t>Act of</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1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120" w:type="dxa"/>
            <w:vAlign w:val="bottom"/>
          </w:tcPr>
          <w:p>
            <w:pPr>
              <w:jc w:val="center"/>
              <w:spacing w:after="0"/>
              <w:rPr>
                <w:sz w:val="20"/>
                <w:szCs w:val="20"/>
                <w:color w:val="auto"/>
              </w:rPr>
            </w:pPr>
            <w:r>
              <w:rPr>
                <w:rFonts w:ascii="Arial" w:cs="Arial" w:eastAsia="Arial" w:hAnsi="Arial"/>
                <w:sz w:val="16"/>
                <w:szCs w:val="16"/>
                <w:color w:val="auto"/>
              </w:rPr>
              <w:t>101.INS</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Instance Document</w:t>
            </w: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101.SCH</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Schema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101.CAL</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101.DEF</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101.LAB</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Label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4"/>
        </w:trPr>
        <w:tc>
          <w:tcPr>
            <w:tcW w:w="1120" w:type="dxa"/>
            <w:vAlign w:val="bottom"/>
          </w:tcPr>
          <w:p>
            <w:pPr>
              <w:jc w:val="center"/>
              <w:spacing w:after="0" w:line="164" w:lineRule="exact"/>
              <w:rPr>
                <w:sz w:val="20"/>
                <w:szCs w:val="20"/>
                <w:color w:val="auto"/>
              </w:rPr>
            </w:pPr>
            <w:r>
              <w:rPr>
                <w:rFonts w:ascii="Arial" w:cs="Arial" w:eastAsia="Arial" w:hAnsi="Arial"/>
                <w:sz w:val="16"/>
                <w:szCs w:val="16"/>
                <w:color w:val="auto"/>
                <w:w w:val="97"/>
              </w:rPr>
              <w:t>104</w:t>
            </w:r>
          </w:p>
        </w:tc>
        <w:tc>
          <w:tcPr>
            <w:tcW w:w="4660" w:type="dxa"/>
            <w:vAlign w:val="bottom"/>
            <w:gridSpan w:val="27"/>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jc w:val="center"/>
              <w:spacing w:after="0" w:line="164"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660" w:type="dxa"/>
            <w:vAlign w:val="bottom"/>
            <w:gridSpan w:val="27"/>
          </w:tcPr>
          <w:p>
            <w:pPr>
              <w:spacing w:after="0"/>
              <w:rPr>
                <w:sz w:val="20"/>
                <w:szCs w:val="20"/>
                <w:color w:val="auto"/>
              </w:rPr>
            </w:pPr>
            <w:r>
              <w:rPr>
                <w:rFonts w:ascii="Arial" w:cs="Arial" w:eastAsia="Arial" w:hAnsi="Arial"/>
                <w:sz w:val="16"/>
                <w:szCs w:val="16"/>
                <w:color w:val="auto"/>
              </w:rPr>
              <w:t>contained in Exhibit 101)</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120" w:right="360" w:hanging="600"/>
        <w:spacing w:after="0" w:line="224"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6"/>
          <w:szCs w:val="16"/>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3" w:lineRule="exact"/>
        <w:rPr>
          <w:sz w:val="20"/>
          <w:szCs w:val="20"/>
          <w:color w:val="auto"/>
        </w:rPr>
      </w:pPr>
    </w:p>
    <w:p>
      <w:pPr>
        <w:ind w:left="1120" w:right="360" w:hanging="635"/>
        <w:spacing w:after="0" w:line="221"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August 5, 2025.</w:t>
      </w:r>
    </w:p>
    <w:p>
      <w:pPr>
        <w:spacing w:after="0" w:line="1" w:lineRule="exact"/>
        <w:rPr>
          <w:sz w:val="20"/>
          <w:szCs w:val="20"/>
          <w:color w:val="auto"/>
        </w:rPr>
      </w:pPr>
    </w:p>
    <w:tbl>
      <w:tblPr>
        <w:tblLayout w:type="fixed"/>
        <w:tblInd w:w="628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440" w:type="dxa"/>
            <w:vAlign w:val="bottom"/>
          </w:tcPr>
          <w:p>
            <w:pPr>
              <w:jc w:val="right"/>
              <w:spacing w:after="0"/>
              <w:rPr>
                <w:sz w:val="20"/>
                <w:szCs w:val="20"/>
                <w:color w:val="auto"/>
              </w:rPr>
            </w:pPr>
            <w:r>
              <w:rPr>
                <w:rFonts w:ascii="Arial" w:cs="Arial" w:eastAsia="Arial" w:hAnsi="Arial"/>
                <w:sz w:val="18"/>
                <w:szCs w:val="18"/>
                <w:color w:val="auto"/>
              </w:rPr>
              <w:t>/s/ Christopher Gibson</w:t>
            </w:r>
          </w:p>
        </w:tc>
      </w:tr>
      <w:tr>
        <w:trPr>
          <w:trHeight w:val="245"/>
        </w:trPr>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Christopher Gibson</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Ben Taylor</w:t>
            </w:r>
          </w:p>
        </w:tc>
      </w:tr>
      <w:tr>
        <w:trPr>
          <w:trHeight w:val="24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Ben Taylor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6"/>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886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2025</w:t>
      </w:r>
    </w:p>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Ben Taylor, certify that:</w:t>
      </w:r>
    </w:p>
    <w:p>
      <w:pPr>
        <w:spacing w:after="0" w:line="252"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1402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2025</w:t>
      </w:r>
    </w:p>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June 30, 2025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2025</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6B68079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
      <w:numFmt w:val="bullet"/>
      <w:start w:val="1"/>
    </w:lvl>
  </w:abstractNum>
  <w:abstractNum w:abstractNumId="11">
    <w:nsid w:val="25E45D32"/>
    <w:multiLevelType w:val="hybridMultilevel"/>
    <w:lvl w:ilvl="0">
      <w:lvlJc w:val="left"/>
      <w:lvlText w:val="•"/>
      <w:numFmt w:val="bullet"/>
      <w:start w:val="1"/>
    </w:lvl>
    <w:lvl w:ilvl="1">
      <w:lvlJc w:val="left"/>
      <w:lvlText w:val="◦"/>
      <w:numFmt w:val="bullet"/>
      <w:start w:val="1"/>
    </w:lvl>
  </w:abstractNum>
  <w:abstractNum w:abstractNumId="12">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54" Type="http://schemas.openxmlformats.org/officeDocument/2006/relationships/hyperlink" Target="https://www.sec.gov/Archives/edgar/data/1601830/000119312524196505/d856792dex21.htm" TargetMode="External"/><Relationship Id="rId55" Type="http://schemas.openxmlformats.org/officeDocument/2006/relationships/hyperlink" Target="https://www.sec.gov/Archives/edgar/data/0001601830/000119312521123764/d149444dex31.htm" TargetMode="External"/><Relationship Id="rId56" Type="http://schemas.openxmlformats.org/officeDocument/2006/relationships/hyperlink" Target="https://www.sec.gov/Archives/edgar/data/1601830/000160183024000009/a1-25x24amendedbylaws.htm" TargetMode="External"/><Relationship Id="rId57" Type="http://schemas.openxmlformats.org/officeDocument/2006/relationships/hyperlink" Target="https://www.sec.gov/Archives/edgar/data/0001601830/000119312521089610/d89478dex42.htm" TargetMode="External"/><Relationship Id="rId58" Type="http://schemas.openxmlformats.org/officeDocument/2006/relationships/hyperlink" Target="https://www.sec.gov/Archives/edgar/data/1601830/000160183023000036/exhibit42-valencexexchange.htm" TargetMode="External"/><Relationship Id="rId59" Type="http://schemas.openxmlformats.org/officeDocument/2006/relationships/hyperlink" Target="https://www.sec.gov/Archives/edgar/data/1601830/000119312522268003/d365090dex102.htm" TargetMode="External"/><Relationship Id="rId60" Type="http://schemas.openxmlformats.org/officeDocument/2006/relationships/hyperlink" Target="https://www.sec.gov/Archives/edgar/data/1601830/000160183023000036/exhibit43-valencexregistra.htm" TargetMode="External"/><Relationship Id="rId61" Type="http://schemas.openxmlformats.org/officeDocument/2006/relationships/hyperlink" Target="https://www.sec.gov/Archives/edgar/data/1601830/000160183023000044/exhibit41registrationagree.htm" TargetMode="External"/><Relationship Id="rId62" Type="http://schemas.openxmlformats.org/officeDocument/2006/relationships/hyperlink" Target="https://www.sec.gov/Archives/edgar/data/1601830/000160183023000050/ex102-rxrxxnvidiaregright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2025-08-05T05:37:36Z</dcterms:created>
  <dcterms:modified xsi:type="dcterms:W3CDTF">2025-08-05T05:37:36Z</dcterms:modified>
</cp:coreProperties>
</file>