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10900.xml.htm"/>
      <w:bookmarkStart w:id="1" w:name="kswkform4_17914109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HERSHBERG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RECURSION PHARMACEUTICALS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S. RIO GRANDE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RECURSION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187,156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162,156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2.22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03/19/2030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2.22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pursuant to a Rule 10b5-1 trading plan adopted by the Reporting Person on December 17,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forty-eighth (1/48th) of the shares subject to the award shall vest one month after March 16, 2020, or the Vesting Commencement Date, and one forty-eighth (1/48th) of the shares subject to the award shall vest each month thereafter on the same day of the month as the Vesting Commencement Date. Date exercisable varies by tranche.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 Nelson,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74139" TargetMode="External"/><Relationship Id="rId5" Type="http://schemas.openxmlformats.org/officeDocument/2006/relationships/hyperlink" Target="http://www.sec.gov/cgi-bin/browse-edgar?action=getcompany&amp;CIK=00016018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675</Words>
  <Characters>3625</Characters>
  <CharactersWithSpaces>4211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