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1E1E1E"/>
        </w:rPr>
        <w:t>UNITED STATES</w:t>
      </w:r>
    </w:p>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SECURITIES AND EXCHANGE COMMISSION</w:t>
      </w:r>
    </w:p>
    <w:p>
      <w:pPr>
        <w:spacing w:after="0" w:line="8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Washington, D.C. 20549</w:t>
      </w:r>
    </w:p>
    <w:p>
      <w:pPr>
        <w:spacing w:after="0" w:line="29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E1E1E"/>
        </w:rPr>
        <w:t>FORM 10-Q</w:t>
      </w:r>
    </w:p>
    <w:p>
      <w:pPr>
        <w:spacing w:after="0" w:line="276" w:lineRule="exact"/>
        <w:rPr>
          <w:sz w:val="24"/>
          <w:szCs w:val="24"/>
          <w:color w:val="auto"/>
        </w:rPr>
      </w:pPr>
    </w:p>
    <w:p>
      <w:pPr>
        <w:ind w:left="20"/>
        <w:spacing w:after="0"/>
        <w:rPr>
          <w:sz w:val="20"/>
          <w:szCs w:val="20"/>
          <w:color w:val="auto"/>
        </w:rPr>
      </w:pPr>
      <w:r>
        <w:rPr>
          <w:rFonts w:ascii="Arial" w:cs="Arial" w:eastAsia="Arial" w:hAnsi="Arial"/>
          <w:sz w:val="16"/>
          <w:szCs w:val="16"/>
          <w:color w:val="1E1E1E"/>
        </w:rPr>
        <w:t>(Mark One)</w:t>
      </w:r>
    </w:p>
    <w:p>
      <w:pPr>
        <w:spacing w:after="0" w:line="5" w:lineRule="exact"/>
        <w:rPr>
          <w:sz w:val="24"/>
          <w:szCs w:val="24"/>
          <w:color w:val="auto"/>
        </w:rPr>
      </w:pPr>
    </w:p>
    <w:p>
      <w:pPr>
        <w:ind w:left="20" w:right="380" w:firstLine="346"/>
        <w:spacing w:after="0" w:line="251" w:lineRule="auto"/>
        <w:tabs>
          <w:tab w:leader="none" w:pos="56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QUARTERLY REPORT PURSUANT TO SECTION 13 OR 15(d) OF THE SECURITIES EXCHANGE ACT OF 1934 </w:t>
      </w:r>
      <w:r>
        <w:rPr>
          <w:rFonts w:ascii="Arial" w:cs="Arial" w:eastAsia="Arial" w:hAnsi="Arial"/>
          <w:sz w:val="16"/>
          <w:szCs w:val="16"/>
          <w:color w:val="1E1E1E"/>
        </w:rPr>
        <w:t>For the quarterly period ended September 30, 2025</w:t>
      </w:r>
    </w:p>
    <w:p>
      <w:pPr>
        <w:jc w:val="center"/>
        <w:ind w:right="20"/>
        <w:spacing w:after="0"/>
        <w:rPr>
          <w:sz w:val="20"/>
          <w:szCs w:val="20"/>
          <w:color w:val="auto"/>
        </w:rPr>
      </w:pPr>
      <w:r>
        <w:rPr>
          <w:rFonts w:ascii="Arial" w:cs="Arial" w:eastAsia="Arial" w:hAnsi="Arial"/>
          <w:sz w:val="16"/>
          <w:szCs w:val="16"/>
          <w:b w:val="1"/>
          <w:bCs w:val="1"/>
          <w:color w:val="1E1E1E"/>
        </w:rPr>
        <w:t>or</w:t>
      </w:r>
    </w:p>
    <w:p>
      <w:pPr>
        <w:spacing w:after="0" w:line="6" w:lineRule="exact"/>
        <w:rPr>
          <w:sz w:val="24"/>
          <w:szCs w:val="24"/>
          <w:color w:val="auto"/>
        </w:rPr>
      </w:pPr>
    </w:p>
    <w:p>
      <w:pPr>
        <w:ind w:left="20" w:right="360" w:firstLine="370"/>
        <w:spacing w:after="0" w:line="298" w:lineRule="auto"/>
        <w:tabs>
          <w:tab w:leader="none" w:pos="592"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1E1E1E"/>
        </w:rPr>
        <w:t xml:space="preserve">TRANSITION REPORT PURSUANT TO SECTION 13 OR 15(d) OF THE SECURITIES EXCHANGE ACT OF 1934 </w:t>
      </w:r>
      <w:r>
        <w:rPr>
          <w:rFonts w:ascii="Arial" w:cs="Arial" w:eastAsia="Arial" w:hAnsi="Arial"/>
          <w:sz w:val="16"/>
          <w:szCs w:val="16"/>
          <w:color w:val="1E1E1E"/>
        </w:rPr>
        <w:t>For the transition period from to</w:t>
      </w:r>
    </w:p>
    <w:p>
      <w:pPr>
        <w:spacing w:after="0" w:line="1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Commission File Number: 001-40323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RECURSION PHARMACEUTICALS, INC.</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1E1E1E"/>
        </w:rPr>
        <w:t>(Exact name of registrant as specified in its charter)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Delaware 46-4099738</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or other jurisdiction of incorporation or organization) (I.R.S. Employer Identification No.)</w:t>
      </w:r>
    </w:p>
    <w:p>
      <w:pPr>
        <w:spacing w:after="0" w:line="28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41 S Rio Grande Street</w:t>
      </w:r>
    </w:p>
    <w:p>
      <w:pPr>
        <w:jc w:val="center"/>
        <w:ind w:right="20"/>
        <w:spacing w:after="0" w:line="211" w:lineRule="auto"/>
        <w:rPr>
          <w:sz w:val="20"/>
          <w:szCs w:val="20"/>
          <w:color w:val="auto"/>
        </w:rPr>
      </w:pPr>
      <w:r>
        <w:rPr>
          <w:rFonts w:ascii="Arial" w:cs="Arial" w:eastAsia="Arial" w:hAnsi="Arial"/>
          <w:sz w:val="16"/>
          <w:szCs w:val="16"/>
          <w:b w:val="1"/>
          <w:bCs w:val="1"/>
          <w:color w:val="auto"/>
        </w:rPr>
        <w:t>Salt Lake City, UT 84101</w:t>
      </w:r>
    </w:p>
    <w:p>
      <w:pPr>
        <w:jc w:val="center"/>
        <w:ind w:right="20"/>
        <w:spacing w:after="0" w:line="211" w:lineRule="auto"/>
        <w:rPr>
          <w:sz w:val="20"/>
          <w:szCs w:val="20"/>
          <w:color w:val="auto"/>
        </w:rPr>
      </w:pPr>
      <w:r>
        <w:rPr>
          <w:rFonts w:ascii="Arial" w:cs="Arial" w:eastAsia="Arial" w:hAnsi="Arial"/>
          <w:sz w:val="16"/>
          <w:szCs w:val="16"/>
          <w:b w:val="1"/>
          <w:bCs w:val="1"/>
          <w:color w:val="auto"/>
        </w:rPr>
        <w:t>(Address of principal executive offices) (Zip code)</w:t>
      </w:r>
    </w:p>
    <w:p>
      <w:pPr>
        <w:jc w:val="center"/>
        <w:ind w:right="20"/>
        <w:spacing w:after="0" w:line="211" w:lineRule="auto"/>
        <w:rPr>
          <w:sz w:val="20"/>
          <w:szCs w:val="20"/>
          <w:color w:val="auto"/>
        </w:rPr>
      </w:pPr>
      <w:r>
        <w:rPr>
          <w:rFonts w:ascii="Arial" w:cs="Arial" w:eastAsia="Arial" w:hAnsi="Arial"/>
          <w:sz w:val="16"/>
          <w:szCs w:val="16"/>
          <w:b w:val="1"/>
          <w:bCs w:val="1"/>
          <w:color w:val="auto"/>
        </w:rPr>
        <w:t>(385) 269 - 0203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3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5"/>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par value $0.00001</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RXRX</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07" w:lineRule="exact"/>
        <w:rPr>
          <w:sz w:val="24"/>
          <w:szCs w:val="24"/>
          <w:color w:val="auto"/>
        </w:rPr>
      </w:pPr>
    </w:p>
    <w:p>
      <w:pPr>
        <w:ind w:left="20" w:right="80"/>
        <w:spacing w:after="0" w:line="21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ind w:left="20" w:right="220"/>
        <w:spacing w:after="0" w:line="21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8300"/>
        <w:spacing w:after="0" w:line="184" w:lineRule="exact"/>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left="20" w:right="200"/>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260"/>
          </w:cols>
          <w:pgMar w:left="1320" w:top="1087" w:right="1319" w:bottom="1440" w:gutter="0" w:footer="0" w:header="0"/>
        </w:sectPr>
      </w:pPr>
    </w:p>
    <w:p>
      <w:pPr>
        <w:spacing w:after="0" w:line="164"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sectPr>
          <w:pgSz w:w="11900" w:h="16838" w:orient="portrait"/>
          <w:cols w:equalWidth="0" w:num="3">
            <w:col w:w="1620" w:space="300"/>
            <w:col w:w="4580" w:space="720"/>
            <w:col w:w="2040"/>
          </w:cols>
          <w:pgMar w:left="1320" w:top="1087" w:right="1319" w:bottom="1440" w:gutter="0" w:footer="0" w:header="0"/>
          <w:type w:val="continuous"/>
        </w:sectPr>
      </w:pPr>
    </w:p>
    <w:p>
      <w:pPr>
        <w:spacing w:after="0" w:line="20" w:lineRule="exact"/>
        <w:rPr>
          <w:sz w:val="24"/>
          <w:szCs w:val="24"/>
          <w:color w:val="auto"/>
        </w:rPr>
      </w:pPr>
    </w:p>
    <w:p>
      <w:pPr>
        <w:ind w:left="20"/>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3">
            <w:col w:w="1200" w:space="720"/>
            <w:col w:w="4140" w:space="720"/>
            <w:col w:w="2480"/>
          </w:cols>
          <w:pgMar w:left="1320" w:top="1087" w:right="1319" w:bottom="1440" w:gutter="0" w:footer="0" w:header="0"/>
          <w:type w:val="continuous"/>
        </w:sectPr>
      </w:pPr>
    </w:p>
    <w:p>
      <w:pPr>
        <w:ind w:left="680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260"/>
          </w:cols>
          <w:pgMar w:left="1320" w:top="1087" w:right="1319" w:bottom="1440" w:gutter="0" w:footer="0" w:header="0"/>
          <w:type w:val="continuous"/>
        </w:sectPr>
      </w:pPr>
    </w:p>
    <w:p>
      <w:pPr>
        <w:spacing w:after="0" w:line="200" w:lineRule="exact"/>
        <w:rPr>
          <w:sz w:val="24"/>
          <w:szCs w:val="24"/>
          <w:color w:val="auto"/>
        </w:rPr>
      </w:pPr>
    </w:p>
    <w:p>
      <w:pPr>
        <w:spacing w:after="0" w:line="228" w:lineRule="exact"/>
        <w:rPr>
          <w:sz w:val="24"/>
          <w:szCs w:val="24"/>
          <w:color w:val="auto"/>
        </w:rPr>
      </w:pPr>
    </w:p>
    <w:p>
      <w:pPr>
        <w:ind w:left="20" w:right="80"/>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7" w:lineRule="exact"/>
        <w:rPr>
          <w:sz w:val="24"/>
          <w:szCs w:val="24"/>
          <w:color w:val="auto"/>
        </w:rPr>
      </w:pPr>
    </w:p>
    <w:p>
      <w:pPr>
        <w:ind w:left="20"/>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68" w:lineRule="exact"/>
        <w:rPr>
          <w:sz w:val="24"/>
          <w:szCs w:val="24"/>
          <w:color w:val="auto"/>
        </w:rPr>
      </w:pPr>
    </w:p>
    <w:p>
      <w:pPr>
        <w:ind w:left="20" w:right="320"/>
        <w:spacing w:after="0" w:line="251" w:lineRule="auto"/>
        <w:rPr>
          <w:sz w:val="20"/>
          <w:szCs w:val="20"/>
          <w:color w:val="auto"/>
        </w:rPr>
      </w:pPr>
      <w:r>
        <w:rPr>
          <w:rFonts w:ascii="Arial" w:cs="Arial" w:eastAsia="Arial" w:hAnsi="Arial"/>
          <w:sz w:val="16"/>
          <w:szCs w:val="16"/>
          <w:color w:val="auto"/>
        </w:rPr>
        <w:t>As of October 31, 2025, there were 514,895,802 and 5,747,334 of the registrant’s Class A and B common stock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-641985</wp:posOffset>
            </wp:positionH>
            <wp:positionV relativeFrom="paragraph">
              <wp:posOffset>951865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1087"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1E1E1E"/>
        </w:rPr>
        <w:t>TABLE OF CONTENTS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Page</w:t>
            </w:r>
          </w:p>
        </w:tc>
      </w:tr>
      <w:tr>
        <w:trPr>
          <w:trHeight w:val="223"/>
        </w:trPr>
        <w:tc>
          <w:tcPr>
            <w:tcW w:w="460" w:type="dxa"/>
            <w:vAlign w:val="bottom"/>
          </w:tcPr>
          <w:p>
            <w:pPr>
              <w:spacing w:after="0"/>
              <w:rPr>
                <w:sz w:val="20"/>
                <w:szCs w:val="20"/>
                <w:color w:val="auto"/>
              </w:rPr>
            </w:pPr>
            <w:r>
              <w:rPr>
                <w:rFonts w:ascii="Arial" w:cs="Arial" w:eastAsia="Arial" w:hAnsi="Arial"/>
                <w:sz w:val="18"/>
                <w:szCs w:val="18"/>
                <w:b w:val="1"/>
                <w:bCs w:val="1"/>
                <w:color w:val="0000EE"/>
                <w:w w:val="97"/>
              </w:rPr>
              <w:t>Part I</w:t>
            </w:r>
          </w:p>
        </w:tc>
        <w:tc>
          <w:tcPr>
            <w:tcW w:w="960" w:type="dxa"/>
            <w:vAlign w:val="bottom"/>
            <w:gridSpan w:val="2"/>
          </w:tcPr>
          <w:p>
            <w:pPr>
              <w:spacing w:after="0"/>
              <w:rPr>
                <w:sz w:val="19"/>
                <w:szCs w:val="19"/>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FF"/>
              </w:rPr>
              <w:t>Financial Information</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9"/>
                <w:szCs w:val="19"/>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1"/>
          </w:tcPr>
          <w:p>
            <w:pPr>
              <w:spacing w:after="0"/>
              <w:rPr>
                <w:sz w:val="20"/>
                <w:szCs w:val="20"/>
                <w:color w:val="auto"/>
              </w:rPr>
            </w:pPr>
            <w:r>
              <w:rPr>
                <w:rFonts w:ascii="Arial" w:cs="Arial" w:eastAsia="Arial" w:hAnsi="Arial"/>
                <w:sz w:val="18"/>
                <w:szCs w:val="18"/>
                <w:color w:val="0000FF"/>
              </w:rPr>
              <w:t>Financial Statements (unaudited)</w:t>
            </w:r>
          </w:p>
        </w:tc>
        <w:tc>
          <w:tcPr>
            <w:tcW w:w="220" w:type="dxa"/>
            <w:vAlign w:val="bottom"/>
            <w:gridSpan w:val="2"/>
          </w:tcPr>
          <w:p>
            <w:pPr>
              <w:jc w:val="center"/>
              <w:ind w:left="35"/>
              <w:spacing w:after="0"/>
              <w:rPr>
                <w:sz w:val="20"/>
                <w:szCs w:val="20"/>
                <w:color w:val="auto"/>
              </w:rPr>
            </w:pPr>
            <w:r>
              <w:rPr>
                <w:rFonts w:ascii="Arial" w:cs="Arial" w:eastAsia="Arial" w:hAnsi="Arial"/>
                <w:sz w:val="18"/>
                <w:szCs w:val="18"/>
                <w:color w:val="0000EE"/>
                <w:w w:val="99"/>
              </w:rPr>
              <w:t>1</w:t>
            </w:r>
          </w:p>
        </w:tc>
        <w:tc>
          <w:tcPr>
            <w:tcW w:w="120" w:type="dxa"/>
            <w:vAlign w:val="bottom"/>
          </w:tcPr>
          <w:p>
            <w:pPr>
              <w:spacing w:after="0"/>
              <w:rPr>
                <w:sz w:val="18"/>
                <w:szCs w:val="18"/>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0"/>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26</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gridSpan w:val="8"/>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36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34</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6"/>
          </w:tcPr>
          <w:p>
            <w:pPr>
              <w:spacing w:after="0"/>
              <w:rPr>
                <w:sz w:val="20"/>
                <w:szCs w:val="20"/>
                <w:color w:val="auto"/>
              </w:rPr>
            </w:pPr>
            <w:r>
              <w:rPr>
                <w:rFonts w:ascii="Arial" w:cs="Arial" w:eastAsia="Arial" w:hAnsi="Arial"/>
                <w:sz w:val="18"/>
                <w:szCs w:val="18"/>
                <w:color w:val="0000EE"/>
                <w:w w:val="99"/>
              </w:rPr>
              <w:t>Controls and Procedures</w:t>
            </w:r>
          </w:p>
        </w:tc>
        <w:tc>
          <w:tcPr>
            <w:tcW w:w="2720" w:type="dxa"/>
            <w:vAlign w:val="bottom"/>
            <w:gridSpan w:val="2"/>
          </w:tcPr>
          <w:p>
            <w:pPr>
              <w:spacing w:after="0"/>
              <w:rPr>
                <w:sz w:val="18"/>
                <w:szCs w:val="18"/>
                <w:color w:val="auto"/>
              </w:rPr>
            </w:pPr>
          </w:p>
        </w:tc>
        <w:tc>
          <w:tcPr>
            <w:tcW w:w="45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35</w:t>
            </w:r>
          </w:p>
        </w:tc>
      </w:tr>
      <w:tr>
        <w:trPr>
          <w:trHeight w:val="20"/>
        </w:trPr>
        <w:tc>
          <w:tcPr>
            <w:tcW w:w="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b w:val="1"/>
                <w:bCs w:val="1"/>
                <w:color w:val="0000EE"/>
              </w:rPr>
              <w:t>Part II</w:t>
            </w:r>
          </w:p>
        </w:tc>
        <w:tc>
          <w:tcPr>
            <w:tcW w:w="2000" w:type="dxa"/>
            <w:vAlign w:val="bottom"/>
            <w:gridSpan w:val="6"/>
          </w:tcPr>
          <w:p>
            <w:pPr>
              <w:spacing w:after="0"/>
              <w:rPr>
                <w:sz w:val="20"/>
                <w:szCs w:val="20"/>
                <w:color w:val="auto"/>
              </w:rPr>
            </w:pPr>
            <w:r>
              <w:rPr>
                <w:rFonts w:ascii="Arial" w:cs="Arial" w:eastAsia="Arial" w:hAnsi="Arial"/>
                <w:sz w:val="18"/>
                <w:szCs w:val="18"/>
                <w:b w:val="1"/>
                <w:bCs w:val="1"/>
                <w:color w:val="0000FF"/>
              </w:rPr>
              <w:t>Other Information</w:t>
            </w:r>
          </w:p>
        </w:tc>
        <w:tc>
          <w:tcPr>
            <w:tcW w:w="72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37</w:t>
            </w: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4"/>
          </w:tcPr>
          <w:p>
            <w:pPr>
              <w:spacing w:after="0"/>
              <w:rPr>
                <w:sz w:val="20"/>
                <w:szCs w:val="20"/>
                <w:color w:val="auto"/>
              </w:rPr>
            </w:pPr>
            <w:r>
              <w:rPr>
                <w:rFonts w:ascii="Arial" w:cs="Arial" w:eastAsia="Arial" w:hAnsi="Arial"/>
                <w:sz w:val="18"/>
                <w:szCs w:val="18"/>
                <w:color w:val="0000FF"/>
                <w:w w:val="97"/>
              </w:rPr>
              <w:t>Legal Proceedings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37</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4"/>
          </w:tcPr>
          <w:p>
            <w:pPr>
              <w:spacing w:after="0"/>
              <w:rPr>
                <w:sz w:val="20"/>
                <w:szCs w:val="20"/>
                <w:color w:val="auto"/>
              </w:rPr>
            </w:pPr>
            <w:r>
              <w:rPr>
                <w:rFonts w:ascii="Arial" w:cs="Arial" w:eastAsia="Arial" w:hAnsi="Arial"/>
                <w:sz w:val="18"/>
                <w:szCs w:val="18"/>
                <w:color w:val="0000FF"/>
              </w:rPr>
              <w:t>Risk Factors</w:t>
            </w:r>
          </w:p>
        </w:tc>
        <w:tc>
          <w:tcPr>
            <w:tcW w:w="77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37</w:t>
            </w:r>
          </w:p>
        </w:tc>
      </w:tr>
      <w:tr>
        <w:trPr>
          <w:trHeight w:val="20"/>
        </w:trPr>
        <w:tc>
          <w:tcPr>
            <w:tcW w:w="1420" w:type="dxa"/>
            <w:vAlign w:val="bottom"/>
            <w:gridSpan w:val="3"/>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09"/>
        </w:trPr>
        <w:tc>
          <w:tcPr>
            <w:tcW w:w="14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9"/>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37</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14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8"/>
          </w:tcPr>
          <w:p>
            <w:pPr>
              <w:spacing w:after="0"/>
              <w:rPr>
                <w:sz w:val="18"/>
                <w:szCs w:val="18"/>
                <w:color w:val="auto"/>
              </w:rPr>
            </w:pPr>
          </w:p>
        </w:tc>
        <w:tc>
          <w:tcPr>
            <w:tcW w:w="4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7"/>
                <w:szCs w:val="17"/>
                <w:color w:val="0000EE"/>
                <w:w w:val="73"/>
              </w:rPr>
              <w:t>39</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80" w:type="dxa"/>
            <w:vAlign w:val="bottom"/>
            <w:gridSpan w:val="9"/>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40" w:type="dxa"/>
            <w:vAlign w:val="bottom"/>
            <w:gridSpan w:val="11"/>
          </w:tcPr>
          <w:p>
            <w:pPr>
              <w:spacing w:after="0"/>
              <w:rPr>
                <w:sz w:val="20"/>
                <w:szCs w:val="20"/>
                <w:color w:val="auto"/>
              </w:rPr>
            </w:pPr>
            <w:r>
              <w:rPr>
                <w:rFonts w:ascii="Arial" w:cs="Arial" w:eastAsia="Arial" w:hAnsi="Arial"/>
                <w:sz w:val="18"/>
                <w:szCs w:val="18"/>
                <w:color w:val="0000EE"/>
              </w:rPr>
              <w:t>Signatures</w:t>
            </w:r>
          </w:p>
        </w:tc>
        <w:tc>
          <w:tcPr>
            <w:tcW w:w="340" w:type="dxa"/>
            <w:vAlign w:val="bottom"/>
            <w:gridSpan w:val="3"/>
          </w:tcPr>
          <w:p>
            <w:pPr>
              <w:jc w:val="center"/>
              <w:ind w:right="20"/>
              <w:spacing w:after="0"/>
              <w:rPr>
                <w:sz w:val="20"/>
                <w:szCs w:val="20"/>
                <w:color w:val="auto"/>
              </w:rPr>
            </w:pPr>
            <w:r>
              <w:rPr>
                <w:rFonts w:ascii="Arial" w:cs="Arial" w:eastAsia="Arial" w:hAnsi="Arial"/>
                <w:sz w:val="18"/>
                <w:szCs w:val="18"/>
                <w:color w:val="0000EE"/>
                <w:w w:val="99"/>
              </w:rPr>
              <w:t>40</w:t>
            </w: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6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This Quarterly Report on Form 10-Q contains “forward-looking statements” about us and our industry within the meaning of Section 27A of the Securities Act of 1933, as amended, and Section 21E of the Securities Exchange Act of 1934, as amended. All statements other than statements of historical facts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may include without limitation those regarding:</w:t>
      </w:r>
    </w:p>
    <w:p>
      <w:pPr>
        <w:spacing w:after="0" w:line="3" w:lineRule="exact"/>
        <w:rPr>
          <w:sz w:val="20"/>
          <w:szCs w:val="20"/>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research and development programs;</w:t>
      </w:r>
    </w:p>
    <w:p>
      <w:pPr>
        <w:spacing w:after="0" w:line="7" w:lineRule="exact"/>
        <w:rPr>
          <w:rFonts w:ascii="Arial" w:cs="Arial" w:eastAsia="Arial" w:hAnsi="Arial"/>
          <w:sz w:val="17"/>
          <w:szCs w:val="17"/>
          <w:color w:val="auto"/>
        </w:rPr>
      </w:pPr>
    </w:p>
    <w:p>
      <w:pPr>
        <w:ind w:left="340" w:right="220" w:hanging="251"/>
        <w:spacing w:after="0" w:line="254"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use our combined assets from our recent business combination to create a fully integrated, technology-first drug discovery platform;</w:t>
      </w:r>
    </w:p>
    <w:p>
      <w:pPr>
        <w:spacing w:after="0" w:line="7" w:lineRule="exact"/>
        <w:rPr>
          <w:rFonts w:ascii="Arial" w:cs="Arial" w:eastAsia="Arial" w:hAnsi="Arial"/>
          <w:sz w:val="17"/>
          <w:szCs w:val="17"/>
          <w:color w:val="auto"/>
        </w:rPr>
      </w:pPr>
    </w:p>
    <w:p>
      <w:pPr>
        <w:ind w:left="340" w:right="46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and likelihood of our ability to shift our wet-lab from a source of data generation to a model for validating data from AI-generated results;</w:t>
      </w:r>
    </w:p>
    <w:p>
      <w:pPr>
        <w:spacing w:after="0" w:line="1" w:lineRule="exact"/>
        <w:rPr>
          <w:rFonts w:ascii="Arial" w:cs="Arial" w:eastAsia="Arial" w:hAnsi="Arial"/>
          <w:sz w:val="17"/>
          <w:szCs w:val="17"/>
          <w:color w:val="auto"/>
        </w:rPr>
      </w:pPr>
    </w:p>
    <w:p>
      <w:pPr>
        <w:ind w:left="340" w:right="48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collaborators to continue research and development activities relating to our development candidates and investigational medicines;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our investigational medicines and any other approved product;</w:t>
      </w:r>
    </w:p>
    <w:p>
      <w:pPr>
        <w:spacing w:after="0" w:line="7" w:lineRule="exact"/>
        <w:rPr>
          <w:rFonts w:ascii="Arial" w:cs="Arial" w:eastAsia="Arial" w:hAnsi="Arial"/>
          <w:sz w:val="17"/>
          <w:szCs w:val="17"/>
          <w:color w:val="auto"/>
        </w:rPr>
      </w:pPr>
    </w:p>
    <w:p>
      <w:pPr>
        <w:ind w:left="340" w:right="40" w:hanging="251"/>
        <w:spacing w:after="0" w:line="251"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scope, or likelihood of foreign regulatory filings and approvals, including our ability to maintain any such approvals;</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TechBio companies, including the expected impact of AI-enabled technologies;</w:t>
      </w:r>
    </w:p>
    <w:p>
      <w:pPr>
        <w:spacing w:after="0" w:line="7" w:lineRule="exact"/>
        <w:rPr>
          <w:rFonts w:ascii="Arial" w:cs="Arial" w:eastAsia="Arial" w:hAnsi="Arial"/>
          <w:sz w:val="17"/>
          <w:szCs w:val="17"/>
          <w:color w:val="auto"/>
        </w:rPr>
      </w:pPr>
    </w:p>
    <w:p>
      <w:pPr>
        <w:ind w:left="340" w:right="58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of the potential market opportunity for our drug candidates, including our estimates of the number of patients who suffer from the diseases we are targeting;</w:t>
      </w:r>
    </w:p>
    <w:p>
      <w:pPr>
        <w:spacing w:after="0" w:line="1" w:lineRule="exact"/>
        <w:rPr>
          <w:rFonts w:ascii="Arial" w:cs="Arial" w:eastAsia="Arial" w:hAnsi="Arial"/>
          <w:sz w:val="17"/>
          <w:szCs w:val="17"/>
          <w:color w:val="auto"/>
        </w:rPr>
      </w:pPr>
    </w:p>
    <w:p>
      <w:pPr>
        <w:ind w:left="340" w:right="22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viable new drug candidates for clinical development and the rate at which we expect to identify such candidates, whether through an inferential approach or otherwise;</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 that the assets that will drive the most value for us are those that we will identify in the future using our datasets and tools;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advance our current drug candidates and programs into, and successfully complete, clinical studies;</w:t>
      </w:r>
    </w:p>
    <w:p>
      <w:pPr>
        <w:spacing w:after="0" w:line="7" w:lineRule="exact"/>
        <w:rPr>
          <w:rFonts w:ascii="Arial" w:cs="Arial" w:eastAsia="Arial" w:hAnsi="Arial"/>
          <w:sz w:val="17"/>
          <w:szCs w:val="17"/>
          <w:color w:val="auto"/>
        </w:rPr>
      </w:pPr>
    </w:p>
    <w:p>
      <w:pPr>
        <w:ind w:left="340" w:right="60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reduce the time or cost or increase the likelihood of success of our research and development relative to the traditional drug discovery paradigm, including the use of data sets from our partners to accelerate the development of our AI-enabled technologies;</w:t>
      </w:r>
    </w:p>
    <w:p>
      <w:pPr>
        <w:spacing w:after="0" w:line="1" w:lineRule="exact"/>
        <w:rPr>
          <w:rFonts w:ascii="Arial" w:cs="Arial" w:eastAsia="Arial" w:hAnsi="Arial"/>
          <w:sz w:val="17"/>
          <w:szCs w:val="17"/>
          <w:color w:val="auto"/>
        </w:rPr>
      </w:pPr>
    </w:p>
    <w:p>
      <w:pPr>
        <w:ind w:left="340" w:right="240" w:hanging="251"/>
        <w:spacing w:after="0" w:line="256"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and the rate of improvement in, our infrastructure, datasets, biology, technology tools, and drug discovery platform, and our ability to realize benefits from such improvements;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use machine learning and artificial intelligence in our drug development process;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leverage our collaborations and partnerships to develop our products and grow our business;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related to the performance and benefits of our BioHive-2 supercomputer, Recursion OS, and our digital chemistry platform;</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a return on our investment of resources and cash in our drug discovery collaborations;</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scale like a technology company and to add more programs to our pipeline each year;</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acquire and generate datasets to train and develop our AI-enabled technologies;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compete in a highly competitive market;</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commercialization, and marketing capabilities and strategies;</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relating to commercializing our drug candidates, if approved, including the geographic areas of focus and sales strategy;</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approval and use of our drug candidates in combination with other drugs;</w:t>
      </w:r>
    </w:p>
    <w:p>
      <w:pPr>
        <w:spacing w:after="0" w:line="14" w:lineRule="exact"/>
        <w:rPr>
          <w:rFonts w:ascii="Arial" w:cs="Arial" w:eastAsia="Arial" w:hAnsi="Arial"/>
          <w:sz w:val="17"/>
          <w:szCs w:val="17"/>
          <w:color w:val="auto"/>
        </w:rPr>
      </w:pPr>
    </w:p>
    <w:p>
      <w:pPr>
        <w:ind w:left="340" w:right="42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current drug candidates, if approved, and other drug candidates we may develop;</w:t>
      </w:r>
    </w:p>
    <w:p>
      <w:pPr>
        <w:spacing w:after="0" w:line="1" w:lineRule="exact"/>
        <w:rPr>
          <w:rFonts w:ascii="Arial" w:cs="Arial" w:eastAsia="Arial" w:hAnsi="Arial"/>
          <w:sz w:val="17"/>
          <w:szCs w:val="17"/>
          <w:color w:val="auto"/>
        </w:rPr>
      </w:pPr>
    </w:p>
    <w:p>
      <w:pPr>
        <w:ind w:left="340" w:right="200" w:hanging="251"/>
        <w:spacing w:after="0" w:line="248" w:lineRule="auto"/>
        <w:tabs>
          <w:tab w:leader="none" w:pos="33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competitive position and the success of competing approaches that are or may become available, including with respect to our AI-enabled technologies;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the number of patients that we will enroll in our clinical trials and the timing of their enrollment;</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beneficial characteristics, safety, efficacy, and therapeutic effects of our drug candidates;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for further development of our drug candidates, including additional indications we may pursue;</w:t>
      </w:r>
    </w:p>
    <w:p>
      <w:pPr>
        <w:spacing w:after="0" w:line="23" w:lineRule="exact"/>
        <w:rPr>
          <w:rFonts w:ascii="Arial" w:cs="Arial" w:eastAsia="Arial" w:hAnsi="Arial"/>
          <w:sz w:val="17"/>
          <w:szCs w:val="17"/>
          <w:color w:val="auto"/>
        </w:rPr>
      </w:pPr>
    </w:p>
    <w:p>
      <w:pPr>
        <w:ind w:left="340" w:hanging="251"/>
        <w:spacing w:after="0" w:line="252"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spacing w:after="0" w:line="2" w:lineRule="exact"/>
        <w:rPr>
          <w:rFonts w:ascii="Arial" w:cs="Arial" w:eastAsia="Arial" w:hAnsi="Arial"/>
          <w:sz w:val="17"/>
          <w:szCs w:val="17"/>
          <w:color w:val="auto"/>
        </w:rPr>
      </w:pPr>
    </w:p>
    <w:p>
      <w:pPr>
        <w:ind w:left="340" w:right="22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intellectual property disputes and our ability to defend against claims of infringement, misappropriation, or other violations of intellectual property rights;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keep pace with new technological developments, including with respect to AI;</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utilize third-party open source software and cloud-based infrastructure, on which we are dependent;</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insurance policies and the scope of their coverage;</w:t>
      </w:r>
    </w:p>
    <w:p>
      <w:pPr>
        <w:spacing w:after="0" w:line="7" w:lineRule="exact"/>
        <w:rPr>
          <w:rFonts w:ascii="Arial" w:cs="Arial" w:eastAsia="Arial" w:hAnsi="Arial"/>
          <w:sz w:val="17"/>
          <w:szCs w:val="17"/>
          <w:color w:val="auto"/>
        </w:rPr>
      </w:pPr>
    </w:p>
    <w:p>
      <w:pPr>
        <w:ind w:left="340" w:right="46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our technical operations infrastructure to avoid errors, delays, or cybersecurity breaches;</w:t>
      </w:r>
    </w:p>
    <w:p>
      <w:pPr>
        <w:spacing w:after="0" w:line="13" w:lineRule="exact"/>
        <w:rPr>
          <w:rFonts w:ascii="Arial" w:cs="Arial" w:eastAsia="Arial" w:hAnsi="Arial"/>
          <w:sz w:val="17"/>
          <w:szCs w:val="17"/>
          <w:color w:val="auto"/>
        </w:rPr>
      </w:pPr>
    </w:p>
    <w:p>
      <w:pPr>
        <w:ind w:left="340" w:right="40" w:hanging="251"/>
        <w:spacing w:after="0" w:line="253"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continued reliance on third parties to conduct additional clinical trials of our drug candidates, and for the manufacture of our drug candidates for preclinical studies and clinical trials;</w:t>
      </w:r>
    </w:p>
    <w:p>
      <w:pPr>
        <w:ind w:left="340" w:right="14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obtain, and negotiate favorable terms of, any collaboration, licensing or other arrangements that may be necessary or desirable to research, develop, manufacture, or commercialize our platform and drug candidates;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pricing and reimbursement of our current drug candidates and other drug candidates we may develop, if approved;</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 for additional financing;</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7" w:lineRule="exact"/>
        <w:rPr>
          <w:rFonts w:ascii="Arial" w:cs="Arial" w:eastAsia="Arial" w:hAnsi="Arial"/>
          <w:sz w:val="17"/>
          <w:szCs w:val="17"/>
          <w:color w:val="auto"/>
        </w:rPr>
      </w:pPr>
    </w:p>
    <w:p>
      <w:pPr>
        <w:ind w:left="340" w:right="32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period over which we estimate our existing cash and cash equivalents will be sufficient to fund our future operating expenses and capital expenditure requirements;</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raise substantial additional funding;</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current and future laws and regulations, and our ability to comply with all regulations that we are, or may become, subject to;</w:t>
      </w:r>
    </w:p>
    <w:p>
      <w:pPr>
        <w:spacing w:after="0" w:line="14"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need to hire additional personnel and our ability to attract and retain such personnel;</w:t>
      </w:r>
    </w:p>
    <w:p>
      <w:pPr>
        <w:spacing w:after="0" w:line="7"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any current or future litigation, which may arise during the ordinary course of business and be costly to defend;</w:t>
      </w:r>
    </w:p>
    <w:p>
      <w:pPr>
        <w:spacing w:after="0" w:line="7" w:lineRule="exact"/>
        <w:rPr>
          <w:rFonts w:ascii="Arial" w:cs="Arial" w:eastAsia="Arial" w:hAnsi="Arial"/>
          <w:sz w:val="17"/>
          <w:szCs w:val="17"/>
          <w:color w:val="auto"/>
        </w:rPr>
      </w:pPr>
    </w:p>
    <w:p>
      <w:pPr>
        <w:ind w:left="340" w:right="80" w:hanging="251"/>
        <w:spacing w:after="0" w:line="248" w:lineRule="auto"/>
        <w:tabs>
          <w:tab w:leader="none" w:pos="332"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effective internal control over financial reporting and disclosure controls and procedures, including our ability to remediate the material weakness in internal control over financial reporting;</w:t>
      </w:r>
    </w:p>
    <w:p>
      <w:pPr>
        <w:spacing w:after="0" w:line="1"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anticipated use of our existing resources and the net proceeds from our public offerings; and</w:t>
      </w:r>
    </w:p>
    <w:p>
      <w:pPr>
        <w:spacing w:after="0" w:line="13" w:lineRule="exact"/>
        <w:rPr>
          <w:rFonts w:ascii="Arial" w:cs="Arial" w:eastAsia="Arial" w:hAnsi="Arial"/>
          <w:sz w:val="17"/>
          <w:szCs w:val="17"/>
          <w:color w:val="auto"/>
        </w:rPr>
      </w:pPr>
    </w:p>
    <w:p>
      <w:pPr>
        <w:ind w:left="320" w:hanging="231"/>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risks and uncertainties, including those listed in the section titled “Risk Factors.”</w:t>
      </w: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These forward-looking statements are not guarantees of future performance or development. These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226"/>
        </w:trPr>
        <w:tc>
          <w:tcPr>
            <w:tcW w:w="7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659,836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594,350</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3,136</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3,045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receivables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21,910</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49,166</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Prepaid data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29,601</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29,223</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38,107</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714,105</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714,269</w:t>
            </w: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Restricted cash, non-current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4,173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5,629</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111,706</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141,063</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47,812</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65,877</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Financing lease right-of-use 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21,726</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26,273</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322,344</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335,855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162,042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148,873</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957</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1,934</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Other assets, non-current</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14,661</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8,825</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1,399,526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1,448,598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13,935</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21,613</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53,102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81,872</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Accrued data liability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20,258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Unearned revenue</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47,364</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61,767</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11,525</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13,795</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Notes payable and financing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8,919</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8,425</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155,103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187,472</w:t>
            </w:r>
          </w:p>
        </w:tc>
        <w:tc>
          <w:tcPr>
            <w:tcW w:w="0" w:type="dxa"/>
            <w:vAlign w:val="bottom"/>
          </w:tcPr>
          <w:p>
            <w:pPr>
              <w:spacing w:after="0"/>
              <w:rPr>
                <w:sz w:val="1"/>
                <w:szCs w:val="1"/>
                <w:color w:val="auto"/>
              </w:rPr>
            </w:pPr>
          </w:p>
        </w:tc>
      </w:tr>
      <w:tr>
        <w:trPr>
          <w:trHeight w:val="108"/>
        </w:trPr>
        <w:tc>
          <w:tcPr>
            <w:tcW w:w="79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Unearned revenue, non-current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111,204</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118,765</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50,028</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67,250</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Notes payable and financing lease liabilities, non-current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11,902</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19,022</w:t>
            </w: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tax liabilities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23,312</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16,575</w:t>
            </w:r>
          </w:p>
        </w:tc>
        <w:tc>
          <w:tcPr>
            <w:tcW w:w="0" w:type="dxa"/>
            <w:vAlign w:val="bottom"/>
          </w:tcPr>
          <w:p>
            <w:pPr>
              <w:spacing w:after="0"/>
              <w:rPr>
                <w:sz w:val="1"/>
                <w:szCs w:val="1"/>
                <w:color w:val="auto"/>
              </w:rPr>
            </w:pPr>
          </w:p>
        </w:tc>
      </w:tr>
      <w:tr>
        <w:trPr>
          <w:trHeight w:val="215"/>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liabilities, non-current</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4,732</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352,578</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413,816</w:t>
            </w:r>
          </w:p>
        </w:tc>
        <w:tc>
          <w:tcPr>
            <w:tcW w:w="0" w:type="dxa"/>
            <w:vAlign w:val="bottom"/>
          </w:tcPr>
          <w:p>
            <w:pPr>
              <w:spacing w:after="0"/>
              <w:rPr>
                <w:sz w:val="1"/>
                <w:szCs w:val="1"/>
                <w:color w:val="auto"/>
              </w:rPr>
            </w:pPr>
          </w:p>
        </w:tc>
      </w:tr>
      <w:tr>
        <w:trPr>
          <w:trHeight w:val="108"/>
        </w:trPr>
        <w:tc>
          <w:tcPr>
            <w:tcW w:w="7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Commitments and contingencies (Note 7)</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980" w:type="dxa"/>
            <w:vAlign w:val="bottom"/>
          </w:tcPr>
          <w:p>
            <w:pPr>
              <w:ind w:left="20"/>
              <w:spacing w:after="0"/>
              <w:rPr>
                <w:sz w:val="20"/>
                <w:szCs w:val="20"/>
                <w:color w:val="auto"/>
              </w:rPr>
            </w:pPr>
            <w:r>
              <w:rPr>
                <w:rFonts w:ascii="Arial" w:cs="Arial" w:eastAsia="Arial" w:hAnsi="Arial"/>
                <w:sz w:val="14"/>
                <w:szCs w:val="14"/>
                <w:color w:val="auto"/>
              </w:rPr>
              <w:t>Common stock, $0.00001 par value; 2,000,000,000 shares (Class A 1,989,032,117 and Class B 10,967,883) authorized as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20"/>
              <w:spacing w:after="0"/>
              <w:rPr>
                <w:sz w:val="20"/>
                <w:szCs w:val="20"/>
                <w:color w:val="auto"/>
              </w:rPr>
            </w:pPr>
            <w:r>
              <w:rPr>
                <w:rFonts w:ascii="Arial" w:cs="Arial" w:eastAsia="Arial" w:hAnsi="Arial"/>
                <w:sz w:val="14"/>
                <w:szCs w:val="14"/>
                <w:color w:val="auto"/>
              </w:rPr>
              <w:t>of September 30, 2025 and December 31, 2024; 491,800,501 shares (Class A 485,213,547, Class B 5,967,334 and</w:t>
            </w: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rPr>
                <w:sz w:val="20"/>
                <w:szCs w:val="20"/>
                <w:color w:val="auto"/>
              </w:rPr>
            </w:pPr>
            <w:r>
              <w:rPr>
                <w:rFonts w:ascii="Arial" w:cs="Arial" w:eastAsia="Arial" w:hAnsi="Arial"/>
                <w:sz w:val="14"/>
                <w:szCs w:val="14"/>
                <w:color w:val="auto"/>
              </w:rPr>
              <w:t>Exchangeable 619,620) and 396,802,394 shares (Class A 389,547,223, Class B 6,958,575 and Exchangeable 296,596)</w:t>
            </w:r>
          </w:p>
        </w:tc>
        <w:tc>
          <w:tcPr>
            <w:tcW w:w="1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Arial" w:cs="Arial" w:eastAsia="Arial" w:hAnsi="Arial"/>
                <w:sz w:val="14"/>
                <w:szCs w:val="14"/>
                <w:color w:val="auto"/>
              </w:rPr>
              <w:t>issued and outstanding as of September 30, 2025 and December 31, 2024, respectively</w:t>
            </w: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2,980,729</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2,473,698</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(1,967,879)</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(1,431,283)</w:t>
            </w:r>
          </w:p>
        </w:tc>
        <w:tc>
          <w:tcPr>
            <w:tcW w:w="0" w:type="dxa"/>
            <w:vAlign w:val="bottom"/>
          </w:tcPr>
          <w:p>
            <w:pPr>
              <w:spacing w:after="0"/>
              <w:rPr>
                <w:sz w:val="1"/>
                <w:szCs w:val="1"/>
                <w:color w:val="auto"/>
              </w:rPr>
            </w:pPr>
          </w:p>
        </w:tc>
      </w:tr>
      <w:tr>
        <w:trPr>
          <w:trHeight w:val="216"/>
        </w:trPr>
        <w:tc>
          <w:tcPr>
            <w:tcW w:w="7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34,093</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1,046,948</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108"/>
        </w:trPr>
        <w:tc>
          <w:tcPr>
            <w:tcW w:w="798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38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3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1,399,526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1,448,598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1E1E1E"/>
        </w:rPr>
        <w:t>(</w:t>
      </w:r>
      <w:r>
        <w:rPr>
          <w:rFonts w:ascii="Arial" w:cs="Arial" w:eastAsia="Arial" w:hAnsi="Arial"/>
          <w:sz w:val="18"/>
          <w:szCs w:val="18"/>
          <w:b w:val="1"/>
          <w:bCs w:val="1"/>
          <w:color w:val="000000"/>
        </w:rPr>
        <w:t>in thousands, except share and per 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22"/>
                <w:szCs w:val="22"/>
                <w:color w:val="auto"/>
              </w:rPr>
            </w:pPr>
          </w:p>
        </w:tc>
        <w:tc>
          <w:tcPr>
            <w:tcW w:w="30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53,977</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Grant revenue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54,293</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14,687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12,079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56,678</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32,444</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379,331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216,087</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41,628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37,757</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142,932</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100,998</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costs and expenses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124,436</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578,941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349,529</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(98,354)</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(539,798)</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(295,236)</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(162,250)</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(95,675)</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(536,793)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(285,889)</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(95,842)</w:t>
            </w: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(536,637)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(284,755)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040" w:type="dxa"/>
            <w:vAlign w:val="bottom"/>
          </w:tcPr>
          <w:p>
            <w:pPr>
              <w:ind w:left="20"/>
              <w:spacing w:after="0" w:line="169" w:lineRule="exact"/>
              <w:rPr>
                <w:sz w:val="20"/>
                <w:szCs w:val="20"/>
                <w:color w:val="auto"/>
              </w:rPr>
            </w:pPr>
            <w:r>
              <w:rPr>
                <w:rFonts w:ascii="Arial" w:cs="Arial" w:eastAsia="Arial" w:hAnsi="Arial"/>
                <w:sz w:val="18"/>
                <w:szCs w:val="18"/>
                <w:b w:val="1"/>
                <w:bCs w:val="1"/>
                <w:color w:val="auto"/>
              </w:rPr>
              <w:t>Net loss per share of Class A, B and Exchangeable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(0.36)</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(1.27)</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common stock, basic and diluted</w:t>
            </w:r>
          </w:p>
        </w:tc>
        <w:tc>
          <w:tcPr>
            <w:tcW w:w="20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rPr>
              <w:t>Weighted-average shares (Class A, B and Exchangeable)</w:t>
            </w: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446,988,046</w:t>
            </w:r>
          </w:p>
        </w:tc>
        <w:tc>
          <w:tcPr>
            <w:tcW w:w="20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282,583,048</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422,642,653</w:t>
            </w:r>
          </w:p>
        </w:tc>
        <w:tc>
          <w:tcPr>
            <w:tcW w:w="3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253,447,099</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Pr>
          <w:p>
            <w:pPr>
              <w:spacing w:after="0"/>
              <w:rPr>
                <w:sz w:val="21"/>
                <w:szCs w:val="21"/>
                <w:color w:val="auto"/>
              </w:rPr>
            </w:pPr>
          </w:p>
        </w:tc>
        <w:tc>
          <w:tcPr>
            <w:tcW w:w="27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Nine months ended</w:t>
            </w:r>
          </w:p>
        </w:tc>
      </w:tr>
      <w:tr>
        <w:trPr>
          <w:trHeight w:val="278"/>
        </w:trPr>
        <w:tc>
          <w:tcPr>
            <w:tcW w:w="48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center"/>
              <w:ind w:right="54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48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2024</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(162,253)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(95,842)</w:t>
            </w:r>
          </w:p>
        </w:tc>
        <w:tc>
          <w:tcPr>
            <w:tcW w:w="2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(536,637)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(284,755)</w:t>
            </w:r>
          </w:p>
        </w:tc>
      </w:tr>
      <w:tr>
        <w:trPr>
          <w:trHeight w:val="270"/>
        </w:trPr>
        <w:tc>
          <w:tcPr>
            <w:tcW w:w="48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41,730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w:t>
            </w: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41,730</w:t>
            </w: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(171,780)</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(95,842)</w:t>
            </w:r>
          </w:p>
        </w:tc>
        <w:tc>
          <w:tcPr>
            <w:tcW w:w="2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(494,907)</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(284,755)</w:t>
            </w:r>
          </w:p>
        </w:tc>
      </w:tr>
      <w:tr>
        <w:trPr>
          <w:trHeight w:val="20"/>
        </w:trPr>
        <w:tc>
          <w:tcPr>
            <w:tcW w:w="4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820" w:type="dxa"/>
            <w:vAlign w:val="bottom"/>
          </w:tcPr>
          <w:p>
            <w:pPr>
              <w:spacing w:after="0"/>
              <w:rPr>
                <w:sz w:val="17"/>
                <w:szCs w:val="17"/>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Accumulated</w:t>
            </w: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0"/>
                <w:szCs w:val="10"/>
                <w:color w:val="auto"/>
              </w:rPr>
            </w:pPr>
          </w:p>
        </w:tc>
        <w:tc>
          <w:tcPr>
            <w:tcW w:w="2060" w:type="dxa"/>
            <w:vAlign w:val="bottom"/>
            <w:tcBorders>
              <w:bottom w:val="single" w:sz="8" w:color="auto"/>
            </w:tcBorders>
            <w:gridSpan w:val="3"/>
            <w:vMerge w:val="continue"/>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3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in-Capital</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432,830,642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2,681,111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(1,805,589)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919,146</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(162,253)</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(162,253)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(9,527)</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(9,527)</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20" w:type="dxa"/>
            <w:vAlign w:val="bottom"/>
          </w:tcPr>
          <w:p>
            <w:pPr>
              <w:jc w:val="right"/>
              <w:spacing w:after="0"/>
              <w:rPr>
                <w:sz w:val="20"/>
                <w:szCs w:val="20"/>
                <w:color w:val="auto"/>
              </w:rPr>
            </w:pPr>
            <w:r>
              <w:rPr>
                <w:rFonts w:ascii="Arial" w:cs="Arial" w:eastAsia="Arial" w:hAnsi="Arial"/>
                <w:sz w:val="16"/>
                <w:szCs w:val="16"/>
                <w:color w:val="auto"/>
              </w:rPr>
              <w:t>2,871,306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25,244</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25,244</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Arial" w:cs="Arial" w:eastAsia="Arial" w:hAnsi="Arial"/>
                <w:sz w:val="16"/>
                <w:szCs w:val="16"/>
                <w:color w:val="auto"/>
              </w:rPr>
              <w:t>Common stock sales issuances, net of issuance</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52,243,578</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254,460</w:t>
            </w:r>
          </w:p>
        </w:tc>
        <w:tc>
          <w:tcPr>
            <w:tcW w:w="1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254,461</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costs</w:t>
            </w: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 shares issued for asset acquisition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3,854,975</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20,315</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20,315</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491,800,501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2,980,729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(1,967,879)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1,046,948</w:t>
            </w:r>
          </w:p>
        </w:tc>
        <w:tc>
          <w:tcPr>
            <w:tcW w:w="0" w:type="dxa"/>
            <w:vAlign w:val="bottom"/>
          </w:tcPr>
          <w:p>
            <w:pPr>
              <w:spacing w:after="0"/>
              <w:rPr>
                <w:sz w:val="1"/>
                <w:szCs w:val="1"/>
                <w:color w:val="auto"/>
              </w:rPr>
            </w:pP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5"/>
        </w:trPr>
        <w:tc>
          <w:tcPr>
            <w:tcW w:w="3820" w:type="dxa"/>
            <w:vAlign w:val="bottom"/>
          </w:tcPr>
          <w:p>
            <w:pPr>
              <w:spacing w:after="0"/>
              <w:rPr>
                <w:sz w:val="24"/>
                <w:szCs w:val="24"/>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820" w:type="dxa"/>
            <w:vAlign w:val="bottom"/>
          </w:tcPr>
          <w:p>
            <w:pPr>
              <w:spacing w:after="0"/>
              <w:rPr>
                <w:sz w:val="16"/>
                <w:szCs w:val="16"/>
                <w:color w:val="auto"/>
              </w:rPr>
            </w:pPr>
          </w:p>
        </w:tc>
        <w:tc>
          <w:tcPr>
            <w:tcW w:w="206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A, B and</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20" w:type="dxa"/>
            <w:vAlign w:val="bottom"/>
          </w:tcPr>
          <w:p>
            <w:pPr>
              <w:spacing w:after="0"/>
              <w:rPr>
                <w:sz w:val="7"/>
                <w:szCs w:val="7"/>
                <w:color w:val="auto"/>
              </w:rPr>
            </w:pPr>
          </w:p>
        </w:tc>
        <w:tc>
          <w:tcPr>
            <w:tcW w:w="206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Exchangeable)</w:t>
            </w: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2060" w:type="dxa"/>
            <w:vAlign w:val="bottom"/>
            <w:gridSpan w:val="3"/>
            <w:vMerge w:val="continue"/>
          </w:tcPr>
          <w:p>
            <w:pPr>
              <w:spacing w:after="0"/>
              <w:rPr>
                <w:sz w:val="10"/>
                <w:szCs w:val="10"/>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Additional Paid-</w:t>
            </w:r>
          </w:p>
        </w:tc>
        <w:tc>
          <w:tcPr>
            <w:tcW w:w="140" w:type="dxa"/>
            <w:vAlign w:val="bottom"/>
          </w:tcPr>
          <w:p>
            <w:pPr>
              <w:spacing w:after="0"/>
              <w:rPr>
                <w:sz w:val="10"/>
                <w:szCs w:val="10"/>
                <w:color w:val="auto"/>
              </w:rPr>
            </w:pPr>
          </w:p>
        </w:tc>
        <w:tc>
          <w:tcPr>
            <w:tcW w:w="112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280" w:type="dxa"/>
            <w:vAlign w:val="bottom"/>
            <w:vMerge w:val="restart"/>
          </w:tcPr>
          <w:p>
            <w:pPr>
              <w:jc w:val="center"/>
              <w:ind w:right="81"/>
              <w:spacing w:after="0" w:line="12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0"/>
                <w:szCs w:val="10"/>
                <w:color w:val="auto"/>
              </w:rPr>
            </w:pPr>
          </w:p>
        </w:tc>
        <w:tc>
          <w:tcPr>
            <w:tcW w:w="1180" w:type="dxa"/>
            <w:vAlign w:val="bottom"/>
            <w:vMerge w:val="restart"/>
          </w:tcPr>
          <w:p>
            <w:pPr>
              <w:jc w:val="center"/>
              <w:ind w:right="61"/>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9"/>
        </w:trPr>
        <w:tc>
          <w:tcPr>
            <w:tcW w:w="38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820" w:type="dxa"/>
            <w:vAlign w:val="bottom"/>
          </w:tcPr>
          <w:p>
            <w:pPr>
              <w:spacing w:after="0"/>
              <w:rPr>
                <w:sz w:val="2"/>
                <w:szCs w:val="2"/>
                <w:color w:val="auto"/>
              </w:rPr>
            </w:pPr>
          </w:p>
        </w:tc>
        <w:tc>
          <w:tcPr>
            <w:tcW w:w="12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7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2"/>
                <w:szCs w:val="2"/>
                <w:color w:val="auto"/>
              </w:rPr>
            </w:pPr>
          </w:p>
        </w:tc>
        <w:tc>
          <w:tcPr>
            <w:tcW w:w="12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2"/>
                <w:szCs w:val="2"/>
                <w:color w:val="auto"/>
              </w:rPr>
            </w:pPr>
          </w:p>
        </w:tc>
        <w:tc>
          <w:tcPr>
            <w:tcW w:w="118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in-Capital</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396,802,394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2,473,698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(1,431,283)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1,034,782</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(536,637)</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(536,637)</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41,730</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41,730</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Stock option exercises and other</w:t>
            </w:r>
          </w:p>
        </w:tc>
        <w:tc>
          <w:tcPr>
            <w:tcW w:w="1220" w:type="dxa"/>
            <w:vAlign w:val="bottom"/>
          </w:tcPr>
          <w:p>
            <w:pPr>
              <w:jc w:val="right"/>
              <w:spacing w:after="0"/>
              <w:rPr>
                <w:sz w:val="20"/>
                <w:szCs w:val="20"/>
                <w:color w:val="auto"/>
              </w:rPr>
            </w:pPr>
            <w:r>
              <w:rPr>
                <w:rFonts w:ascii="Arial" w:cs="Arial" w:eastAsia="Arial" w:hAnsi="Arial"/>
                <w:sz w:val="16"/>
                <w:szCs w:val="16"/>
                <w:color w:val="auto"/>
              </w:rPr>
              <w:t>11,645,465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3,772</w:t>
            </w:r>
          </w:p>
        </w:tc>
        <w:tc>
          <w:tcPr>
            <w:tcW w:w="1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3,813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87,460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87,460</w:t>
            </w: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Arial" w:cs="Arial" w:eastAsia="Arial" w:hAnsi="Arial"/>
                <w:sz w:val="16"/>
                <w:szCs w:val="16"/>
                <w:color w:val="auto"/>
              </w:rPr>
              <w:t>Common stock sales issuances, net of issuance</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79,497,667</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395,484</w:t>
            </w:r>
          </w:p>
        </w:tc>
        <w:tc>
          <w:tcPr>
            <w:tcW w:w="1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ind w:right="1"/>
              <w:spacing w:after="0"/>
              <w:rPr>
                <w:sz w:val="20"/>
                <w:szCs w:val="20"/>
                <w:color w:val="auto"/>
              </w:rPr>
            </w:pPr>
            <w:r>
              <w:rPr>
                <w:rFonts w:ascii="Arial" w:cs="Arial" w:eastAsia="Arial" w:hAnsi="Arial"/>
                <w:sz w:val="16"/>
                <w:szCs w:val="16"/>
                <w:color w:val="auto"/>
              </w:rPr>
              <w:t>395,485</w:t>
            </w: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costs</w:t>
            </w: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Class A shares issued for asset acquisition</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3,854,975</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20,315</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20,315</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September 30, 2025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491,800,501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2,980,729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(1,967,879)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1,046,948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1E1E1E"/>
        </w:rPr>
        <w:t>See the accompanying notes to these c</w:t>
      </w:r>
      <w:r>
        <w:rPr>
          <w:rFonts w:ascii="Arial" w:cs="Arial" w:eastAsia="Arial" w:hAnsi="Arial"/>
          <w:sz w:val="18"/>
          <w:szCs w:val="18"/>
          <w:color w:val="000000"/>
        </w:rPr>
        <w:t>ondensed</w:t>
      </w:r>
      <w:r>
        <w:rPr>
          <w:rFonts w:ascii="Arial" w:cs="Arial" w:eastAsia="Arial" w:hAnsi="Arial"/>
          <w:sz w:val="18"/>
          <w:szCs w:val="18"/>
          <w:color w:val="1E1E1E"/>
        </w:rPr>
        <w:t xml:space="preserve"> consolidated financial statements</w:t>
      </w:r>
    </w:p>
    <w:p>
      <w:pPr>
        <w:sectPr>
          <w:pgSz w:w="11900" w:h="16838" w:orient="portrait"/>
          <w:cols w:equalWidth="0" w:num="1">
            <w:col w:w="11200"/>
          </w:cols>
          <w:pgMar w:left="320" w:top="12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00"/>
          </w:cols>
          <w:pgMar w:left="320" w:top="121" w:right="37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0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left="1460"/>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1"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(in thousands, except share amounts)</w:t>
      </w:r>
    </w:p>
    <w:p>
      <w:pPr>
        <w:spacing w:after="0" w:line="298" w:lineRule="exact"/>
        <w:rPr>
          <w:sz w:val="20"/>
          <w:szCs w:val="20"/>
          <w:color w:val="auto"/>
        </w:rPr>
      </w:pPr>
    </w:p>
    <w:tbl>
      <w:tblPr>
        <w:tblLayout w:type="fixed"/>
        <w:tblInd w:w="3380" w:type="dxa"/>
        <w:tblCellMar>
          <w:top w:w="0" w:type="dxa"/>
          <w:left w:w="0" w:type="dxa"/>
          <w:bottom w:w="0" w:type="dxa"/>
          <w:right w:w="0" w:type="dxa"/>
        </w:tblCellMar>
      </w:tblPr>
      <w:tr>
        <w:trPr>
          <w:trHeight w:val="196"/>
        </w:trPr>
        <w:tc>
          <w:tcPr>
            <w:tcW w:w="2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(Class A, B and Exchangeable)</w:t>
            </w:r>
          </w:p>
        </w:tc>
        <w:tc>
          <w:tcPr>
            <w:tcW w:w="14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Accumulated</w:t>
            </w:r>
          </w:p>
        </w:tc>
        <w:tc>
          <w:tcPr>
            <w:tcW w:w="1460" w:type="dxa"/>
            <w:vAlign w:val="bottom"/>
          </w:tcPr>
          <w:p>
            <w:pPr>
              <w:jc w:val="center"/>
              <w:ind w:left="88"/>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36"/>
        </w:trPr>
        <w:tc>
          <w:tcPr>
            <w:tcW w:w="2380" w:type="dxa"/>
            <w:vAlign w:val="bottom"/>
            <w:tcBorders>
              <w:bottom w:val="single" w:sz="8" w:color="auto"/>
            </w:tcBorders>
            <w:gridSpan w:val="2"/>
            <w:vMerge w:val="continue"/>
          </w:tcPr>
          <w:p>
            <w:pPr>
              <w:spacing w:after="0"/>
              <w:rPr>
                <w:sz w:val="11"/>
                <w:szCs w:val="11"/>
                <w:color w:val="auto"/>
              </w:rPr>
            </w:pPr>
          </w:p>
        </w:tc>
        <w:tc>
          <w:tcPr>
            <w:tcW w:w="14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Additional Paid-in-</w:t>
            </w:r>
          </w:p>
        </w:tc>
        <w:tc>
          <w:tcPr>
            <w:tcW w:w="1160" w:type="dxa"/>
            <w:vAlign w:val="bottom"/>
            <w:vMerge w:val="continue"/>
          </w:tcPr>
          <w:p>
            <w:pPr>
              <w:spacing w:after="0"/>
              <w:rPr>
                <w:sz w:val="11"/>
                <w:szCs w:val="11"/>
                <w:color w:val="auto"/>
              </w:rPr>
            </w:pPr>
          </w:p>
        </w:tc>
        <w:tc>
          <w:tcPr>
            <w:tcW w:w="14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34"/>
        </w:trPr>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11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Amount</w:t>
            </w:r>
          </w:p>
        </w:tc>
        <w:tc>
          <w:tcPr>
            <w:tcW w:w="14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400" w:type="dxa"/>
            <w:vAlign w:val="bottom"/>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Deficit</w:t>
            </w:r>
          </w:p>
        </w:tc>
        <w:tc>
          <w:tcPr>
            <w:tcW w:w="1460" w:type="dxa"/>
            <w:vAlign w:val="bottom"/>
          </w:tcPr>
          <w:p>
            <w:pPr>
              <w:jc w:val="center"/>
              <w:ind w:left="8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Stockholders’</w:t>
      </w:r>
    </w:p>
    <w:p>
      <w:pPr>
        <w:spacing w:after="0" w:line="29"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Equity</w:t>
      </w:r>
    </w:p>
    <w:p>
      <w:pPr>
        <w:spacing w:after="0" w:line="37" w:lineRule="exact"/>
        <w:rPr>
          <w:sz w:val="20"/>
          <w:szCs w:val="20"/>
          <w:color w:val="auto"/>
        </w:rPr>
      </w:pPr>
    </w:p>
    <w:p>
      <w:pPr>
        <w:sectPr>
          <w:pgSz w:w="11900" w:h="16838" w:orient="portrait"/>
          <w:cols w:equalWidth="0" w:num="2">
            <w:col w:w="9780" w:space="300"/>
            <w:col w:w="1140"/>
          </w:cols>
          <w:pgMar w:left="320" w:top="121" w:right="359" w:bottom="1094" w:gutter="0" w:footer="0" w:header="0"/>
          <w:type w:val="continuous"/>
        </w:sectPr>
      </w:pPr>
    </w:p>
    <w:tbl>
      <w:tblPr>
        <w:tblLayout w:type="fixed"/>
        <w:tblInd w:w="40" w:type="dxa"/>
        <w:tblCellMar>
          <w:top w:w="0" w:type="dxa"/>
          <w:left w:w="0" w:type="dxa"/>
          <w:bottom w:w="0" w:type="dxa"/>
          <w:right w:w="0" w:type="dxa"/>
        </w:tblCellMar>
      </w:tblPr>
      <w:tr>
        <w:trPr>
          <w:trHeight w:val="209"/>
        </w:trPr>
        <w:tc>
          <w:tcPr>
            <w:tcW w:w="3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280,968,276</w:t>
            </w:r>
          </w:p>
        </w:tc>
        <w:tc>
          <w:tcPr>
            <w:tcW w:w="5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1,740,981</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(1,156,535)</w:t>
            </w: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 $</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584,449</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Net loss</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(95,842)</w:t>
            </w:r>
          </w:p>
        </w:tc>
        <w:tc>
          <w:tcPr>
            <w:tcW w:w="70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(95,842)</w:t>
            </w:r>
          </w:p>
        </w:tc>
        <w:tc>
          <w:tcPr>
            <w:tcW w:w="0" w:type="dxa"/>
            <w:vAlign w:val="bottom"/>
          </w:tcPr>
          <w:p>
            <w:pPr>
              <w:spacing w:after="0"/>
              <w:rPr>
                <w:sz w:val="1"/>
                <w:szCs w:val="1"/>
                <w:color w:val="auto"/>
              </w:rPr>
            </w:pPr>
          </w:p>
        </w:tc>
      </w:tr>
      <w:tr>
        <w:trPr>
          <w:trHeight w:val="217"/>
        </w:trPr>
        <w:tc>
          <w:tcPr>
            <w:tcW w:w="322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2,689,679</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5"/>
        </w:trPr>
        <w:tc>
          <w:tcPr>
            <w:tcW w:w="32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18,252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220" w:type="dxa"/>
            <w:vAlign w:val="bottom"/>
          </w:tcPr>
          <w:p>
            <w:pPr>
              <w:ind w:left="5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18,252</w:t>
            </w:r>
          </w:p>
        </w:tc>
        <w:tc>
          <w:tcPr>
            <w:tcW w:w="0" w:type="dxa"/>
            <w:vAlign w:val="bottom"/>
          </w:tcPr>
          <w:p>
            <w:pPr>
              <w:spacing w:after="0"/>
              <w:rPr>
                <w:sz w:val="1"/>
                <w:szCs w:val="1"/>
                <w:color w:val="auto"/>
              </w:rPr>
            </w:pPr>
          </w:p>
        </w:tc>
      </w:tr>
      <w:tr>
        <w:trPr>
          <w:trHeight w:val="163"/>
        </w:trPr>
        <w:tc>
          <w:tcPr>
            <w:tcW w:w="322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Common stock sales issuances, net of</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2,466,324</w:t>
            </w:r>
          </w:p>
        </w:tc>
        <w:tc>
          <w:tcPr>
            <w:tcW w:w="5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16,968</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16,968</w:t>
            </w:r>
          </w:p>
        </w:tc>
        <w:tc>
          <w:tcPr>
            <w:tcW w:w="0" w:type="dxa"/>
            <w:vAlign w:val="bottom"/>
          </w:tcPr>
          <w:p>
            <w:pPr>
              <w:spacing w:after="0"/>
              <w:rPr>
                <w:sz w:val="1"/>
                <w:szCs w:val="1"/>
                <w:color w:val="auto"/>
              </w:rPr>
            </w:pPr>
          </w:p>
        </w:tc>
      </w:tr>
      <w:tr>
        <w:trPr>
          <w:trHeight w:val="215"/>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286,124,279</w:t>
            </w: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1,776,933</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(1,252,377)</w:t>
            </w: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 $</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524,559</w:t>
            </w:r>
          </w:p>
        </w:tc>
        <w:tc>
          <w:tcPr>
            <w:tcW w:w="0" w:type="dxa"/>
            <w:vAlign w:val="bottom"/>
          </w:tcPr>
          <w:p>
            <w:pPr>
              <w:spacing w:after="0"/>
              <w:rPr>
                <w:sz w:val="1"/>
                <w:szCs w:val="1"/>
                <w:color w:val="auto"/>
              </w:rPr>
            </w:pPr>
          </w:p>
        </w:tc>
      </w:tr>
      <w:tr>
        <w:trPr>
          <w:trHeight w:val="21"/>
        </w:trPr>
        <w:tc>
          <w:tcPr>
            <w:tcW w:w="3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23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340" w:type="dxa"/>
            <w:vAlign w:val="bottom"/>
          </w:tcPr>
          <w:p>
            <w:pPr>
              <w:spacing w:after="0"/>
              <w:rPr>
                <w:sz w:val="21"/>
                <w:szCs w:val="21"/>
                <w:color w:val="auto"/>
              </w:rPr>
            </w:pPr>
          </w:p>
        </w:tc>
        <w:tc>
          <w:tcPr>
            <w:tcW w:w="238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(Class A, B and Exchangeable)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80" w:type="dxa"/>
            <w:vAlign w:val="bottom"/>
            <w:gridSpan w:val="2"/>
          </w:tcPr>
          <w:p>
            <w:pPr>
              <w:jc w:val="center"/>
              <w:ind w:right="61"/>
              <w:spacing w:after="0"/>
              <w:rPr>
                <w:sz w:val="20"/>
                <w:szCs w:val="20"/>
                <w:color w:val="auto"/>
              </w:rPr>
            </w:pPr>
            <w:r>
              <w:rPr>
                <w:rFonts w:ascii="Arial" w:cs="Arial" w:eastAsia="Arial" w:hAnsi="Arial"/>
                <w:sz w:val="14"/>
                <w:szCs w:val="14"/>
                <w:b w:val="1"/>
                <w:bCs w:val="1"/>
                <w:color w:val="auto"/>
              </w:rPr>
              <w:t>Accumulated other</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380" w:type="dxa"/>
            <w:vAlign w:val="bottom"/>
            <w:tcBorders>
              <w:bottom w:val="single" w:sz="8" w:color="auto"/>
            </w:tcBorders>
            <w:gridSpan w:val="3"/>
            <w:vMerge w:val="continue"/>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 Paid-in-</w:t>
            </w:r>
          </w:p>
        </w:tc>
        <w:tc>
          <w:tcPr>
            <w:tcW w:w="160" w:type="dxa"/>
            <w:vAlign w:val="bottom"/>
          </w:tcPr>
          <w:p>
            <w:pPr>
              <w:spacing w:after="0"/>
              <w:rPr>
                <w:sz w:val="12"/>
                <w:szCs w:val="12"/>
                <w:color w:val="auto"/>
              </w:rPr>
            </w:pPr>
          </w:p>
        </w:tc>
        <w:tc>
          <w:tcPr>
            <w:tcW w:w="1140" w:type="dxa"/>
            <w:vAlign w:val="bottom"/>
          </w:tcPr>
          <w:p>
            <w:pPr>
              <w:jc w:val="right"/>
              <w:ind w:right="121"/>
              <w:spacing w:after="0" w:line="125"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500" w:type="dxa"/>
            <w:vAlign w:val="bottom"/>
          </w:tcPr>
          <w:p>
            <w:pPr>
              <w:jc w:val="center"/>
              <w:ind w:right="241"/>
              <w:spacing w:after="0" w:line="125" w:lineRule="exact"/>
              <w:rPr>
                <w:sz w:val="20"/>
                <w:szCs w:val="20"/>
                <w:color w:val="auto"/>
              </w:rPr>
            </w:pPr>
            <w:r>
              <w:rPr>
                <w:rFonts w:ascii="Arial" w:cs="Arial" w:eastAsia="Arial" w:hAnsi="Arial"/>
                <w:sz w:val="14"/>
                <w:szCs w:val="14"/>
                <w:b w:val="1"/>
                <w:bCs w:val="1"/>
                <w:color w:val="auto"/>
              </w:rPr>
              <w:t>comprehensive</w:t>
            </w:r>
          </w:p>
        </w:tc>
        <w:tc>
          <w:tcPr>
            <w:tcW w:w="1180" w:type="dxa"/>
            <w:vAlign w:val="bottom"/>
          </w:tcPr>
          <w:p>
            <w:pPr>
              <w:jc w:val="right"/>
              <w:ind w:right="121"/>
              <w:spacing w:after="0" w:line="12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340" w:type="dxa"/>
            <w:vAlign w:val="bottom"/>
          </w:tcPr>
          <w:p>
            <w:pPr>
              <w:spacing w:after="0"/>
              <w:rPr>
                <w:sz w:val="2"/>
                <w:szCs w:val="2"/>
                <w:color w:val="auto"/>
              </w:rPr>
            </w:pPr>
          </w:p>
        </w:tc>
        <w:tc>
          <w:tcPr>
            <w:tcW w:w="12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2"/>
                <w:szCs w:val="2"/>
                <w:color w:val="auto"/>
              </w:rPr>
            </w:pPr>
          </w:p>
        </w:tc>
        <w:tc>
          <w:tcPr>
            <w:tcW w:w="90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2"/>
                <w:szCs w:val="2"/>
                <w:color w:val="auto"/>
              </w:rPr>
            </w:pPr>
          </w:p>
        </w:tc>
        <w:tc>
          <w:tcPr>
            <w:tcW w:w="1500" w:type="dxa"/>
            <w:vAlign w:val="bottom"/>
            <w:vMerge w:val="restart"/>
          </w:tcPr>
          <w:p>
            <w:pPr>
              <w:jc w:val="center"/>
              <w:ind w:right="241"/>
              <w:spacing w:after="0"/>
              <w:rPr>
                <w:sz w:val="20"/>
                <w:szCs w:val="20"/>
                <w:color w:val="auto"/>
              </w:rPr>
            </w:pPr>
            <w:r>
              <w:rPr>
                <w:rFonts w:ascii="Arial" w:cs="Arial" w:eastAsia="Arial" w:hAnsi="Arial"/>
                <w:sz w:val="14"/>
                <w:szCs w:val="14"/>
                <w:b w:val="1"/>
                <w:bCs w:val="1"/>
                <w:color w:val="auto"/>
              </w:rPr>
              <w:t>income (loss)</w:t>
            </w:r>
          </w:p>
        </w:tc>
        <w:tc>
          <w:tcPr>
            <w:tcW w:w="118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line="20" w:lineRule="exact"/>
              <w:rPr>
                <w:sz w:val="1"/>
                <w:szCs w:val="1"/>
                <w:color w:val="auto"/>
              </w:rPr>
            </w:pPr>
          </w:p>
        </w:tc>
      </w:tr>
      <w:tr>
        <w:trPr>
          <w:trHeight w:val="189"/>
        </w:trPr>
        <w:tc>
          <w:tcPr>
            <w:tcW w:w="3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234,270,384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1,431,056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 $</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463,436</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20"/>
                <w:szCs w:val="20"/>
                <w:color w:val="auto"/>
              </w:rPr>
            </w:pPr>
            <w:r>
              <w:rPr>
                <w:rFonts w:ascii="Arial" w:cs="Arial" w:eastAsia="Arial" w:hAnsi="Arial"/>
                <w:sz w:val="16"/>
                <w:szCs w:val="16"/>
                <w:color w:val="auto"/>
              </w:rPr>
              <w:t>Net loss</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(284,755)</w:t>
            </w:r>
          </w:p>
        </w:tc>
        <w:tc>
          <w:tcPr>
            <w:tcW w:w="180" w:type="dxa"/>
            <w:vAlign w:val="bottom"/>
          </w:tcPr>
          <w:p>
            <w:pPr>
              <w:spacing w:after="0"/>
              <w:rPr>
                <w:sz w:val="18"/>
                <w:szCs w:val="18"/>
                <w:color w:val="auto"/>
              </w:rPr>
            </w:pPr>
          </w:p>
        </w:tc>
        <w:tc>
          <w:tcPr>
            <w:tcW w:w="1500" w:type="dxa"/>
            <w:vAlign w:val="bottom"/>
          </w:tcPr>
          <w:p>
            <w:pPr>
              <w:ind w:left="11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(284,755)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exercises and other</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7,827,268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5,586</w:t>
            </w:r>
          </w:p>
        </w:tc>
        <w:tc>
          <w:tcPr>
            <w:tcW w:w="0" w:type="dxa"/>
            <w:vAlign w:val="bottom"/>
          </w:tcPr>
          <w:p>
            <w:pPr>
              <w:spacing w:after="0"/>
              <w:rPr>
                <w:sz w:val="1"/>
                <w:szCs w:val="1"/>
                <w:color w:val="auto"/>
              </w:rPr>
            </w:pPr>
          </w:p>
        </w:tc>
      </w:tr>
      <w:tr>
        <w:trPr>
          <w:trHeight w:val="215"/>
        </w:trPr>
        <w:tc>
          <w:tcPr>
            <w:tcW w:w="33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50,904</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00" w:type="dxa"/>
            <w:vAlign w:val="bottom"/>
          </w:tcPr>
          <w:p>
            <w:pPr>
              <w:ind w:left="11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50,904</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Common stock sales issuances, net of</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44,026,627</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289,387</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289,388</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issuance costs</w:t>
            </w: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as of September 30, 2024</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286,124,279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1,776,933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(1,252,377)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524,559</w:t>
            </w:r>
          </w:p>
        </w:tc>
        <w:tc>
          <w:tcPr>
            <w:tcW w:w="0" w:type="dxa"/>
            <w:vAlign w:val="bottom"/>
          </w:tcPr>
          <w:p>
            <w:pPr>
              <w:spacing w:after="0"/>
              <w:rPr>
                <w:sz w:val="1"/>
                <w:szCs w:val="1"/>
                <w:color w:val="auto"/>
              </w:rPr>
            </w:pPr>
          </w:p>
        </w:tc>
      </w:tr>
      <w:tr>
        <w:trPr>
          <w:trHeight w:val="20"/>
        </w:trPr>
        <w:tc>
          <w:tcPr>
            <w:tcW w:w="3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ectPr>
          <w:pgSz w:w="11900" w:h="16838" w:orient="portrait"/>
          <w:cols w:equalWidth="0" w:num="1">
            <w:col w:w="11220"/>
          </w:cols>
          <w:pgMar w:left="320" w:top="121" w:right="359" w:bottom="109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94"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812"/>
        </w:trPr>
        <w:tc>
          <w:tcPr>
            <w:tcW w:w="12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6080" w:type="dxa"/>
            <w:vAlign w:val="bottom"/>
          </w:tcPr>
          <w:p>
            <w:pPr>
              <w:ind w:left="2960"/>
              <w:spacing w:after="0"/>
              <w:rPr>
                <w:sz w:val="20"/>
                <w:szCs w:val="20"/>
                <w:color w:val="auto"/>
              </w:rPr>
            </w:pPr>
            <w:r>
              <w:rPr>
                <w:rFonts w:ascii="Arial" w:cs="Arial" w:eastAsia="Arial" w:hAnsi="Arial"/>
                <w:sz w:val="18"/>
                <w:szCs w:val="18"/>
                <w:b w:val="1"/>
                <w:bCs w:val="1"/>
                <w:color w:val="auto"/>
              </w:rPr>
              <w:t>Recursion Pharmaceuticals, Inc.</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47"/>
        </w:trPr>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Condensed Consolidated Statements of Cash Flows (unaudited) (in thousands)</w:t>
            </w:r>
          </w:p>
        </w:tc>
        <w:tc>
          <w:tcPr>
            <w:tcW w:w="4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4"/>
        </w:trPr>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r>
      <w:tr>
        <w:trPr>
          <w:trHeight w:val="223"/>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(536,637)</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(284,755)</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64,223</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23,543</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87,460</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50,904</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Lease expense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17,019</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11,155</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disposal of a business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Acquired IPR&amp;D</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22,082</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receivables and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33,775</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Prepaid data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29,601</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data liability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20,258</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Unearned revenue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(30,014)</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(22,374)</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Accrued development expense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(4,210)</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(2,623)</w:t>
            </w: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(23,246)</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(5,001)</w:t>
            </w:r>
          </w:p>
        </w:tc>
      </w:tr>
      <w:tr>
        <w:trPr>
          <w:trHeight w:val="229"/>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(16,124)</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w:t>
            </w:r>
          </w:p>
        </w:tc>
      </w:tr>
      <w:tr>
        <w:trPr>
          <w:trHeight w:val="223"/>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(325,735)</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(243,744)</w:t>
            </w:r>
          </w:p>
        </w:tc>
      </w:tr>
      <w:tr>
        <w:trPr>
          <w:trHeight w:val="54"/>
        </w:trPr>
        <w:tc>
          <w:tcPr>
            <w:tcW w:w="120" w:type="dxa"/>
            <w:vAlign w:val="bottom"/>
          </w:tcPr>
          <w:p>
            <w:pPr>
              <w:spacing w:after="0"/>
              <w:rPr>
                <w:sz w:val="4"/>
                <w:szCs w:val="4"/>
                <w:color w:val="auto"/>
              </w:rPr>
            </w:pPr>
          </w:p>
        </w:tc>
        <w:tc>
          <w:tcPr>
            <w:tcW w:w="72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(5,225)</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(12,397)</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of an intangible asset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Decrease in cash related to disposal of a business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(4,438)</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Purchases of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120" w:type="dxa"/>
            <w:vAlign w:val="bottom"/>
          </w:tcPr>
          <w:p>
            <w:pPr>
              <w:spacing w:after="0"/>
              <w:rPr>
                <w:sz w:val="22"/>
                <w:szCs w:val="22"/>
                <w:color w:val="auto"/>
              </w:rPr>
            </w:pPr>
          </w:p>
        </w:tc>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(15,627)</w:t>
            </w:r>
          </w:p>
        </w:tc>
        <w:tc>
          <w:tcPr>
            <w:tcW w:w="4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(15,397)</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shares, net of issuance costs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395,484</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289,387</w:t>
            </w:r>
          </w:p>
        </w:tc>
      </w:tr>
      <w:tr>
        <w:trPr>
          <w:trHeight w:val="229"/>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Proceeds from equity incentive plans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3,300</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6,433</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Repayment of long-term debt and finance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r>
      <w:tr>
        <w:trPr>
          <w:trHeight w:val="230"/>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Purchase of an intangible asset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389,526</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293,481</w:t>
            </w:r>
          </w:p>
        </w:tc>
      </w:tr>
      <w:tr>
        <w:trPr>
          <w:trHeight w:val="54"/>
        </w:trPr>
        <w:tc>
          <w:tcPr>
            <w:tcW w:w="120" w:type="dxa"/>
            <w:vAlign w:val="bottom"/>
          </w:tcPr>
          <w:p>
            <w:pPr>
              <w:spacing w:after="0"/>
              <w:rPr>
                <w:sz w:val="4"/>
                <w:szCs w:val="4"/>
                <w:color w:val="auto"/>
              </w:rPr>
            </w:pPr>
          </w:p>
        </w:tc>
        <w:tc>
          <w:tcPr>
            <w:tcW w:w="72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cash equivalents and restricted cash</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95"/>
        </w:trPr>
        <w:tc>
          <w:tcPr>
            <w:tcW w:w="120" w:type="dxa"/>
            <w:vAlign w:val="bottom"/>
          </w:tcPr>
          <w:p>
            <w:pPr>
              <w:spacing w:after="0"/>
              <w:rPr>
                <w:sz w:val="8"/>
                <w:szCs w:val="8"/>
                <w:color w:val="auto"/>
              </w:rPr>
            </w:pPr>
          </w:p>
        </w:tc>
        <w:tc>
          <w:tcPr>
            <w:tcW w:w="724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r>
      <w:tr>
        <w:trPr>
          <w:trHeight w:val="223"/>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change in cash, cash equivalents and restricted cash</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64,121</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34,406</w:t>
            </w:r>
          </w:p>
        </w:tc>
      </w:tr>
      <w:tr>
        <w:trPr>
          <w:trHeight w:val="230"/>
        </w:trPr>
        <w:tc>
          <w:tcPr>
            <w:tcW w:w="120" w:type="dxa"/>
            <w:vAlign w:val="bottom"/>
          </w:tcPr>
          <w:p>
            <w:pPr>
              <w:spacing w:after="0"/>
              <w:rPr>
                <w:sz w:val="19"/>
                <w:szCs w:val="19"/>
                <w:color w:val="auto"/>
              </w:rPr>
            </w:pPr>
          </w:p>
        </w:tc>
        <w:tc>
          <w:tcPr>
            <w:tcW w:w="7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603,024</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401,425</w:t>
            </w:r>
          </w:p>
        </w:tc>
      </w:tr>
      <w:tr>
        <w:trPr>
          <w:trHeight w:val="248"/>
        </w:trPr>
        <w:tc>
          <w:tcPr>
            <w:tcW w:w="120" w:type="dxa"/>
            <w:vAlign w:val="bottom"/>
          </w:tcPr>
          <w:p>
            <w:pPr>
              <w:spacing w:after="0"/>
              <w:rPr>
                <w:sz w:val="21"/>
                <w:szCs w:val="21"/>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667,145</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435,831</w:t>
            </w:r>
          </w:p>
        </w:tc>
      </w:tr>
      <w:tr>
        <w:trPr>
          <w:trHeight w:val="20"/>
        </w:trPr>
        <w:tc>
          <w:tcPr>
            <w:tcW w:w="120" w:type="dxa"/>
            <w:vAlign w:val="bottom"/>
          </w:tcPr>
          <w:p>
            <w:pPr>
              <w:spacing w:after="0" w:line="20" w:lineRule="exact"/>
              <w:rPr>
                <w:sz w:val="1"/>
                <w:szCs w:val="1"/>
                <w:color w:val="auto"/>
              </w:rPr>
            </w:pPr>
          </w:p>
        </w:tc>
        <w:tc>
          <w:tcPr>
            <w:tcW w:w="724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Issuance of shares for the acquisition of an asset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20,315</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0" w:type="dxa"/>
            <w:vAlign w:val="bottom"/>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property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12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Arial" w:cs="Arial" w:eastAsia="Arial" w:hAnsi="Arial"/>
                <w:sz w:val="18"/>
                <w:szCs w:val="18"/>
                <w:color w:val="auto"/>
              </w:rPr>
              <w:t>Purchase of an equity investment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4,438</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0" w:type="dxa"/>
            <w:vAlign w:val="bottom"/>
          </w:tcPr>
          <w:p>
            <w:pPr>
              <w:spacing w:after="0"/>
              <w:rPr>
                <w:sz w:val="19"/>
                <w:szCs w:val="19"/>
                <w:color w:val="auto"/>
              </w:rPr>
            </w:pPr>
          </w:p>
        </w:tc>
        <w:tc>
          <w:tcPr>
            <w:tcW w:w="72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of an intangible asset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bl>
    <w:p>
      <w:pPr>
        <w:spacing w:after="0" w:line="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the accompanying notes to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Recursion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the Business</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Recursion Pharmaceuticals, Inc. (“Recursion” or the “Company”) is a clinical stage TechBio company decoding biology and chemistry to industrialize drug discovery. The Recursion Operating System (OS), a platform built across diverse technologies, enables the Company to map and navigate trillions of biological and chemical relationships within the Recursion Data Universe, one of the world’s largest proprietary biological and chemical datasets. The Company integrates physical and digital components as iterative loops of atoms and bits scaling wet lab biology and chemistry data organized into virtuous cycles with computational tools to rapidly translate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hypotheses into validated insights and novel chemistry.</w:t>
      </w:r>
    </w:p>
    <w:p>
      <w:pPr>
        <w:spacing w:after="0" w:line="20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of September 30, 2025, the Company had an accumulated deficit of $2.0 billion.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2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funded its operations to date primarily through the issuance of Class A common stock (see Note 8, “Common Stock” for additional details). Additionally, the Company has received payments from its strategic partnerships (see Note 9, “Collaborative Development Contracts” for additional details). Recursion will likely be required to raise additional capital. As of September 30, 2025,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Recursion believes that the Company’s existing cash and cash equivalents will be sufficient to fund the Company’s operating expenses and capital expenditures for at least the next 12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2024.</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 is management’s opinion that these condensed consolidated financial statements include all normal and recurring adjustments necessary for a fair statement of the financial position, results of operations and cash flows for the periods presented. Revenue and net loss for any interim period are not necessarily indicative of future or annual results.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In September 2025, the Financial Accounting Standards Board (FASB) issued Accounting Standards Update (ASU) No. 2025-06,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internal-use software costs (Topic 350)</w:t>
      </w:r>
      <w:r>
        <w:rPr>
          <w:rFonts w:ascii="Arial" w:cs="Arial" w:eastAsia="Arial" w:hAnsi="Arial"/>
          <w:sz w:val="18"/>
          <w:szCs w:val="18"/>
          <w:color w:val="auto"/>
        </w:rPr>
        <w:t>. The new standard amends specific aspects of the accounting for internal-use software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criteria for capitalizing software costs. It also amends the related disclosure requirements. This standard will be effective for Recursion starting the annual period ending</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December 15, 2028 and for interim reporting periods within that annual reporting period. Early adoption is permitted. The amendments can be applied on a prospective, modified prospective or retrospective basis. Recursion is currently assessing the impact of adopting this guidance on its consolidated financial statements.</w:t>
      </w:r>
    </w:p>
    <w:p>
      <w:pPr>
        <w:spacing w:after="0" w:line="19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No. 2024-03, </w:t>
      </w:r>
      <w:r>
        <w:rPr>
          <w:rFonts w:ascii="Arial" w:cs="Arial" w:eastAsia="Arial" w:hAnsi="Arial"/>
          <w:sz w:val="18"/>
          <w:szCs w:val="18"/>
          <w:i w:val="1"/>
          <w:iCs w:val="1"/>
          <w:color w:val="auto"/>
        </w:rPr>
        <w:t>Disaggregation of Income Statement Expenses (Topic 220)</w:t>
      </w:r>
      <w:r>
        <w:rPr>
          <w:rFonts w:ascii="Arial" w:cs="Arial" w:eastAsia="Arial" w:hAnsi="Arial"/>
          <w:sz w:val="18"/>
          <w:szCs w:val="18"/>
          <w:color w:val="auto"/>
        </w:rPr>
        <w:t>. The standard requires new disclosures in the notes to the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certain caption expenses presented on the face of the Income Statement including information on: purchases of inventory; employee compensation; depreciation and intangible asset amortization. Recursion must also disclose a qualitative description of the amounts remaining in expense captions that are not separately disaggregated. This standard will be effective for Recursion starting the annual period ending December 31, 2027 and for interim reporting periods within annual reporting periods beginning after December 15, 2027. Early adoption is permitted. The amendments can be applied on a prospective or retrospective basis. Recursion is currently assessing the impact of adopting this guidance on its consolidated financial statements.</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new standard updates disclosure requirements for Accounting Standards Codification (ASC) 740 primarily by requiring additional information in the income tax rate reconciliation and additional disclosures about income taxes paid. This standard will be effective for Recursion starting the annual period ending December 31, 2025. The amendments can be applied on a prospective or retrospective basis. The Company is in process of evaluating the impact of adoption of ASU 2023-09 on the Company's consolidated financial statements and disclosures. We do not expect the adoption of this ASU to have a material impact on our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tab/>
        <w:t>Supplemental Financial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Tempus agreement</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1E1E1E"/>
        </w:rPr>
        <w:t xml:space="preserve">In </w:t>
      </w:r>
      <w:r>
        <w:rPr>
          <w:rFonts w:ascii="Arial" w:cs="Arial" w:eastAsia="Arial" w:hAnsi="Arial"/>
          <w:sz w:val="18"/>
          <w:szCs w:val="18"/>
          <w:color w:val="000000"/>
        </w:rPr>
        <w:t>November 2023</w:t>
      </w:r>
      <w:r>
        <w:rPr>
          <w:rFonts w:ascii="Arial" w:cs="Arial" w:eastAsia="Arial" w:hAnsi="Arial"/>
          <w:sz w:val="18"/>
          <w:szCs w:val="18"/>
          <w:color w:val="1E1E1E"/>
        </w:rPr>
        <w:t xml:space="preserve">, Recursion entered into a </w:t>
      </w:r>
      <w:r>
        <w:rPr>
          <w:rFonts w:ascii="Arial" w:cs="Arial" w:eastAsia="Arial" w:hAnsi="Arial"/>
          <w:sz w:val="18"/>
          <w:szCs w:val="18"/>
          <w:color w:val="000000"/>
        </w:rPr>
        <w:t>five</w:t>
      </w:r>
      <w:r>
        <w:rPr>
          <w:rFonts w:ascii="Arial" w:cs="Arial" w:eastAsia="Arial" w:hAnsi="Arial"/>
          <w:sz w:val="18"/>
          <w:szCs w:val="18"/>
          <w:color w:val="1E1E1E"/>
        </w:rPr>
        <w:t xml:space="preserve">-year agreement </w:t>
      </w:r>
      <w:r>
        <w:rPr>
          <w:rFonts w:ascii="Arial" w:cs="Arial" w:eastAsia="Arial" w:hAnsi="Arial"/>
          <w:sz w:val="18"/>
          <w:szCs w:val="18"/>
          <w:color w:val="000000"/>
        </w:rPr>
        <w:t>(the Tempus Agreement)</w:t>
      </w:r>
      <w:r>
        <w:rPr>
          <w:rFonts w:ascii="Arial" w:cs="Arial" w:eastAsia="Arial" w:hAnsi="Arial"/>
          <w:sz w:val="18"/>
          <w:szCs w:val="18"/>
          <w:color w:val="1E1E1E"/>
        </w:rPr>
        <w:t xml:space="preserve"> with Tempus AI, Inc. </w:t>
      </w:r>
      <w:r>
        <w:rPr>
          <w:rFonts w:ascii="Arial" w:cs="Arial" w:eastAsia="Arial" w:hAnsi="Arial"/>
          <w:sz w:val="18"/>
          <w:szCs w:val="18"/>
          <w:color w:val="000000"/>
        </w:rPr>
        <w:t>(“Tempus”) t</w:t>
      </w:r>
      <w:r>
        <w:rPr>
          <w:rFonts w:ascii="Arial" w:cs="Arial" w:eastAsia="Arial" w:hAnsi="Arial"/>
          <w:sz w:val="18"/>
          <w:szCs w:val="18"/>
          <w:color w:val="1E1E1E"/>
        </w:rPr>
        <w:t xml:space="preserve">o purchase access to their records of patient-centric multimodal oncology data and use rights for therapeutic development purposes. This data will be used to improve the training of Recursion’s artificial intelligence and machine learning models and is expected to accelerate Recursion’s drug discovery process. Recursion is making annual payments, ranging between </w:t>
      </w:r>
      <w:r>
        <w:rPr>
          <w:rFonts w:ascii="Arial" w:cs="Arial" w:eastAsia="Arial" w:hAnsi="Arial"/>
          <w:sz w:val="18"/>
          <w:szCs w:val="18"/>
          <w:color w:val="000000"/>
        </w:rPr>
        <w:t>$22.0 million</w:t>
      </w:r>
      <w:r>
        <w:rPr>
          <w:rFonts w:ascii="Arial" w:cs="Arial" w:eastAsia="Arial" w:hAnsi="Arial"/>
          <w:sz w:val="18"/>
          <w:szCs w:val="18"/>
          <w:color w:val="1E1E1E"/>
        </w:rPr>
        <w:t xml:space="preserve"> and </w:t>
      </w:r>
      <w:r>
        <w:rPr>
          <w:rFonts w:ascii="Arial" w:cs="Arial" w:eastAsia="Arial" w:hAnsi="Arial"/>
          <w:sz w:val="18"/>
          <w:szCs w:val="18"/>
          <w:color w:val="000000"/>
        </w:rPr>
        <w:t>$42.0 million</w:t>
      </w:r>
      <w:r>
        <w:rPr>
          <w:rFonts w:ascii="Arial" w:cs="Arial" w:eastAsia="Arial" w:hAnsi="Arial"/>
          <w:sz w:val="18"/>
          <w:szCs w:val="18"/>
          <w:color w:val="1E1E1E"/>
        </w:rPr>
        <w:t xml:space="preserve">, up to </w:t>
      </w:r>
      <w:r>
        <w:rPr>
          <w:rFonts w:ascii="Arial" w:cs="Arial" w:eastAsia="Arial" w:hAnsi="Arial"/>
          <w:sz w:val="18"/>
          <w:szCs w:val="18"/>
          <w:color w:val="000000"/>
        </w:rPr>
        <w:t>$160.0 million</w:t>
      </w:r>
      <w:r>
        <w:rPr>
          <w:rFonts w:ascii="Arial" w:cs="Arial" w:eastAsia="Arial" w:hAnsi="Arial"/>
          <w:sz w:val="18"/>
          <w:szCs w:val="18"/>
          <w:color w:val="1E1E1E"/>
        </w:rPr>
        <w:t xml:space="preserve"> in aggregate, to Tempus in cash or equity at the Company’s option. The equity value is determined by using the seven-trading day period dollar volume-weighted average price (VWAP) for Recursion Class A common stock ending on the day immediately preceding the date that is five business days prior to the payment date.</w:t>
      </w: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Recursion is expensing the record purchases based on a contractually agreed price as “Research and Development” expenses in the Condensed Consolidated Statements of Operations as the records are downloaded. To the extent that the Recursion payments to Tempus are greater than or less than the records purchased amount, Recursion records the applicable amount to “Prepaid data assets” or “Accrued data liability” on the Condensed Consolidated Balance Sheet, respectively. The expense for the record purchases was $49.9 million and $2.9 million for the nine months ended September 30, 2025 and 2024. There was no expense recorded for the three months ended September 30, 2025 and 2024</w:t>
      </w:r>
      <w:r>
        <w:rPr>
          <w:rFonts w:ascii="Arial" w:cs="Arial" w:eastAsia="Arial" w:hAnsi="Arial"/>
          <w:sz w:val="14"/>
          <w:szCs w:val="14"/>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482"/>
        </w:trPr>
        <w:tc>
          <w:tcPr>
            <w:tcW w:w="5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development expenses</w:t>
            </w:r>
          </w:p>
        </w:tc>
        <w:tc>
          <w:tcPr>
            <w:tcW w:w="2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2,497</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5,812</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early discovery expenses</w:t>
            </w:r>
          </w:p>
        </w:tc>
        <w:tc>
          <w:tcPr>
            <w:tcW w:w="2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Accrued professional fees</w:t>
            </w:r>
          </w:p>
        </w:tc>
        <w:tc>
          <w:tcPr>
            <w:tcW w:w="2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1,956</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received not invoiced</w:t>
            </w:r>
          </w:p>
        </w:tc>
        <w:tc>
          <w:tcPr>
            <w:tcW w:w="2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Accrued license fees</w:t>
            </w:r>
          </w:p>
        </w:tc>
        <w:tc>
          <w:tcPr>
            <w:tcW w:w="2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Accrued other expenses</w:t>
            </w:r>
          </w:p>
        </w:tc>
        <w:tc>
          <w:tcPr>
            <w:tcW w:w="2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16,735</w:t>
            </w:r>
          </w:p>
        </w:tc>
      </w:tr>
      <w:tr>
        <w:trPr>
          <w:trHeight w:val="22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Accrued expense and other liabilities</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81,872</w:t>
            </w:r>
          </w:p>
        </w:tc>
      </w:tr>
      <w:tr>
        <w:trPr>
          <w:trHeight w:val="21"/>
        </w:trPr>
        <w:tc>
          <w:tcPr>
            <w:tcW w:w="56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2025, Recursion announced a reduction in personnel program to help streamline the Company's operating strategy and post-integration efficiencies. These changes resulted in a workforce reduction of approximately 20%. The Company estimates that it will incur approximately $ 9.5 million in charges for the workforce reduction, consisting of severance payments and employee benefits. Recursion expects to incur all of these expenses in the year ending December 31, 2025. Recursion records these costs in “General and Administrative” on the Condensed Consolidated Statement of Operations as incurred. The following summarizes the activity related to these restructuring actions and the related accrual as of September 30, 2025:</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0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8,516</w:t>
            </w:r>
          </w:p>
        </w:tc>
        <w:tc>
          <w:tcPr>
            <w:tcW w:w="220" w:type="dxa"/>
            <w:vAlign w:val="bottom"/>
          </w:tcPr>
          <w:p>
            <w:pPr>
              <w:spacing w:after="0"/>
              <w:rPr>
                <w:sz w:val="19"/>
                <w:szCs w:val="19"/>
                <w:color w:val="auto"/>
              </w:rPr>
            </w:pPr>
          </w:p>
        </w:tc>
      </w:tr>
      <w:tr>
        <w:trPr>
          <w:trHeight w:val="229"/>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220" w:type="dxa"/>
            <w:vAlign w:val="bottom"/>
          </w:tcPr>
          <w:p>
            <w:pPr>
              <w:spacing w:after="0"/>
              <w:rPr>
                <w:sz w:val="19"/>
                <w:szCs w:val="19"/>
                <w:color w:val="auto"/>
              </w:rPr>
            </w:pP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September 30, 2025</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19"/>
                <w:szCs w:val="19"/>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45"/>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Interest Income, Net</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2"/>
        </w:trPr>
        <w:tc>
          <w:tcPr>
            <w:tcW w:w="4940" w:type="dxa"/>
            <w:vAlign w:val="bottom"/>
          </w:tcPr>
          <w:p>
            <w:pPr>
              <w:spacing w:after="0"/>
              <w:rPr>
                <w:sz w:val="24"/>
                <w:szCs w:val="24"/>
                <w:color w:val="auto"/>
              </w:rPr>
            </w:pPr>
          </w:p>
        </w:tc>
        <w:tc>
          <w:tcPr>
            <w:tcW w:w="26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6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4940" w:type="dxa"/>
            <w:vAlign w:val="bottom"/>
          </w:tcPr>
          <w:p>
            <w:pPr>
              <w:spacing w:after="0"/>
              <w:rPr>
                <w:sz w:val="20"/>
                <w:szCs w:val="20"/>
                <w:color w:val="auto"/>
              </w:rPr>
            </w:pPr>
          </w:p>
        </w:tc>
        <w:tc>
          <w:tcPr>
            <w:tcW w:w="26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16,541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11,138</w:t>
            </w:r>
          </w:p>
        </w:tc>
      </w:tr>
      <w:tr>
        <w:trPr>
          <w:trHeight w:val="22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(1,821)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(967)</w:t>
            </w:r>
          </w:p>
        </w:tc>
      </w:tr>
      <w:tr>
        <w:trPr>
          <w:trHeight w:val="248"/>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14,720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10,171</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the three and nine months ended September 30, 2025 and 2024, interest income primarily related to earnings on cash and cash equivalents in money market funds. Interest expense primarily related to the Company’s supercomputer financing lease. Interest income, net was included in “Other income (loss), net” on the Condensed Consolidated Statements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 Ventures I</w:t>
      </w:r>
    </w:p>
    <w:p>
      <w:pPr>
        <w:spacing w:after="0" w:line="25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July 2025, Recursion acquired Rallybio’s interest in the joint venture, RE Ventures I, such that Recursion now owns 100% of the interest in RE Ventures I for total consideration of $20.2 million. Recursion determined that this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transaction met the criteria for as an asset acquisition since the lead asset, ENPP1 (Rec-102), an inhibitor program for the treatment of hypophosphatasia (HPP), represented substantially all of the fair value of the gross assets acquired. For the three months ended September 30, 2025, Recursion recorded an expense of $20.2 million, representing an acquired in-process research and development (IPR&amp;D) asset with no alternative future use, to “Research and Development” on the Condensed Consolidated Statements of Operations.</w:t>
      </w:r>
    </w:p>
    <w:p>
      <w:pPr>
        <w:spacing w:after="0" w:line="20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Subsequent to closing, in August 2025, Recursion issued additional consideration as part of a required milestone payment related to the RE Ventures I transaction for the initiation of an additional preclinical study. This included the settlement of the previously recorded contingent consideration liability. As a result, Recursion recorded an additional expense of $2.4 million acquired IPR&amp;D, which was recorded to “Research and Development” on the Condensed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consideration transferred at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Recursion Class A common stock</w:t>
            </w:r>
          </w:p>
        </w:tc>
        <w:tc>
          <w:tcPr>
            <w:tcW w:w="220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Contingent consideration liability</w:t>
            </w:r>
          </w:p>
        </w:tc>
        <w:tc>
          <w:tcPr>
            <w:tcW w:w="2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11,875</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Transactions costs</w:t>
            </w:r>
          </w:p>
        </w:tc>
        <w:tc>
          <w:tcPr>
            <w:tcW w:w="2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paid</w:t>
            </w:r>
          </w:p>
        </w:tc>
        <w:tc>
          <w:tcPr>
            <w:tcW w:w="2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20,153</w:t>
            </w:r>
          </w:p>
        </w:tc>
      </w:tr>
      <w:tr>
        <w:trPr>
          <w:trHeight w:val="558"/>
        </w:trPr>
        <w:tc>
          <w:tcPr>
            <w:tcW w:w="7660" w:type="dxa"/>
            <w:vAlign w:val="bottom"/>
          </w:tcPr>
          <w:p>
            <w:pPr>
              <w:spacing w:after="0"/>
              <w:rPr>
                <w:sz w:val="20"/>
                <w:szCs w:val="20"/>
                <w:color w:val="auto"/>
              </w:rPr>
            </w:pPr>
            <w:r>
              <w:rPr>
                <w:rFonts w:ascii="Arial" w:cs="Arial" w:eastAsia="Arial" w:hAnsi="Arial"/>
                <w:sz w:val="18"/>
                <w:szCs w:val="18"/>
                <w:color w:val="auto"/>
              </w:rPr>
              <w:t>The following table summarizes the consideration transferred for the milestone:</w:t>
            </w:r>
          </w:p>
        </w:tc>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67"/>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24"/>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Recursion Class A common stock</w:t>
            </w:r>
          </w:p>
        </w:tc>
        <w:tc>
          <w:tcPr>
            <w:tcW w:w="22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paid</w:t>
            </w:r>
          </w:p>
        </w:tc>
        <w:tc>
          <w:tcPr>
            <w:tcW w:w="2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r>
      <w:tr>
        <w:trPr>
          <w:trHeight w:val="22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r>
    </w:tbl>
    <w:p>
      <w:pPr>
        <w:spacing w:after="0" w:line="305" w:lineRule="exact"/>
        <w:rPr>
          <w:sz w:val="20"/>
          <w:szCs w:val="20"/>
          <w:color w:val="auto"/>
        </w:rPr>
      </w:pPr>
    </w:p>
    <w:p>
      <w:pPr>
        <w:ind w:right="860"/>
        <w:spacing w:after="0" w:line="318" w:lineRule="auto"/>
        <w:rPr>
          <w:sz w:val="20"/>
          <w:szCs w:val="20"/>
          <w:color w:val="auto"/>
        </w:rPr>
      </w:pPr>
      <w:r>
        <w:rPr>
          <w:rFonts w:ascii="Arial" w:cs="Arial" w:eastAsia="Arial" w:hAnsi="Arial"/>
          <w:sz w:val="17"/>
          <w:szCs w:val="17"/>
          <w:color w:val="auto"/>
        </w:rPr>
        <w:t>As part of the agreement, Rallybio is eligible to receive additional milestone payments under certain conditions. Milestone payment obligations that are incurred prior to regulatory approval of the compound will be expensed as acquired IPR&amp;D when recognized.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Exscientia GmbH</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March 2025, Recursion completed the sale of its Austrian operations (Exscientia GmbH) to a newly formed company, Alpha Biotechnology GmbH (Alpha). As part of the sale, Recursion obtained a 49% equity interest in Alpha. Recursion entered into this transaction as part of focusing its efforts and moderating spend. Alpha is a company leveraging a patient-tissue platform for the development of precision therapeutics for the treatment of hematological and solid cancers. For the nine months ended September 30, 2025, Recursion recorded a loss on the disposal of Exscientia GmbH of $4.5 million, which was classified as “Other income (loss), net” on the Condensed Consolidated Statement of Operations. Recursion also recorded a $4.4 million investment on the Condensed Consolidated Balance Sheet within “Other assets, non-current” related to its 49% equity interest in Alpha, which was determined to be an equity method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Exscientia plc</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November 2024, Recursion acquired all of the outstanding equity interests of Exscientia plc (“Exscientia”), a United Kingdom based public company that was registered on the Nasdaq Global Select Market. Exscientia is a drug design company utilizing its artificial intelligence platform to efficiently design and develop differentiated medicines for diseases with high unmet patient needs. Their focus is on utilizing their platform to develop best in class molecules with improvements to known or likely points of failure to improve the probability of developmental success. The Company believes the combination of the Recursion and Exscientia platforms and pipelines will position it to be a leader of the AI-enabled drug discovery and development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acquisition of Exscientia was accounted for as a business combination using the acquisition method of accounting. The consideration transferred of approximately $630.1 million consisted of $616.9 million in Recursion Class A shares and $13.2 million related to the portion of Exscientia share based awards that were replaced with Recursion share based awards that is attributable to pre-combination service. Approximately 102.1 million Recursion Class A shares were issued in exchange for Exscientia ordinary shares using a fixed exchange ratio of one Exscientia ordinary share converts to 0.7729 Recursion Class A shares (the “Exchange Ratio”). In addition, Recursion replaced all outstanding Exscientia share based awards with Recursion share based awards wherein the vesting schedule and other applicable terms were carried over except for the exercise price of share options which were adjusted using the 0.7729 exchange ratio. This included Exscientia’s stock options and restricted stock units. Recursion used $6.04, the Company’s share price on November 20, 2024 to calculate the consideration transferred. See Note 10, “Stock-Based Compensation” for additional information on the Exscientia share based awards.</w:t>
      </w:r>
    </w:p>
    <w:p>
      <w:pPr>
        <w:spacing w:after="0" w:line="20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the nine months ended September 30, 2025, Recursion updated the deferred tax liabilities from the acquisition, which were incomplete as of December 31, 2024. As a result, Recursion adjusted the provisional deferred tax liabilities to reflect the additional information obtained about the facts and circumstances that existed as of the acquisition date. As a result, deferred tax liabilities and goodwill increased by $6.0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assets acquired and liabilities assumed as of the acquisition date:</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32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277,104</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48,408</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12,843</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61,961</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20,271</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Intangible assets, technology</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182,000</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indefinite-lived</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129,000</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non-current</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(40,780)</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(21,679)</w:t>
            </w:r>
          </w:p>
        </w:tc>
      </w:tr>
      <w:tr>
        <w:trPr>
          <w:trHeight w:val="248"/>
        </w:trPr>
        <w:tc>
          <w:tcPr>
            <w:tcW w:w="646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(120,905)</w:t>
            </w:r>
          </w:p>
        </w:tc>
      </w:tr>
      <w:tr>
        <w:trPr>
          <w:trHeight w:val="265"/>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3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(23,077)</w:t>
            </w:r>
          </w:p>
        </w:tc>
      </w:tr>
      <w:tr>
        <w:trPr>
          <w:trHeight w:val="25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liabilities</w:t>
            </w:r>
          </w:p>
        </w:tc>
        <w:tc>
          <w:tcPr>
            <w:tcW w:w="3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r>
      <w:tr>
        <w:trPr>
          <w:trHeight w:val="25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identifiable net assets</w:t>
            </w:r>
          </w:p>
        </w:tc>
        <w:tc>
          <w:tcPr>
            <w:tcW w:w="3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526,438</w:t>
            </w:r>
          </w:p>
        </w:tc>
      </w:tr>
      <w:tr>
        <w:trPr>
          <w:trHeight w:val="250"/>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Goodwill</w:t>
            </w:r>
          </w:p>
        </w:tc>
        <w:tc>
          <w:tcPr>
            <w:tcW w:w="3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103,686</w:t>
            </w:r>
          </w:p>
        </w:tc>
      </w:tr>
      <w:tr>
        <w:trPr>
          <w:trHeight w:val="252"/>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acquired and liabilities assumed</w:t>
            </w:r>
          </w:p>
        </w:tc>
        <w:tc>
          <w:tcPr>
            <w:tcW w:w="332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630,124</w:t>
            </w:r>
          </w:p>
        </w:tc>
      </w:tr>
    </w:tbl>
    <w:p>
      <w:pPr>
        <w:spacing w:after="0" w:line="3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Acquired contract liabilities in the scope of ASC 606 are an exception to the ASC 805 fair value measurement principle and were measured as if Recursion had originated the acquired contract. Two acquired customer contracts had contract liabilities and for each contract Recursion reassessed the identification of performance obligations, determination of transaction price, allocation of transaction price and measure of progress for each performance obligation as if Recursion has been party to the original contract and recognized the resulting contract liability as a liability assumed. No contract assets in the scope of ASC 606 were acquired.</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intangible assets of Exscientia consist of the Exscientia artificial intelligence platform and four clinical stage oncology in process research and development (IPR&amp;D) assets. The operating system is a critical tool used for both designing molecules for fulfilling collaboration agreements and Exscientia’s own research and development projects. The fair value of each intangible asset was valued based on the present value of future discounted cash flows prepared under the multi-period excess earnings method with the significant inputs being the estimates of future revenues, future expenses, the discount rate of 10.5% and probabilities of technological and regulatory success. The platform asset is being amortized on a straight line basis over a six year useful life. The IPR&amp;D assets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have been assigned an indefinite useful life and will be tested for impairment prospectively and, if regulatory approval is achieved, will be assigned a useful life and amortization will commence.</w:t>
      </w:r>
    </w:p>
    <w:p>
      <w:pPr>
        <w:spacing w:after="0" w:line="18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Goodwill was calculated based on the excess of the consideration transferred over net assets acquired. The goodwill recognized represents the assembled workforce, future research and development projects enabled by the platform that do not yet have sufficient substance to meet the definition of in-process research and development assets and expected synergies such as the integration of Recursion and Exscientia platforms. The goodwill is not deductible for tax purposes.</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Recursion’s consolidated statement of operations for the nine months ended September 30, 2025 includes $16.8 million of revenue and $139.4 million of operating loss from Exscientia operations. As the business combination occurred in November 2024, Recursion is still finalizing the allocation of the purchase price to assets acquired and liabilities assumed. The preliminary purchase price allocation reflected in the September 30, 2025 balance sheet is based on the current best estimate of management and subject to change. The Company will finalize the amounts recognized as the information necessary to complete the analysis is obtained and management estimates are further refined. The primary areas subject to finalization are the valuation of intangible assets, right-of-use assets, property and equipment and the valuation of tax assets and liabilities. The Company expects to finalize the purchase price allocation soon but will do so no later than one year from the acquisition date. External specialists have been engaged to assist with certain elements of applying the acquisition method of accounting.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50"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The following pro forma summary presents consolidated revenue and earnings of Recursion as if the Exscientia business combination had occurred on January 1, 2023</w:t>
      </w:r>
      <w:r>
        <w:rPr>
          <w:rFonts w:ascii="Arial" w:cs="Arial" w:eastAsia="Arial" w:hAnsi="Arial"/>
          <w:sz w:val="18"/>
          <w:szCs w:val="18"/>
          <w:color w:val="008080"/>
        </w:rPr>
        <w:t>.</w:t>
      </w:r>
    </w:p>
    <w:tbl>
      <w:tblPr>
        <w:tblLayout w:type="fixed"/>
        <w:tblInd w:w="0" w:type="dxa"/>
        <w:tblCellMar>
          <w:top w:w="0" w:type="dxa"/>
          <w:left w:w="0" w:type="dxa"/>
          <w:bottom w:w="0" w:type="dxa"/>
          <w:right w:w="0" w:type="dxa"/>
        </w:tblCellMar>
      </w:tblPr>
      <w:tr>
        <w:trPr>
          <w:trHeight w:val="204"/>
        </w:trPr>
        <w:tc>
          <w:tcPr>
            <w:tcW w:w="35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380" w:type="dxa"/>
            <w:vAlign w:val="bottom"/>
          </w:tcPr>
          <w:p>
            <w:pPr>
              <w:jc w:val="center"/>
              <w:ind w:right="250"/>
              <w:spacing w:after="0" w:line="204" w:lineRule="exact"/>
              <w:rPr>
                <w:sz w:val="20"/>
                <w:szCs w:val="20"/>
                <w:color w:val="auto"/>
              </w:rPr>
            </w:pPr>
            <w:r>
              <w:rPr>
                <w:rFonts w:ascii="Arial" w:cs="Arial" w:eastAsia="Arial" w:hAnsi="Arial"/>
                <w:sz w:val="18"/>
                <w:szCs w:val="18"/>
                <w:b w:val="1"/>
                <w:bCs w:val="1"/>
                <w:color w:val="auto"/>
                <w:w w:val="99"/>
              </w:rPr>
              <w:t>Three months ended</w:t>
            </w:r>
          </w:p>
        </w:tc>
        <w:tc>
          <w:tcPr>
            <w:tcW w:w="400" w:type="dxa"/>
            <w:vAlign w:val="bottom"/>
          </w:tcPr>
          <w:p>
            <w:pPr>
              <w:spacing w:after="0"/>
              <w:rPr>
                <w:sz w:val="17"/>
                <w:szCs w:val="17"/>
                <w:color w:val="auto"/>
              </w:rPr>
            </w:pPr>
          </w:p>
        </w:tc>
        <w:tc>
          <w:tcPr>
            <w:tcW w:w="2280" w:type="dxa"/>
            <w:vAlign w:val="bottom"/>
          </w:tcPr>
          <w:p>
            <w:pPr>
              <w:ind w:left="160"/>
              <w:spacing w:after="0" w:line="204" w:lineRule="exact"/>
              <w:rPr>
                <w:sz w:val="20"/>
                <w:szCs w:val="20"/>
                <w:color w:val="auto"/>
              </w:rPr>
            </w:pPr>
            <w:r>
              <w:rPr>
                <w:rFonts w:ascii="Arial" w:cs="Arial" w:eastAsia="Arial" w:hAnsi="Arial"/>
                <w:sz w:val="18"/>
                <w:szCs w:val="18"/>
                <w:b w:val="1"/>
                <w:bCs w:val="1"/>
                <w:color w:val="auto"/>
              </w:rPr>
              <w:t>Nine months ended</w:t>
            </w:r>
          </w:p>
        </w:tc>
      </w:tr>
      <w:tr>
        <w:trPr>
          <w:trHeight w:val="260"/>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22"/>
                <w:szCs w:val="22"/>
                <w:color w:val="auto"/>
              </w:rPr>
            </w:pPr>
          </w:p>
        </w:tc>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September 30, 2024</w:t>
            </w:r>
          </w:p>
        </w:tc>
        <w:tc>
          <w:tcPr>
            <w:tcW w:w="400" w:type="dxa"/>
            <w:vAlign w:val="bottom"/>
          </w:tcPr>
          <w:p>
            <w:pPr>
              <w:spacing w:after="0"/>
              <w:rPr>
                <w:sz w:val="22"/>
                <w:szCs w:val="22"/>
                <w:color w:val="auto"/>
              </w:rPr>
            </w:pPr>
          </w:p>
        </w:tc>
        <w:tc>
          <w:tcPr>
            <w:tcW w:w="2280" w:type="dxa"/>
            <w:vAlign w:val="bottom"/>
          </w:tcPr>
          <w:p>
            <w:pPr>
              <w:ind w:left="160"/>
              <w:spacing w:after="0"/>
              <w:rPr>
                <w:sz w:val="20"/>
                <w:szCs w:val="20"/>
                <w:color w:val="auto"/>
              </w:rPr>
            </w:pPr>
            <w:r>
              <w:rPr>
                <w:rFonts w:ascii="Arial" w:cs="Arial" w:eastAsia="Arial" w:hAnsi="Arial"/>
                <w:sz w:val="18"/>
                <w:szCs w:val="18"/>
                <w:b w:val="1"/>
                <w:bCs w:val="1"/>
                <w:color w:val="auto"/>
              </w:rPr>
              <w:t>September 30, 2024</w:t>
            </w:r>
          </w:p>
        </w:tc>
      </w:tr>
      <w:tr>
        <w:trPr>
          <w:trHeight w:val="56"/>
        </w:trPr>
        <w:tc>
          <w:tcPr>
            <w:tcW w:w="3500" w:type="dxa"/>
            <w:vAlign w:val="bottom"/>
            <w:tcBorders>
              <w:bottom w:val="single" w:sz="8" w:color="auto"/>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5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32,048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75,643</w:t>
            </w:r>
          </w:p>
        </w:tc>
      </w:tr>
      <w:tr>
        <w:trPr>
          <w:trHeight w:val="25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loss</w:t>
            </w:r>
          </w:p>
        </w:tc>
        <w:tc>
          <w:tcPr>
            <w:tcW w:w="2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(202,645)</w:t>
            </w:r>
          </w:p>
        </w:tc>
        <w:tc>
          <w:tcPr>
            <w:tcW w:w="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(512,213)</w:t>
            </w:r>
          </w:p>
        </w:tc>
      </w:tr>
    </w:tbl>
    <w:p>
      <w:pPr>
        <w:spacing w:after="0" w:line="3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 forma amounts have been calculated after converting the Exscientia financial information to U.S. GAAP, applying Recursion accounting policies and applying the acquisition method of accounting at January 1, 2023. The pro forma financial information is not necessarily indicative of what the consolidated results of operations would have been had the acquisition been completed on January 1, 2023. In addition, the pro forma financial information is not a projection of the future results of operations of the combined company nor does it reflect the expected realization of any cost savings or synergies associated with the acquisition.</w:t>
      </w:r>
    </w:p>
    <w:p>
      <w:pPr>
        <w:spacing w:after="0" w:line="200" w:lineRule="exact"/>
        <w:rPr>
          <w:sz w:val="20"/>
          <w:szCs w:val="20"/>
          <w:color w:val="auto"/>
        </w:rPr>
      </w:pP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tab/>
        <w:t>Leases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has entered into various long-term real estate operating leases primarily related to office, research and development and operating activities and an equipment financing lease related to the supercomputer. The Company’s leases have remaining terms from under one year to eight years and some of those leases include options that provide Recursion with the ability to extend the lease term, generally for 5 years. The options are included in the lease term when it is reasonably certain that the option will be exercised.</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nine months ended September 30, 2025, Recursion entered into lease modifications and terminations resulting in a decrease to the right-of-use asset and lease liability of $10.1 million. This impact included the lease surrender of the Vienna facilities of Exscientia GmbH in March 2025, which resulted in a $5.2 million reduction to both the right-of-use asset and lease liability. In connection with this surrender, the Company also incurred a lease termination fee of $5.2 million, which was classified as “Other income (loss), net” on the Condensed Consolidated Statement of Operations. Additionally, the Company entered into a lease modification related to the Schrodinger leases to decrease the lease terms, which now ended during the second quarter of 2025. This resulted in a decrease to both the right-of-use asset and lease liability by $4.9 million. As a part of the lease modifications and termination, Recursion recorded leasehold impairments of $6.0 million.</w:t>
      </w:r>
    </w:p>
    <w:p>
      <w:pPr>
        <w:spacing w:after="0" w:line="21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the nine months ended September 30, 2024, Recursion entered into operating lease modifications and additions resulting in an increase to the right-of-use asset and lease liability of $19.5 million. The modifications had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no impact to the Condensed Consolidated Statements of Operations. For the nine months ended September 30, 2024, Recursion entered into finance lease additions resulting in an increase to the right-of-use asset and lease liability of $29.3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w:t>
      </w:r>
    </w:p>
    <w:p>
      <w:pPr>
        <w:spacing w:after="0" w:line="50"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2024</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 included in the measurement of lease liabilities: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14,756</w:t>
            </w:r>
          </w:p>
        </w:tc>
        <w:tc>
          <w:tcPr>
            <w:tcW w:w="70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10,742</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financing leases</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7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Financing cash flows from financing leases</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6,174</w:t>
            </w:r>
          </w:p>
        </w:tc>
        <w:tc>
          <w:tcPr>
            <w:tcW w:w="7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2,261</w:t>
            </w:r>
          </w:p>
        </w:tc>
      </w:tr>
      <w:tr>
        <w:trPr>
          <w:trHeight w:val="256"/>
        </w:trPr>
        <w:tc>
          <w:tcPr>
            <w:tcW w:w="7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Right-of-use assets additions, modifications and termination:</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(10,084)</w:t>
            </w:r>
          </w:p>
        </w:tc>
        <w:tc>
          <w:tcPr>
            <w:tcW w:w="7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19,455</w:t>
            </w:r>
          </w:p>
        </w:tc>
      </w:tr>
      <w:tr>
        <w:trPr>
          <w:trHeight w:val="23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Financing leases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29,342</w:t>
            </w:r>
          </w:p>
        </w:tc>
      </w:tr>
      <w:tr>
        <w:trPr>
          <w:trHeight w:val="802"/>
        </w:trPr>
        <w:tc>
          <w:tcPr>
            <w:tcW w:w="7240" w:type="dxa"/>
            <w:vAlign w:val="bottom"/>
          </w:tcPr>
          <w:p>
            <w:pPr>
              <w:spacing w:after="0"/>
              <w:rPr>
                <w:sz w:val="20"/>
                <w:szCs w:val="20"/>
                <w:color w:val="auto"/>
              </w:rPr>
            </w:pPr>
            <w:r>
              <w:rPr>
                <w:rFonts w:ascii="Arial" w:cs="Arial" w:eastAsia="Arial" w:hAnsi="Arial"/>
                <w:sz w:val="18"/>
                <w:szCs w:val="18"/>
                <w:b w:val="1"/>
                <w:bCs w:val="1"/>
                <w:color w:val="auto"/>
              </w:rPr>
              <w:t>Note 6.  Goodwill and Intangible Assets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9"/>
        </w:trPr>
        <w:tc>
          <w:tcPr>
            <w:tcW w:w="7240" w:type="dxa"/>
            <w:vAlign w:val="bottom"/>
          </w:tcPr>
          <w:p>
            <w:pPr>
              <w:spacing w:after="0"/>
              <w:rPr>
                <w:sz w:val="20"/>
                <w:szCs w:val="20"/>
                <w:color w:val="auto"/>
              </w:rPr>
            </w:pPr>
            <w:r>
              <w:rPr>
                <w:rFonts w:ascii="Arial" w:cs="Arial" w:eastAsia="Arial" w:hAnsi="Arial"/>
                <w:sz w:val="18"/>
                <w:szCs w:val="18"/>
                <w:b w:val="1"/>
                <w:bCs w:val="1"/>
                <w:i w:val="1"/>
                <w:iCs w:val="1"/>
                <w:color w:val="auto"/>
              </w:rPr>
              <w:t>Goodwill</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51"/>
        </w:trPr>
        <w:tc>
          <w:tcPr>
            <w:tcW w:w="7240" w:type="dxa"/>
            <w:vAlign w:val="bottom"/>
          </w:tcPr>
          <w:p>
            <w:pPr>
              <w:spacing w:after="0"/>
              <w:rPr>
                <w:sz w:val="20"/>
                <w:szCs w:val="20"/>
                <w:color w:val="auto"/>
              </w:rPr>
            </w:pPr>
            <w:r>
              <w:rPr>
                <w:rFonts w:ascii="Arial" w:cs="Arial" w:eastAsia="Arial" w:hAnsi="Arial"/>
                <w:sz w:val="18"/>
                <w:szCs w:val="18"/>
                <w:color w:val="auto"/>
              </w:rPr>
              <w:t>The following table summarizes the changes in the carrying amount of goodwill:</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2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148,873</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Additions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5,947</w:t>
            </w:r>
          </w:p>
        </w:tc>
      </w:tr>
      <w:tr>
        <w:trPr>
          <w:trHeight w:val="230"/>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September 30, 2025</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162,042</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 goodwill impairment was recorded during the three and nine months ended September 30, 2025 and 2024.</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intangible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center"/>
              <w:ind w:left="955"/>
              <w:spacing w:after="0"/>
              <w:rPr>
                <w:sz w:val="20"/>
                <w:szCs w:val="20"/>
                <w:color w:val="auto"/>
              </w:rPr>
            </w:pPr>
            <w:r>
              <w:rPr>
                <w:rFonts w:ascii="Arial" w:cs="Arial" w:eastAsia="Arial" w:hAnsi="Arial"/>
                <w:sz w:val="18"/>
                <w:szCs w:val="18"/>
                <w:b w:val="1"/>
                <w:bCs w:val="1"/>
                <w:color w:val="auto"/>
                <w:w w:val="99"/>
              </w:rPr>
              <w:t>September 30, 2025</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December 31, 2024</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40" w:type="dxa"/>
            <w:vAlign w:val="bottom"/>
          </w:tcPr>
          <w:p>
            <w:pPr>
              <w:jc w:val="right"/>
              <w:ind w:right="95"/>
              <w:spacing w:after="0" w:line="147" w:lineRule="exact"/>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2"/>
                <w:szCs w:val="12"/>
                <w:color w:val="auto"/>
              </w:rPr>
            </w:pPr>
          </w:p>
        </w:tc>
        <w:tc>
          <w:tcPr>
            <w:tcW w:w="1180" w:type="dxa"/>
            <w:vAlign w:val="bottom"/>
          </w:tcPr>
          <w:p>
            <w:pPr>
              <w:jc w:val="center"/>
              <w:ind w:right="76"/>
              <w:spacing w:after="0" w:line="14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4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1200" w:type="dxa"/>
            <w:vAlign w:val="bottom"/>
          </w:tcPr>
          <w:p>
            <w:pPr>
              <w:jc w:val="right"/>
              <w:ind w:right="56"/>
              <w:spacing w:after="0" w:line="147" w:lineRule="exact"/>
              <w:rPr>
                <w:sz w:val="20"/>
                <w:szCs w:val="20"/>
                <w:color w:val="auto"/>
              </w:rPr>
            </w:pPr>
            <w:r>
              <w:rPr>
                <w:rFonts w:ascii="Arial" w:cs="Arial" w:eastAsia="Arial" w:hAnsi="Arial"/>
                <w:sz w:val="14"/>
                <w:szCs w:val="14"/>
                <w:b w:val="1"/>
                <w:bCs w:val="1"/>
                <w:color w:val="auto"/>
              </w:rPr>
              <w:t>Gross carrying</w:t>
            </w:r>
          </w:p>
        </w:tc>
        <w:tc>
          <w:tcPr>
            <w:tcW w:w="280" w:type="dxa"/>
            <w:vAlign w:val="bottom"/>
          </w:tcPr>
          <w:p>
            <w:pPr>
              <w:spacing w:after="0"/>
              <w:rPr>
                <w:sz w:val="12"/>
                <w:szCs w:val="12"/>
                <w:color w:val="auto"/>
              </w:rPr>
            </w:pPr>
          </w:p>
        </w:tc>
        <w:tc>
          <w:tcPr>
            <w:tcW w:w="1300" w:type="dxa"/>
            <w:vAlign w:val="bottom"/>
          </w:tcPr>
          <w:p>
            <w:pPr>
              <w:jc w:val="center"/>
              <w:ind w:right="116"/>
              <w:spacing w:after="0" w:line="147"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220" w:type="dxa"/>
            <w:vAlign w:val="bottom"/>
          </w:tcPr>
          <w:p>
            <w:pPr>
              <w:jc w:val="right"/>
              <w:ind w:right="216"/>
              <w:spacing w:after="0" w:line="147"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85"/>
        </w:trPr>
        <w:tc>
          <w:tcPr>
            <w:tcW w:w="24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7"/>
        </w:trPr>
        <w:tc>
          <w:tcPr>
            <w:tcW w:w="24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Definite-lived technology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236,443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(57,806)</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178,637</w:t>
            </w:r>
          </w:p>
        </w:tc>
        <w:tc>
          <w:tcPr>
            <w:tcW w:w="2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224,362</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(24,544)</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199,818</w:t>
            </w:r>
          </w:p>
        </w:tc>
        <w:tc>
          <w:tcPr>
            <w:tcW w:w="0" w:type="dxa"/>
            <w:vAlign w:val="bottom"/>
          </w:tcPr>
          <w:p>
            <w:pPr>
              <w:spacing w:after="0"/>
              <w:rPr>
                <w:sz w:val="1"/>
                <w:szCs w:val="1"/>
                <w:color w:val="auto"/>
              </w:rPr>
            </w:pPr>
          </w:p>
        </w:tc>
      </w:tr>
      <w:tr>
        <w:trPr>
          <w:trHeight w:val="235"/>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Definite-lived licensed</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11,508</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(5,679)</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5,829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9,350</w:t>
            </w:r>
          </w:p>
        </w:tc>
        <w:tc>
          <w:tcPr>
            <w:tcW w:w="2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Indefinite-lived intangible</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137,878</w:t>
            </w:r>
          </w:p>
        </w:tc>
        <w:tc>
          <w:tcPr>
            <w:tcW w:w="2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137,878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2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128,775</w:t>
            </w:r>
          </w:p>
        </w:tc>
        <w:tc>
          <w:tcPr>
            <w:tcW w:w="0" w:type="dxa"/>
            <w:vAlign w:val="bottom"/>
          </w:tcPr>
          <w:p>
            <w:pPr>
              <w:spacing w:after="0"/>
              <w:rPr>
                <w:sz w:val="1"/>
                <w:szCs w:val="1"/>
                <w:color w:val="auto"/>
              </w:rPr>
            </w:pPr>
          </w:p>
        </w:tc>
      </w:tr>
      <w:tr>
        <w:trPr>
          <w:trHeight w:val="235"/>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385,829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(63,485)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322,344</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362,487</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335,855</w:t>
            </w:r>
          </w:p>
        </w:tc>
        <w:tc>
          <w:tcPr>
            <w:tcW w:w="0" w:type="dxa"/>
            <w:vAlign w:val="bottom"/>
          </w:tcPr>
          <w:p>
            <w:pPr>
              <w:spacing w:after="0"/>
              <w:rPr>
                <w:sz w:val="1"/>
                <w:szCs w:val="1"/>
                <w:color w:val="auto"/>
              </w:rPr>
            </w:pPr>
          </w:p>
        </w:tc>
      </w:tr>
      <w:tr>
        <w:trPr>
          <w:trHeight w:val="20"/>
        </w:trPr>
        <w:tc>
          <w:tcPr>
            <w:tcW w:w="2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Amortization expense was $13.4 million and $37.4 million during the three and nine months ended September 30, 2025, respectively. Amortization expense was $4.1 million and $11.3 million during the three and nine months ended September 30, 2024, respectively. Amortization expense was included in “Research and Development” and “Cost of Revenue” in the Condensed Consolidated Statements of Operations. No indefinite-lived intangible asset impairment charges were recorded during the three and nine months ended September 30, 2025 and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 Note 7. Commitments and Contingencies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250"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 it pays under its indemnification obligations. The Company had no liabilities recorded for these agreements as of September 30, 2025 and December 31, 2024, as no amounts were probable.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50" w:lineRule="exact"/>
        <w:rPr>
          <w:sz w:val="20"/>
          <w:szCs w:val="20"/>
          <w:color w:val="auto"/>
        </w:rPr>
      </w:pPr>
    </w:p>
    <w:p>
      <w:pPr>
        <w:jc w:val="both"/>
        <w:ind w:right="40"/>
        <w:spacing w:after="0" w:line="318" w:lineRule="auto"/>
        <w:rPr>
          <w:sz w:val="20"/>
          <w:szCs w:val="20"/>
          <w:color w:val="auto"/>
        </w:rPr>
      </w:pPr>
      <w:r>
        <w:rPr>
          <w:rFonts w:ascii="Arial" w:cs="Arial" w:eastAsia="Arial" w:hAnsi="Arial"/>
          <w:sz w:val="17"/>
          <w:szCs w:val="17"/>
          <w:color w:val="auto"/>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0"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April 2024</w:t>
      </w:r>
      <w:r>
        <w:rPr>
          <w:rFonts w:ascii="Arial" w:cs="Arial" w:eastAsia="Arial" w:hAnsi="Arial"/>
          <w:sz w:val="18"/>
          <w:szCs w:val="18"/>
          <w:color w:val="auto"/>
        </w:rPr>
        <w:t>, a putative class action complaint was filed in the U.S. District Court for the District of New Jersey against Exscientia plc, Andrew Hopkins, Ben R. Taylor and David Nicholson (</w:t>
      </w:r>
      <w:r>
        <w:rPr>
          <w:rFonts w:ascii="Arial" w:cs="Arial" w:eastAsia="Arial" w:hAnsi="Arial"/>
          <w:sz w:val="18"/>
          <w:szCs w:val="18"/>
          <w:i w:val="1"/>
          <w:iCs w:val="1"/>
          <w:color w:val="auto"/>
        </w:rPr>
        <w:t>Campanile v. Exscientia plc,</w:t>
      </w:r>
      <w:r>
        <w:rPr>
          <w:rFonts w:ascii="Arial" w:cs="Arial" w:eastAsia="Arial" w:hAnsi="Arial"/>
          <w:sz w:val="18"/>
          <w:szCs w:val="18"/>
          <w:color w:val="auto"/>
        </w:rPr>
        <w:t xml:space="preserve"> Case No. 1:24-cv-05692). In </w:t>
      </w:r>
      <w:r>
        <w:rPr>
          <w:rFonts w:ascii="Arial" w:cs="Arial" w:eastAsia="Arial" w:hAnsi="Arial"/>
          <w:sz w:val="18"/>
          <w:szCs w:val="18"/>
          <w:color w:val="1E1E1E"/>
        </w:rPr>
        <w:t>June 2024</w:t>
      </w:r>
      <w:r>
        <w:rPr>
          <w:rFonts w:ascii="Arial" w:cs="Arial" w:eastAsia="Arial" w:hAnsi="Arial"/>
          <w:sz w:val="18"/>
          <w:szCs w:val="18"/>
          <w:color w:val="auto"/>
        </w:rPr>
        <w:t xml:space="preserve">, a separate complaint was filed against the same defendants in the U.S. District Court for the District of New Jersey (Case 1:24-cv-07181). Both complaints allege that the defendants violated federal securities laws by, among other things, making materially false and misleading statements regarding Exscientia’s business, operations and prospects. The complaints seek unspecified compensatory damages, as well as an award of reasonable attorneys’ fees and other costs, on behalf of persons and/or entities which purchased Exscientia securities between </w:t>
      </w:r>
      <w:r>
        <w:rPr>
          <w:rFonts w:ascii="Arial" w:cs="Arial" w:eastAsia="Arial" w:hAnsi="Arial"/>
          <w:sz w:val="18"/>
          <w:szCs w:val="18"/>
          <w:color w:val="1E1E1E"/>
        </w:rPr>
        <w:t xml:space="preserve">March 2022 </w:t>
      </w:r>
      <w:r>
        <w:rPr>
          <w:rFonts w:ascii="Arial" w:cs="Arial" w:eastAsia="Arial" w:hAnsi="Arial"/>
          <w:sz w:val="18"/>
          <w:szCs w:val="18"/>
          <w:color w:val="000000"/>
        </w:rPr>
        <w:t>and</w:t>
      </w:r>
      <w:r>
        <w:rPr>
          <w:rFonts w:ascii="Arial" w:cs="Arial" w:eastAsia="Arial" w:hAnsi="Arial"/>
          <w:sz w:val="18"/>
          <w:szCs w:val="18"/>
          <w:color w:val="1E1E1E"/>
        </w:rPr>
        <w:t xml:space="preserve"> February 2024</w:t>
      </w:r>
      <w:r>
        <w:rPr>
          <w:rFonts w:ascii="Arial" w:cs="Arial" w:eastAsia="Arial" w:hAnsi="Arial"/>
          <w:sz w:val="18"/>
          <w:szCs w:val="18"/>
          <w:color w:val="000000"/>
        </w:rPr>
        <w:t>. The cases were consolidated and plaintiffs filed an amended complaint on November 11, 2024 against</w:t>
      </w:r>
      <w:r>
        <w:rPr>
          <w:rFonts w:ascii="Arial" w:cs="Arial" w:eastAsia="Arial" w:hAnsi="Arial"/>
          <w:sz w:val="18"/>
          <w:szCs w:val="18"/>
          <w:color w:val="1E1E1E"/>
        </w:rPr>
        <w:t xml:space="preserve"> </w:t>
      </w:r>
      <w:r>
        <w:rPr>
          <w:rFonts w:ascii="Arial" w:cs="Arial" w:eastAsia="Arial" w:hAnsi="Arial"/>
          <w:sz w:val="18"/>
          <w:szCs w:val="18"/>
          <w:color w:val="000000"/>
        </w:rPr>
        <w:t xml:space="preserve">Exscientia plc, Andrew Hopkins and David Nicholson, and the Company moved to dismiss on January 21, 2025. On </w:t>
      </w:r>
      <w:r>
        <w:rPr>
          <w:rFonts w:ascii="Arial" w:cs="Arial" w:eastAsia="Arial" w:hAnsi="Arial"/>
          <w:sz w:val="18"/>
          <w:szCs w:val="18"/>
          <w:color w:val="1E1E1E"/>
        </w:rPr>
        <w:t>October 7, 2025</w:t>
      </w:r>
      <w:r>
        <w:rPr>
          <w:rFonts w:ascii="Arial" w:cs="Arial" w:eastAsia="Arial" w:hAnsi="Arial"/>
          <w:sz w:val="18"/>
          <w:szCs w:val="18"/>
          <w:color w:val="000000"/>
        </w:rPr>
        <w:t xml:space="preserve">, that motion to dismiss was granted and the District Court dismissed the plaintiff’s claims without prejudice; permitting leave to re-file the complaint within 30 days. As of </w:t>
      </w:r>
      <w:r>
        <w:rPr>
          <w:rFonts w:ascii="Arial" w:cs="Arial" w:eastAsia="Arial" w:hAnsi="Arial"/>
          <w:sz w:val="18"/>
          <w:szCs w:val="18"/>
          <w:color w:val="1E1E1E"/>
        </w:rPr>
        <w:t>September 30, 2025</w:t>
      </w:r>
      <w:r>
        <w:rPr>
          <w:rFonts w:ascii="Arial" w:cs="Arial" w:eastAsia="Arial" w:hAnsi="Arial"/>
          <w:sz w:val="18"/>
          <w:szCs w:val="18"/>
          <w:color w:val="000000"/>
        </w:rPr>
        <w:t>, the Company had no liability recorded for these events as an unfavorable outcome was not probable.</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February 2021, the Company entered into a lease agreement for laboratory and office space (the Industry Lease) with Industry Office SLC, LLC (the landlord). In March 2023, the Company sent a letter to the landlord detailing numerous construction delays and irregularities, deficiencies and deviations from applicable structural drawings and/or non-conforming conditions with applicable building codes (collectively, the Claims). On June 23, 2023, the landlord filed a lawsuit against the Company (Industry Office SLC, LLC v. Recursion Pharmaceuticals, Inc., Case No. 230904627) amended in October 2023, in the Third District Court for Salt Lake County, State of Utah (the Court), alleging anticipatory repudiation, breach of contract and breach of the implied covenant of good faith and fair dealing and seeks monetary damages and attorney’s fees. As of September 30, 2025, the Company had no liability recorded for these events as an unfavorable outcome was not probable. In September 2023, the Company filed claims in the Court against the landlord alleging, among other things, breach of contract and fraudulent misrepresentation (the Counterclaims). In October 2023, the landlord filed an answer and denied the Company’s allegations asserted in the Counterclaims. In </w:t>
      </w:r>
      <w:r>
        <w:rPr>
          <w:rFonts w:ascii="Arial" w:cs="Arial" w:eastAsia="Arial" w:hAnsi="Arial"/>
          <w:sz w:val="18"/>
          <w:szCs w:val="18"/>
          <w:color w:val="1E1E1E"/>
        </w:rPr>
        <w:t>October 2025</w:t>
      </w:r>
      <w:r>
        <w:rPr>
          <w:rFonts w:ascii="Arial" w:cs="Arial" w:eastAsia="Arial" w:hAnsi="Arial"/>
          <w:sz w:val="18"/>
          <w:szCs w:val="18"/>
          <w:color w:val="auto"/>
        </w:rPr>
        <w:t>, the Company filed a motion for summary judgment against the Claims and in favor of a number of its Counterclaims, which remains pending. The Company is unable to estimate the possible amount or range of damages associated with the Counterclaims.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Pledged Assets</w:t>
      </w:r>
    </w:p>
    <w:p>
      <w:pPr>
        <w:spacing w:after="0" w:line="25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2025, assets pledged as collateral against finance leases totaled $19.5 million. Assets pledged as collateral are Lab Equipment reported in “Property and Equipment, net” on the Condensed Consolidated Balance Sheet. As of September 30, 2025, the liabilities associated with collateral pledged were solely comprised of a finance lease and had a carrying value of $20.5 million. The collateral pledged under the lease agreement may only be operated by the Company within the continental United States and must maintain a good title. The assets cannot be sold, disposed of or repledged by the Company.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Common Stock</w:t>
      </w:r>
    </w:p>
    <w:p>
      <w:pPr>
        <w:spacing w:after="0" w:line="25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Each share of Class A common stock entitles the holder to one vote per share and each share of Class B common stock entitles the holder to 10 votes per share on all matters submitted to a vote of the Company’s stockholders. Common stockholders are entitled to receive dividends, as may be declared by the Company’s Board of Directors. As of September 30, 2025 and December 31, 2024, no dividends had been declared.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(Citi)</w:t>
      </w:r>
    </w:p>
    <w:p>
      <w:pPr>
        <w:spacing w:after="0" w:line="25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February 2025</w:t>
      </w:r>
      <w:r>
        <w:rPr>
          <w:rFonts w:ascii="Arial" w:cs="Arial" w:eastAsia="Arial" w:hAnsi="Arial"/>
          <w:sz w:val="18"/>
          <w:szCs w:val="18"/>
          <w:color w:val="auto"/>
        </w:rPr>
        <w:t>, following the termination of the Jefferies Sales Agreement, the Company entered into a Sales Agreement (the Citi Sales Agreement) with Citigroup Capital Markets Inc. (Citi) to provide for the offering, issuance and sale of up to an aggregate amount of $500 million of its Class A common stock from time to time in “at-the-market” offerings (the Citi ATM Offering). The Citi ATM Offering was made under a prospectus supplement dated February 28, 2025 and related prospectus filed with the Securities and Exchange Commission pursuant to the Company’s automatically effective shelf registration statement on Form S-3 (Registration No. 333-284878).</w:t>
      </w:r>
    </w:p>
    <w:p>
      <w:pPr>
        <w:spacing w:after="0" w:line="206"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For the nine months ended September 30, 2025, the Company sold 74.6 million shares and received net proceeds of $358.2 million under the agreement. As of September 30, 2025, an amount of $136.4 million remained available for future sales under the Sales Agreement. The remaining amount was fully utilized during October 2025, see Note 15, “Subsequent Events</w:t>
      </w:r>
      <w:r>
        <w:rPr>
          <w:rFonts w:ascii="Arial" w:cs="Arial" w:eastAsia="Arial" w:hAnsi="Arial"/>
          <w:sz w:val="18"/>
          <w:szCs w:val="18"/>
          <w:b w:val="1"/>
          <w:bCs w:val="1"/>
          <w:color w:val="auto"/>
        </w:rPr>
        <w:t>,</w:t>
      </w:r>
      <w:r>
        <w:rPr>
          <w:rFonts w:ascii="Arial" w:cs="Arial" w:eastAsia="Arial" w:hAnsi="Arial"/>
          <w:sz w:val="18"/>
          <w:szCs w:val="18"/>
          <w:color w:val="auto"/>
        </w:rPr>
        <w:t>” for additional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(Jefferies)</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August 2023</w:t>
      </w:r>
      <w:r>
        <w:rPr>
          <w:rFonts w:ascii="Arial" w:cs="Arial" w:eastAsia="Arial" w:hAnsi="Arial"/>
          <w:sz w:val="18"/>
          <w:szCs w:val="18"/>
          <w:color w:val="auto"/>
        </w:rPr>
        <w:t xml:space="preserve">, the Company entered into an Open Market Sales Agreement (the “Jefferies Sales Agreement”) with Jefferies LLC ( “Jefferies”), to provide for the offering, issuance and sale of up to an aggregate amount of $300.0 million of its Class A common stock from time to time in “at-the-market” (ATM) offerings. In </w:t>
      </w:r>
      <w:r>
        <w:rPr>
          <w:rFonts w:ascii="Arial" w:cs="Arial" w:eastAsia="Arial" w:hAnsi="Arial"/>
          <w:sz w:val="18"/>
          <w:szCs w:val="18"/>
          <w:color w:val="1E1E1E"/>
        </w:rPr>
        <w:t>February 2025</w:t>
      </w:r>
      <w:r>
        <w:rPr>
          <w:rFonts w:ascii="Arial" w:cs="Arial" w:eastAsia="Arial" w:hAnsi="Arial"/>
          <w:sz w:val="18"/>
          <w:szCs w:val="18"/>
          <w:color w:val="auto"/>
        </w:rPr>
        <w:t>, the Company terminated the Jefferies Sales Agreement. In total, the Company sold 26.8 million shares and received net proceeds of $199.1 million under the agreement through its termination. Of the total sales and net proceeds, the Company sold 4.9 million shares and received net proceeds of $36.9 million under the agreement in 2025, prior to its termination. The Company paid Jefferies a commission of up to 3% of the aggregate gross proceeds received from all sales of Class A common stock. The Jefferies ATM Offering was made under a prospectus supplement dated August 8, 2023 and related prospectus filed with the Securities and Exchange Commission pursuant to the Company’s automatically effective shelf registration statement on Form S-3ASR (Registration No. 333-264845).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2024, the Company closed its public offering of Class A common stock and issued 35.4 million shares at a price of $6.50 per share for net proceeds of approximately $216.4 million, after deducting transaction costs of $13.6 million. In connection with the public offering of Class A common stock, the Company entered into an underwriting agreement for the offering and sale of 30.8 million shares. The Company also granted the Underwriters a 30 day option from the date of the underwriting agreement to purchase up to an additional 4.6 million shares of Class A Common Stock, which was exercised in full. The public offering was made pursuant to the Company's effective registration statement on Form S-3 (File No. 333-264845) and a related prospectus supplement and accompanying prospectus dated June 26, 2024.</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Valence Acquisition Exchangeable Shares</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May 2023</w:t>
      </w:r>
      <w:r>
        <w:rPr>
          <w:rFonts w:ascii="Arial" w:cs="Arial" w:eastAsia="Arial" w:hAnsi="Arial"/>
          <w:sz w:val="18"/>
          <w:szCs w:val="18"/>
          <w:color w:val="auto"/>
        </w:rPr>
        <w:t>, in connection with the acquisition of Valence, the Company entered into an agreement to issue up to 5.9 million shares of Class A common stock (the “Exchangeable Shares”), that may be issued upon exchange, retraction or redemption of exchangeable shares of a subsidiary of Recursion. Each exchangeable share of the subsidiary of Recursion entitles the holder to exchange those shares on a one-for-one basis for Recursion’s Class A common stock. The shares are entitled to receive dividends economically equivalent to dividends declared by Recursion, are non-voting and are subject to customary adjustments for stock splits or other reorganizations. In addition, the Company may require all outstanding exchangeable shares to be exchanged into an equal number of Class A common stock upon the occurrence of certain events and at any time following the seventh anniversary of the closing of the Valence acquisition. The exchangeable shares are substantially the economic equivalent of the Class A shares and classified as common stock within the Company’s stockholders’ equity. The Company’s calculation of weighted-average shares outstanding includes the exchangeable shares. As of September 30, 2025, 5.0 million Exchangeable shares have been redeemed for Class A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Tempus agreement</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2023</w:t>
      </w:r>
      <w:r>
        <w:rPr>
          <w:rFonts w:ascii="Arial" w:cs="Arial" w:eastAsia="Arial" w:hAnsi="Arial"/>
          <w:sz w:val="18"/>
          <w:szCs w:val="18"/>
          <w:color w:val="auto"/>
        </w:rPr>
        <w:t>, in connection with the Tempus Agreement, the Company agreed to prepare and file a registration statement (or a prospectus supplement to an effective registration statement on Form S-3ASR that will become automatically effective upon filing with the SEC pursuant to Rule 462(e)) with the SEC, for resale of the shares of Class A common stock issued or issuable under the Tempus Agreement. A prospectus supplement to a registration statement (File No. 333-264845) was subsequently filed in December 2023 to register shares issued to Tempus for the initial license fee under the Tempus Agreement for resale. In December 2024, a prospectus supplement to a registration statement (File No. 333-264845) was filed to register shares issued to Tempus in payment for the 2024 annual fee. Such registration statement (File No. 333-264845) expired. A new registration statement (333-284878) was filed in February 2025 and a prospectus supplement covering all shares that have been issued under the Tempus Agreement and remained held by Tempus was filed in May 2025.</w:t>
      </w:r>
    </w:p>
    <w:p>
      <w:pPr>
        <w:spacing w:after="0" w:line="21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After registration of any shares issued to Tempus under the Tempus Agreement, the Company has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November 2024, in connection with the acquisition of Exscientia, the Company filed a Registration Statement on Form S-8 (File No. 333-283347) to register the shares of Class A common stock issuable upon exercise or settlement, as applicable, of Recursion stock options and RSUs issued under the assumed Exscientia plans and the Inducement awards. The Company has agreed to use commercially reasonable efforts to maintain the effectiveness of such registration statement as long as such Recursion stock options and RSUs issued under the assumed Exscientia plans remain outstanding.</w:t>
      </w: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May 2023, in connection with the acquisition of Valence, the Company entered into a Registration Agreement providing for the registration for resale of the shares of Class A common stock and Exchange Shares issued or issuable in such transaction. A registration statement on Form S-3ASR (File No. 333-272281) was filed to register the shares for resale by the holders. The registration statement must remain effective for a period of not less than three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B Common Shares Authorization</w:t>
      </w:r>
    </w:p>
    <w:p>
      <w:pPr>
        <w:spacing w:after="0" w:line="25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20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All Class B common stock is held by Christopher Gibson, Ph.D., the Company’s Chief Executive Officer (CEO), or his affiliates. As of September 30, 2025, Dr. Gibson and his affiliates held outstanding shares of Class B common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stock representing approximately 12% of the voting power of the Company’s outstanding shares. This voting power may increase over time as Dr. Gibson vests in and exercises equity awards outstanding. If all the exchangeable equity awards held by Dr. Gibson had been fully vested, exercised and exchanged for shares of Class B common stock as of September 30, 2025, Dr. Gibson and his affiliates would hold approximately 13%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Collaborative Development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January 2022</w:t>
      </w:r>
      <w:r>
        <w:rPr>
          <w:rFonts w:ascii="Arial" w:cs="Arial" w:eastAsia="Arial" w:hAnsi="Arial"/>
          <w:sz w:val="18"/>
          <w:szCs w:val="18"/>
          <w:color w:val="auto"/>
        </w:rPr>
        <w:t>, the Company and Sanofi entered into a collaboration agreement to develop an AI-driven pipeline of precision-engineered medicines. The research is focused on up to 15 novel small molecule candidates across oncology and immunology and utilizes the Company’s AI platform. The Company is leading small molecule drug design and lead optimization activities with Sanofi assuming responsibility for preclinical and clinical development, manufacturing and commercialization.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Company received a $100.0 million non-refundable upfront payment. In </w:t>
      </w:r>
      <w:r>
        <w:rPr>
          <w:rFonts w:ascii="Arial" w:cs="Arial" w:eastAsia="Arial" w:hAnsi="Arial"/>
          <w:sz w:val="17"/>
          <w:szCs w:val="17"/>
          <w:color w:val="1E1E1E"/>
        </w:rPr>
        <w:t>April 2025</w:t>
      </w:r>
      <w:r>
        <w:rPr>
          <w:rFonts w:ascii="Arial" w:cs="Arial" w:eastAsia="Arial" w:hAnsi="Arial"/>
          <w:sz w:val="17"/>
          <w:szCs w:val="17"/>
          <w:color w:val="auto"/>
        </w:rPr>
        <w:t>, Recursion received a $7.0 million payment related to the achievement of a milestone for one of the performance obligations. The Company has also received multiple other milestone payments related to this agreement totaling approximately $30.0 million. These related to the advancement of several of the discovery programs within the collaboration and the addition of an existing Company program into the collaboration. Recursion is eligible for additional milestone payments based on performance progress of the collaboration and tiered royalties ranging from high-single -digits to mid-teens. Recursion could earn a maximum of $555.0 million from all research milestones and $1.8 billion from all development and regulatory milestones.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2024</w:t>
      </w:r>
      <w:r>
        <w:rPr>
          <w:rFonts w:ascii="Arial" w:cs="Arial" w:eastAsia="Arial" w:hAnsi="Arial"/>
          <w:sz w:val="18"/>
          <w:szCs w:val="18"/>
          <w:color w:val="auto"/>
        </w:rPr>
        <w:t>,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at least eight performance obligations related to the small molecule projects. These performance obligations are for performing research and development services for Sanofi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has determined the transaction price to be $ 152.9 million, for the initial performance obligations, comprised of the upfront payment, several milestones that have been achieved and estimated additional target exercises. Prior to the three months ended June 30, 2025, Recursion had fully constrained the $ 7.0 million variable consideration milestone. Recursion is now recognizing the milestone as part of the transaction price over the completion period for the related performance obligation. Recursion has fully constrained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milestone fees were allocated to related performance obligation as the terms of the variable consideration related specifically to Recursion’s efforts to satisfy the related performance obligation. The Company recognizes revenue over time based on costs incurred relative to total expected costs to perform the research and development services. Recursion determined that this method provides a faithful depiction of the transfer of control to the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is unable to estimate the completion date of the performance obligations due to the current stage of work.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KGaA (Merck)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September 2023</w:t>
      </w:r>
      <w:r>
        <w:rPr>
          <w:rFonts w:ascii="Arial" w:cs="Arial" w:eastAsia="Arial" w:hAnsi="Arial"/>
          <w:sz w:val="18"/>
          <w:szCs w:val="18"/>
          <w:color w:val="auto"/>
        </w:rPr>
        <w:t>, the Company and Merck entered into a collaboration agreement to discover novel small molecule drug candidates across oncology, neuroinflammation and immunology. The collaboration utilizes the Company’s AI platform and the Company is performing drug design and discovery while Merck will be assuming responsibility for the preclinical and clinical development.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jc w:val="both"/>
        <w:ind w:right="320"/>
        <w:spacing w:after="0" w:line="258" w:lineRule="auto"/>
        <w:rPr>
          <w:sz w:val="20"/>
          <w:szCs w:val="20"/>
          <w:color w:val="auto"/>
        </w:rPr>
      </w:pPr>
      <w:r>
        <w:rPr>
          <w:rFonts w:ascii="Arial" w:cs="Arial" w:eastAsia="Arial" w:hAnsi="Arial"/>
          <w:sz w:val="18"/>
          <w:szCs w:val="18"/>
          <w:color w:val="auto"/>
        </w:rPr>
        <w:t>The Company received a $20.1 million non-refundable upfront payment. Recursion is eligible for additional milestone payments based on performance progress of the collaboration and tiered royalties from the mid-single-digits to low-double-digits. The Company could earn a maximum of $73.0 million for discovery, development and sales milestones per project.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1E1E1E"/>
        </w:rPr>
        <w:t>November 2024</w:t>
      </w:r>
      <w:r>
        <w:rPr>
          <w:rFonts w:ascii="Arial" w:cs="Arial" w:eastAsia="Arial" w:hAnsi="Arial"/>
          <w:sz w:val="18"/>
          <w:szCs w:val="18"/>
          <w:color w:val="auto"/>
        </w:rPr>
        <w:t>, Recursion acquired Exscientia as part of an acquisition. See Note 4, “Acquisitions” for additional information. As such, the initial Recursion accounting analysis for this transaction was done as of the business combination date as if Recursion had originated the contract. This agreement represents a transaction with a customer and therefore is accounted for in accordance with ASC 606. Recursion has determined that it has three performance obligations related to each project in the partnership. These performance obligations are for performing research and development services for Merck to design small molecules and perform lead optimization activities.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Company has determined the transaction price to be $20.1 million, for the initial performance obligations, comprised of the upfront payment. Recursion will fully constrain the amounts of remaining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transaction price was allocated to the performance obligations based on the estimated relative stand-alone selling price of each performance obligation as determined using an expected cost plus margin approach.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number of projects to be performed, the number of substitutions related to those projects, length of time required, service hours performed by Company employees and materials costs. A significant change in these estimates could have a material effect on the timing and amount of revenue recognized in future periods. Recursion was unable to estimate the completion date of the performance obligations due to the current stage of work.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Description</w:t>
      </w:r>
    </w:p>
    <w:p>
      <w:pPr>
        <w:spacing w:after="0" w:line="2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In December 2021, Recursion entered into a collaboration and license agreement with Roche and Genentech (collectively referred to as Roche). Recursion is constructing, using the Company’s imaging technology and proprietary machine-learning algorithms, unique maps of the inferred relationships amongst perturbation</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phenotypes in a given cellular context with the goal to discover and develop therapeutic small molecule programs in a gastrointestinal cancer indication and in key areas of neuroscience. Roche and Recursion will collaborate to select certain novel inferences with respect to small molecules or targets generated from the Phenomaps for further validation and optimization as collaboration programs. Roche and Recursion may also combine sequencing datasets from Roche with Recursion’s Phenomaps and collaborate to generate new algorithms to produce multi-modal maps from which additional collaboration programs may be initiated. For every collaboration program that successfully identifies potential therapeutic small molecules or validates a target, Roche will have an option to obtain an exclusive license to develop and commercialize such potential therapeutic small molecules or to exploit such target in the applicable exclusive field.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Pricing</w:t>
      </w:r>
    </w:p>
    <w:p>
      <w:pPr>
        <w:spacing w:after="0" w:line="2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January 2022, Recursion received a $150.0 million non-refundable upfront payment from the Company’s collaboration with Roche. In September 2024, Recursion received a $30.0 million milestone payment (the “acceptance fee”), which was an acceptance fee related to the first accepted neuroscience Phenomap. Recursion is eligible for additional milestone payments based on performance progress of the collaboration. Each of the Phenomaps requested by Roche and created by Recursion may be subject to either an initiation fee, acceptance fee or both. Such fees could exceed $250.0 million for 16 accepted Phenomaps. In addition, for a period of time after Roche’s acceptance of certain Phenomaps, Roche will have the option to obtain, subject to payment of an exercise fee, rights to use outside the collaboration the raw images generated in the course of creating those Phenomaps. If Roche exercises its external use option for all 12 eligible Phenomaps, Roche’s associated exercise fee payments to Recursion could exceed $250.0 million. Under the collaboration, Roche may initiate up to 40 programs, each of which, if successfully developed and commercialized, could yield more than $300.0 million in development, commercialization and net revenue milestones for Recursion, as well as tiered royalties on net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agreement represents a transaction with a customer and therefore is accounted for in accordance with ASC 606. Recursion has determined that it has three performance obligations, one related to gastrointestinal cancer and two in neuroscience. These performance obligations are for performing research and development services for Roche to identify targets and medicines. The performance obligations also include potential licenses related to the intellectual property. The Company concluded that licenses within the contract are not distinct from the research and development services as they are interrelated due to the fact that the research and development services significantly impact the potential licenses. Any additional services are considered customer options and will be considered as separate contracts for accounting purposes.</w:t>
      </w: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has determined the transaction price to be $180.0 million, comprised of the upfront payment and the acceptance fee. Prior to the three months ended September 30, 2024, Recursion had fully constrained the $30.0 million variable consideration acceptance fee. As a result of Roche’s acceptance of the neuroscience Phenomap, Recursion is now recognizing the acceptance fee as part of the transaction price over the completion period of one of the neuroscience performance obligations. Recursion has fully constrained the remaining amounts of variable consideration to be received from potential milestones considering the stage of development and the risks associated with the remaining development required to achieve each milestone. Recursion will re-evaluate the transaction price each reporting period.</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transaction price was generally allocated to the performance obligations based on the estimated relative stand-alone selling price of each performance obligation as determined using an expected cost plus margin approach. The acceptance fee was allocated to one of the neuroscience performance obligations as the terms of the variable consideration related specifically to Recursion’s efforts to satisfy this performance obligation. The Company recognizes revenue over time based on costs incurred relative to total expected costs to perform the research and development services. Recursion determined that this method provides a faithful depiction of the transfer of control to the customer. This method of recognizing revenue requires the Company to make estimates of total costs to provide the services required under the performance obligations. Significant inputs used to determine the total costs included the length of time required, service hours performed by Company employees and materials costs. A significant change in these estimates could have a material effect on the timing and amount of revenue recognized in future periods. Recursion has estimated the completion of the performance obligations by 2026.</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Revenue Disclosures</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revenue recognized during the three and nine months ended September 30, 2025, $4.5 million and $36.6 million was included in the unearned revenue balance as of December 31, 2024, respectively. Of the revenue recognized during the three and nine months ended September 30, 2024, $4.1 million and $29.0 million was included in the unearned revenue balance as of December 31, 2023, respectively. Revenue recognized was from the upfront and variable consideration payments received from the related contracts, which decreased the aggregate unearned revenue recognized. As of September 30, 2025, the Company had $5.6 million of costs incurred to fulfill a contract on its Condensed Consolidated Balance Sheet within “Other Current Assets.”</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Unearned revenue was classified as short-term and long-term on the Condensed Consolidated Balance Sheets based on the Company’s estimate of revenue that will be recognized during the next twelve months.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2021, the Board of Directors and the stockholders of the Company adopted the 2021 Equity Incentive Plan (the 2021 Plan). The Company may grant stock options, restricted stock units (RSUs), stock appreciation rights, restricted stock awards and other forms of stock-based compensation. As of September 30, 2025, 13.3 million shares of Class A common stock were available for grant in the 2021 plan. In November 2024, the Board of Directors and the stockholders of the Company adopted the 2024 Inducement Equity Incentive Plan (the 2024 Plan) as part of the Exscientia acquisition. See Note 4, “Acquisitions” for additional information. As of September 30, 2025, 11.3 million shares of Class A common stock were available for grant in the 2024 plan.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stock-based compensation expense for employees and non-employees within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8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18"/>
                <w:szCs w:val="18"/>
                <w:color w:val="auto"/>
              </w:rPr>
            </w:pPr>
          </w:p>
        </w:tc>
        <w:tc>
          <w:tcPr>
            <w:tcW w:w="21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8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4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14,906</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9,194</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46,795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25,141</w:t>
            </w:r>
          </w:p>
        </w:tc>
      </w:tr>
      <w:tr>
        <w:trPr>
          <w:trHeight w:val="230"/>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5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34,911</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21,470</w:t>
            </w:r>
          </w:p>
        </w:tc>
      </w:tr>
      <w:tr>
        <w:trPr>
          <w:trHeight w:val="22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25,044</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17,743</w:t>
            </w:r>
          </w:p>
        </w:tc>
        <w:tc>
          <w:tcPr>
            <w:tcW w:w="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86,433</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49,211</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Stock options are primarily granted to executive leaders at the Company, generally vest over four years and expire no later than 10 years from the date of grant.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nine months ended September 30, 2025 was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Weighted-Average</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rPr>
              <w:t>Weighted-Average</w:t>
            </w: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480" w:type="dxa"/>
            <w:vAlign w:val="bottom"/>
            <w:vMerge w:val="restart"/>
          </w:tcPr>
          <w:p>
            <w:pPr>
              <w:jc w:val="right"/>
              <w:ind w:right="411"/>
              <w:spacing w:after="0"/>
              <w:rPr>
                <w:sz w:val="20"/>
                <w:szCs w:val="20"/>
                <w:color w:val="auto"/>
              </w:rPr>
            </w:pPr>
            <w:r>
              <w:rPr>
                <w:rFonts w:ascii="Arial" w:cs="Arial" w:eastAsia="Arial" w:hAnsi="Arial"/>
                <w:sz w:val="16"/>
                <w:szCs w:val="16"/>
                <w:b w:val="1"/>
                <w:bCs w:val="1"/>
                <w:color w:val="auto"/>
              </w:rPr>
              <w:t>Shares</w:t>
            </w:r>
          </w:p>
        </w:tc>
        <w:tc>
          <w:tcPr>
            <w:tcW w:w="1120" w:type="dxa"/>
            <w:vAlign w:val="bottom"/>
          </w:tcPr>
          <w:p>
            <w:pPr>
              <w:jc w:val="center"/>
              <w:ind w:left="355"/>
              <w:spacing w:after="0" w:line="162" w:lineRule="exact"/>
              <w:rPr>
                <w:sz w:val="20"/>
                <w:szCs w:val="20"/>
                <w:color w:val="auto"/>
              </w:rPr>
            </w:pPr>
            <w:r>
              <w:rPr>
                <w:rFonts w:ascii="Arial" w:cs="Arial" w:eastAsia="Arial" w:hAnsi="Arial"/>
                <w:sz w:val="16"/>
                <w:szCs w:val="16"/>
                <w:b w:val="1"/>
                <w:bCs w:val="1"/>
                <w:color w:val="auto"/>
              </w:rPr>
              <w:t>Exercise</w:t>
            </w:r>
          </w:p>
        </w:tc>
        <w:tc>
          <w:tcPr>
            <w:tcW w:w="460" w:type="dxa"/>
            <w:vAlign w:val="bottom"/>
          </w:tcPr>
          <w:p>
            <w:pPr>
              <w:spacing w:after="0"/>
              <w:rPr>
                <w:sz w:val="14"/>
                <w:szCs w:val="14"/>
                <w:color w:val="auto"/>
              </w:rPr>
            </w:pPr>
          </w:p>
        </w:tc>
        <w:tc>
          <w:tcPr>
            <w:tcW w:w="2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Remaining Contractual Life</w:t>
            </w: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 thousands except share data and per share amounts)</w:t>
            </w:r>
          </w:p>
        </w:tc>
        <w:tc>
          <w:tcPr>
            <w:tcW w:w="14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jc w:val="center"/>
              <w:ind w:left="355"/>
              <w:spacing w:after="0"/>
              <w:rPr>
                <w:sz w:val="20"/>
                <w:szCs w:val="20"/>
                <w:color w:val="auto"/>
              </w:rPr>
            </w:pPr>
            <w:r>
              <w:rPr>
                <w:rFonts w:ascii="Arial" w:cs="Arial" w:eastAsia="Arial" w:hAnsi="Arial"/>
                <w:sz w:val="16"/>
                <w:szCs w:val="16"/>
                <w:b w:val="1"/>
                <w:bCs w:val="1"/>
                <w:color w:val="auto"/>
              </w:rPr>
              <w:t>Price</w:t>
            </w: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21,941,495</w:t>
            </w:r>
          </w:p>
        </w:tc>
        <w:tc>
          <w:tcPr>
            <w:tcW w:w="1120" w:type="dxa"/>
            <w:vAlign w:val="bottom"/>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5.40</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62,685</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3,340,822</w:t>
            </w:r>
          </w:p>
        </w:tc>
        <w:tc>
          <w:tcPr>
            <w:tcW w:w="1120" w:type="dxa"/>
            <w:vAlign w:val="bottom"/>
          </w:tcPr>
          <w:p>
            <w:pPr>
              <w:spacing w:after="0"/>
              <w:rPr>
                <w:sz w:val="19"/>
                <w:szCs w:val="19"/>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7.08</w:t>
            </w:r>
          </w:p>
        </w:tc>
        <w:tc>
          <w:tcPr>
            <w:tcW w:w="2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(2,305,626)</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6"/>
              </w:rPr>
              <w:t>8.81</w:t>
            </w:r>
          </w:p>
        </w:tc>
        <w:tc>
          <w:tcPr>
            <w:tcW w:w="2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(4,519,592)</w:t>
            </w: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1.08</w:t>
            </w:r>
          </w:p>
        </w:tc>
        <w:tc>
          <w:tcPr>
            <w:tcW w:w="2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24,350</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18,457,099</w:t>
            </w:r>
          </w:p>
        </w:tc>
        <w:tc>
          <w:tcPr>
            <w:tcW w:w="1120" w:type="dxa"/>
            <w:vAlign w:val="bottom"/>
            <w:tcBorders>
              <w:bottom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6.52</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20,246</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Exercisable as of September 30, 2025</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10,189,094</w:t>
            </w:r>
          </w:p>
        </w:tc>
        <w:tc>
          <w:tcPr>
            <w:tcW w:w="1120" w:type="dxa"/>
            <w:vAlign w:val="bottom"/>
            <w:tcBorders>
              <w:bottom w:val="single" w:sz="8" w:color="auto"/>
            </w:tcBorders>
          </w:tcPr>
          <w:p>
            <w:pPr>
              <w:jc w:val="right"/>
              <w:ind w:right="895"/>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6"/>
              </w:rPr>
              <w:t>6.64</w:t>
            </w:r>
          </w:p>
        </w:tc>
        <w:tc>
          <w:tcPr>
            <w:tcW w:w="2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34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fair value of options granted to employees is calculated on the grant date using the Black-Scholes option valuation model. The weighted-average grant-date fair values of stock options granted during the nine months ended September 30, 2025 and 2024 were $4.47 and $5.88,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weighted-average assumptions were used to calculate the grant-date fair value of stock options:</w:t>
      </w:r>
    </w:p>
    <w:p>
      <w:pPr>
        <w:spacing w:after="0" w:line="29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tcBorders>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1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2024</w:t>
            </w:r>
          </w:p>
        </w:tc>
      </w:tr>
      <w:tr>
        <w:trPr>
          <w:trHeight w:val="223"/>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66%</w:t>
            </w:r>
          </w:p>
        </w:tc>
        <w:tc>
          <w:tcPr>
            <w:tcW w:w="1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bl>
    <w:p>
      <w:pPr>
        <w:spacing w:after="0" w:line="31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As of September 30, 2025, $ 36.7 million of unrecognized compensation cost related to stock options is expected to be recognized as expense over approximately the next three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Equity awards granted to employees primarily consist of RSUs and generally vest over four years. The weighted-average grant-date fair value of RSUs generally is determined based on the number of units granted and the quoted price of Recursion’s common stock on the date of grant.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Recursion’s RSU activity during the nine months ended September 30,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374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Stock units</w:t>
            </w:r>
          </w:p>
        </w:tc>
        <w:tc>
          <w:tcPr>
            <w:tcW w:w="22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Weighted-average grant</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2024</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27,304,229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3740" w:type="dxa"/>
            <w:vAlign w:val="bottom"/>
          </w:tcPr>
          <w:p>
            <w:pPr>
              <w:jc w:val="right"/>
              <w:spacing w:after="0"/>
              <w:rPr>
                <w:sz w:val="20"/>
                <w:szCs w:val="20"/>
                <w:color w:val="auto"/>
              </w:rPr>
            </w:pPr>
            <w:r>
              <w:rPr>
                <w:rFonts w:ascii="Arial" w:cs="Arial" w:eastAsia="Arial" w:hAnsi="Arial"/>
                <w:sz w:val="18"/>
                <w:szCs w:val="18"/>
                <w:color w:val="auto"/>
              </w:rPr>
              <w:t>14,980,106</w:t>
            </w:r>
          </w:p>
        </w:tc>
        <w:tc>
          <w:tcPr>
            <w:tcW w:w="3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(6,742,946)</w:t>
            </w:r>
          </w:p>
        </w:tc>
        <w:tc>
          <w:tcPr>
            <w:tcW w:w="3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(4,898,723)</w:t>
            </w:r>
          </w:p>
        </w:tc>
        <w:tc>
          <w:tcPr>
            <w:tcW w:w="3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as of September 30, 2025</w:t>
            </w:r>
          </w:p>
        </w:tc>
        <w:tc>
          <w:tcPr>
            <w:tcW w:w="3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30,642,666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3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fair market value of RSUs vested was $50.8 million during the nine months ended September 30, 2025. As of September 30, 2025, $188.1 million of unrecognized compensation cost related to RSUs is expected to be recognized as expense over approximately the next three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did not record any U.S. income tax expense during the three and nine months ended September 30, 2025 and 2024. The Company has historically incurred operating losses and maintains a full valuation allowance against its U.S. net deferred tax assets. Foreign taxes were insignificant during the three and nine months ended September 30, 2025 and 2024.</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U.S. net operating losses (NOLs) and tax credit carry-forwards are subject to review and possible adjustment by the Internal Revenue Service (“IRS”) and may become subject to annual limitation due to ownership changes that occur under Section 382 of the Internal Revenue Code, as amended and similar state provisions.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As of December 31, 2024, the Company completed a Section 382 study and did not identify ownership changes that would subject its NOLs or tax credit carry-forwards to Section 382 limitations.</w:t>
      </w:r>
    </w:p>
    <w:p>
      <w:pPr>
        <w:spacing w:after="0" w:line="21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Company files income tax returns in the United States, Canada and United Kingdom. The Company files state income tax returns in multiple states in the United States among others Utah, California and Massachusetts.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Company is not currently under examination in any of these jurisdictions. The Company is subject to income tax examinations for all US federal and state returns filed since the 2016 tax year, Canadian income tax returns since the 2021 tax year, and UK income tax returns since the 2021 tax year.</w:t>
      </w:r>
    </w:p>
    <w:p>
      <w:pPr>
        <w:spacing w:after="0" w:line="19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July 2025, congress approved the One Big Beautiful Bill Act (OBBBA), which extends, with modifications, many of the expiring provisions of the Tax Cuts and Jobs Act (TCJA) and makes additional changes to tax laws and regulations. OBBBA includes a broad array of changes including new and modified incentives for business investment and Inflation Reduction Act (IRA) tax credits and various limits on business tax deductions. It also impacts the deduction of research and development costs and property, plant and equipment costs. This act did not have a material impact on Recursion’s consolidated balance sheet and statement of operations. The Company will continue to monitor the impact of this Act in future periods.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Loss Per Share</w:t>
      </w:r>
    </w:p>
    <w:p>
      <w:pPr>
        <w:spacing w:after="0" w:line="25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For the three and nine months ended September 30, 2025 and 2024, Recursion calculated net loss per share of Class A, Class B and the Exchangeable common stock.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w:t>
      </w:r>
      <w:r>
        <w:rPr>
          <w:rFonts w:ascii="Arial" w:cs="Arial" w:eastAsia="Arial" w:hAnsi="Arial"/>
          <w:sz w:val="18"/>
          <w:szCs w:val="18"/>
          <w:color w:val="1E1E1E"/>
        </w:rPr>
        <w:t>For the three and</w:t>
      </w:r>
      <w:r>
        <w:rPr>
          <w:rFonts w:ascii="Arial" w:cs="Arial" w:eastAsia="Arial" w:hAnsi="Arial"/>
          <w:sz w:val="18"/>
          <w:szCs w:val="18"/>
          <w:color w:val="auto"/>
        </w:rPr>
        <w:t xml:space="preserve"> nine months ended September 30, 2025 and 2024</w:t>
      </w:r>
      <w:r>
        <w:rPr>
          <w:rFonts w:ascii="Arial" w:cs="Arial" w:eastAsia="Arial" w:hAnsi="Arial"/>
          <w:sz w:val="18"/>
          <w:szCs w:val="18"/>
          <w:color w:val="1E1E1E"/>
        </w:rPr>
        <w:t>, the Company reported a net loss and</w:t>
      </w:r>
      <w:r>
        <w:rPr>
          <w:rFonts w:ascii="Arial" w:cs="Arial" w:eastAsia="Arial" w:hAnsi="Arial"/>
          <w:sz w:val="18"/>
          <w:szCs w:val="18"/>
          <w:color w:val="auto"/>
        </w:rPr>
        <w:t xml:space="preserve"> therefore basic and diluted loss per share were the same.</w:t>
      </w:r>
    </w:p>
    <w:p>
      <w:pPr>
        <w:spacing w:after="0" w:line="21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rights, including the liquidation and dividend rights, of the holders of the Company’s Class A, Class B and the Exchangeable common stock are identical, except with respect to voting. As a result, the undistributed earnings for each period are allocated based on the contractual participation rights of the Class A, Class B and the Exchangeable common stock as if the earnings for the period had been distributed. As the liquidation and dividend rights are identical, the undistributed earnings are allocated on a proportionate basis and the resulting amount per share for Class A, Class B and the Exchangeable common stock was the same during the three and nine months ended September 30, 2025 and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basic and diluted net loss per share of Class A, Class B and Exchangeable common stock: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September</w:t>
            </w:r>
          </w:p>
        </w:tc>
        <w:tc>
          <w:tcPr>
            <w:tcW w:w="160" w:type="dxa"/>
            <w:vAlign w:val="bottom"/>
          </w:tcPr>
          <w:p>
            <w:pPr>
              <w:spacing w:after="0"/>
              <w:rPr>
                <w:sz w:val="18"/>
                <w:szCs w:val="18"/>
                <w:color w:val="auto"/>
              </w:rPr>
            </w:pPr>
          </w:p>
        </w:tc>
        <w:tc>
          <w:tcPr>
            <w:tcW w:w="3140" w:type="dxa"/>
            <w:vAlign w:val="bottom"/>
            <w:gridSpan w:val="3"/>
            <w:vMerge w:val="restart"/>
          </w:tcPr>
          <w:p>
            <w:pPr>
              <w:jc w:val="right"/>
              <w:ind w:right="92"/>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30,</w:t>
            </w:r>
          </w:p>
        </w:tc>
        <w:tc>
          <w:tcPr>
            <w:tcW w:w="1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amounts)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2025</w:t>
            </w: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(162,253)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(536,637)</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(284,755)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446,988,046</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282,583,048</w:t>
            </w: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422,642,653</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253,447,099</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Company excluded the following potential common shares from the computation of diluted net loss per share for the periods indicated because including them would have had an anti-dilutive effect: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3200" w:type="dxa"/>
            <w:vAlign w:val="bottom"/>
            <w:gridSpan w:val="3"/>
          </w:tcPr>
          <w:p>
            <w:pPr>
              <w:ind w:left="120"/>
              <w:spacing w:after="0"/>
              <w:rPr>
                <w:sz w:val="20"/>
                <w:szCs w:val="20"/>
                <w:color w:val="auto"/>
              </w:rPr>
            </w:pPr>
            <w:r>
              <w:rPr>
                <w:rFonts w:ascii="Arial" w:cs="Arial" w:eastAsia="Arial" w:hAnsi="Arial"/>
                <w:sz w:val="18"/>
                <w:szCs w:val="18"/>
                <w:b w:val="1"/>
                <w:bCs w:val="1"/>
                <w:color w:val="auto"/>
              </w:rPr>
              <w:t>Three months ended September</w:t>
            </w:r>
          </w:p>
        </w:tc>
        <w:tc>
          <w:tcPr>
            <w:tcW w:w="326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1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1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2025</w:t>
            </w: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2025</w:t>
            </w: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6,675,698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5,869,795</w:t>
            </w: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8,696,773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8,098,979</w:t>
            </w: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Arial" w:cs="Arial" w:eastAsia="Arial" w:hAnsi="Arial"/>
                <w:sz w:val="18"/>
                <w:szCs w:val="18"/>
                <w:color w:val="auto"/>
              </w:rPr>
              <w:t>Tempus agreement</w:t>
            </w:r>
          </w:p>
        </w:tc>
        <w:tc>
          <w:tcPr>
            <w:tcW w:w="1820" w:type="dxa"/>
            <w:vAlign w:val="bottom"/>
          </w:tcPr>
          <w:p>
            <w:pPr>
              <w:jc w:val="right"/>
              <w:ind w:right="310"/>
              <w:spacing w:after="0"/>
              <w:rPr>
                <w:sz w:val="20"/>
                <w:szCs w:val="20"/>
                <w:color w:val="auto"/>
              </w:rPr>
            </w:pPr>
            <w:r>
              <w:rPr>
                <w:rFonts w:ascii="Arial" w:cs="Arial" w:eastAsia="Arial" w:hAnsi="Arial"/>
                <w:sz w:val="18"/>
                <w:szCs w:val="18"/>
                <w:color w:val="auto"/>
              </w:rPr>
              <w:t>6,582,331</w:t>
            </w:r>
          </w:p>
        </w:tc>
        <w:tc>
          <w:tcPr>
            <w:tcW w:w="1180" w:type="dxa"/>
            <w:vAlign w:val="bottom"/>
          </w:tcPr>
          <w:p>
            <w:pPr>
              <w:jc w:val="right"/>
              <w:spacing w:after="0"/>
              <w:rPr>
                <w:sz w:val="20"/>
                <w:szCs w:val="20"/>
                <w:color w:val="auto"/>
              </w:rPr>
            </w:pPr>
            <w:r>
              <w:rPr>
                <w:rFonts w:ascii="Arial" w:cs="Arial" w:eastAsia="Arial" w:hAnsi="Arial"/>
                <w:sz w:val="18"/>
                <w:szCs w:val="18"/>
                <w:color w:val="auto"/>
              </w:rPr>
              <w:t>6,694,934</w:t>
            </w:r>
          </w:p>
        </w:tc>
        <w:tc>
          <w:tcPr>
            <w:tcW w:w="200" w:type="dxa"/>
            <w:vAlign w:val="bottom"/>
          </w:tcPr>
          <w:p>
            <w:pPr>
              <w:spacing w:after="0"/>
              <w:rPr>
                <w:sz w:val="22"/>
                <w:szCs w:val="22"/>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color w:val="auto"/>
              </w:rPr>
              <w:t>6,582,331</w:t>
            </w:r>
          </w:p>
        </w:tc>
        <w:tc>
          <w:tcPr>
            <w:tcW w:w="1360" w:type="dxa"/>
            <w:vAlign w:val="bottom"/>
          </w:tcPr>
          <w:p>
            <w:pPr>
              <w:jc w:val="right"/>
              <w:spacing w:after="0"/>
              <w:rPr>
                <w:sz w:val="20"/>
                <w:szCs w:val="20"/>
                <w:color w:val="auto"/>
              </w:rPr>
            </w:pPr>
            <w:r>
              <w:rPr>
                <w:rFonts w:ascii="Arial" w:cs="Arial" w:eastAsia="Arial" w:hAnsi="Arial"/>
                <w:sz w:val="18"/>
                <w:szCs w:val="18"/>
                <w:color w:val="auto"/>
              </w:rPr>
              <w:t>6,694,934</w:t>
            </w:r>
          </w:p>
        </w:tc>
        <w:tc>
          <w:tcPr>
            <w:tcW w:w="0" w:type="dxa"/>
            <w:vAlign w:val="bottom"/>
          </w:tcPr>
          <w:p>
            <w:pPr>
              <w:spacing w:after="0"/>
              <w:rPr>
                <w:sz w:val="1"/>
                <w:szCs w:val="1"/>
                <w:color w:val="auto"/>
              </w:rPr>
            </w:pPr>
          </w:p>
        </w:tc>
      </w:tr>
      <w:tr>
        <w:trPr>
          <w:trHeight w:val="256"/>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Contingent stock relating to RE Ventures I transaction</w:t>
            </w:r>
          </w:p>
        </w:tc>
        <w:tc>
          <w:tcPr>
            <w:tcW w:w="18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1,250,621</w:t>
            </w:r>
          </w:p>
        </w:tc>
        <w:tc>
          <w:tcPr>
            <w:tcW w:w="138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9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421,455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14,508,650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12,564,729</w:t>
            </w:r>
          </w:p>
        </w:tc>
        <w:tc>
          <w:tcPr>
            <w:tcW w:w="2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15,700,559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14,793,913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consists of the following three levels:</w:t>
      </w:r>
    </w:p>
    <w:p>
      <w:pPr>
        <w:spacing w:after="0" w:line="252" w:lineRule="exact"/>
        <w:rPr>
          <w:sz w:val="20"/>
          <w:szCs w:val="20"/>
          <w:color w:val="auto"/>
        </w:rPr>
      </w:pPr>
    </w:p>
    <w:p>
      <w:pPr>
        <w:ind w:left="660" w:right="3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that the company has the ability to access;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spacing w:after="0" w:line="1" w:lineRule="exact"/>
        <w:rPr>
          <w:rFonts w:ascii="Arial" w:cs="Arial" w:eastAsia="Arial" w:hAnsi="Arial"/>
          <w:sz w:val="18"/>
          <w:szCs w:val="18"/>
          <w:color w:val="auto"/>
        </w:rPr>
      </w:pPr>
    </w:p>
    <w:p>
      <w:pPr>
        <w:ind w:left="660" w:right="120" w:hanging="328"/>
        <w:spacing w:after="0" w:line="26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9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is required to maintain a cash balance in a collateralized account to secure the Company’s credit cards. Additionally, the Company holds restricted cash related to an outstanding letter of credit issued by J.P. Morgan, which was obtained to secure certain Company obligations relating to tenant improvements. Recursion also holds restricted cash as required by a lease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assets and liabilities that are measured at fair value on a recurring basis: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Basis of fair value measurement</w:t>
            </w:r>
          </w:p>
        </w:tc>
      </w:tr>
      <w:tr>
        <w:trPr>
          <w:trHeight w:val="25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September 30, 2025</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8"/>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5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436,675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436,675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223,161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223,161</w:t>
            </w:r>
          </w:p>
        </w:tc>
        <w:tc>
          <w:tcPr>
            <w:tcW w:w="26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667,145</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667,145</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Basis of fair value measurement</w:t>
            </w: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December 31, 2024</w:t>
            </w: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3</w:t>
            </w:r>
          </w:p>
        </w:tc>
      </w:tr>
      <w:tr>
        <w:trPr>
          <w:trHeight w:val="218"/>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5"/>
        </w:trPr>
        <w:tc>
          <w:tcPr>
            <w:tcW w:w="37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29"/>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198,050</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198,050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5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235,812</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235,812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820"/>
              <w:spacing w:after="0"/>
              <w:rPr>
                <w:sz w:val="20"/>
                <w:szCs w:val="20"/>
                <w:color w:val="auto"/>
              </w:rPr>
            </w:pPr>
            <w:r>
              <w:rPr>
                <w:rFonts w:ascii="Arial" w:cs="Arial" w:eastAsia="Arial" w:hAnsi="Arial"/>
                <w:sz w:val="18"/>
                <w:szCs w:val="18"/>
                <w:color w:val="auto"/>
              </w:rPr>
              <w:t>— $</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Bank deposits</w:t>
            </w:r>
          </w:p>
        </w:tc>
        <w:tc>
          <w:tcPr>
            <w:tcW w:w="15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160,487</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160,487</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w:t>
            </w:r>
          </w:p>
        </w:tc>
        <w:tc>
          <w:tcPr>
            <w:tcW w:w="1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48"/>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603,024</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addition to the financial instruments that are recognized at fair value on the Condensed Consolidated Balance Sheet, the Company has certain financial instruments that are recognized at amortized cost or some basis other than fair value. The carrying amount of these instruments are considered to be representative of their approximate fair values.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financial instruments that are not measured at fair value: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4"/>
          </w:tcPr>
          <w:p>
            <w:pPr>
              <w:ind w:left="1320"/>
              <w:spacing w:after="0"/>
              <w:rPr>
                <w:sz w:val="20"/>
                <w:szCs w:val="20"/>
                <w:color w:val="auto"/>
              </w:rPr>
            </w:pPr>
            <w:r>
              <w:rPr>
                <w:rFonts w:ascii="Arial" w:cs="Arial" w:eastAsia="Arial" w:hAnsi="Arial"/>
                <w:sz w:val="16"/>
                <w:szCs w:val="16"/>
                <w:b w:val="1"/>
                <w:bCs w:val="1"/>
                <w:color w:val="auto"/>
              </w:rPr>
              <w:t>Book values</w:t>
            </w:r>
          </w:p>
        </w:tc>
        <w:tc>
          <w:tcPr>
            <w:tcW w:w="180" w:type="dxa"/>
            <w:vAlign w:val="bottom"/>
          </w:tcPr>
          <w:p>
            <w:pPr>
              <w:spacing w:after="0"/>
              <w:rPr>
                <w:sz w:val="18"/>
                <w:szCs w:val="18"/>
                <w:color w:val="auto"/>
              </w:rPr>
            </w:pPr>
          </w:p>
        </w:tc>
        <w:tc>
          <w:tcPr>
            <w:tcW w:w="3780" w:type="dxa"/>
            <w:vAlign w:val="bottom"/>
            <w:gridSpan w:val="3"/>
          </w:tcPr>
          <w:p>
            <w:pPr>
              <w:jc w:val="right"/>
              <w:ind w:right="1472"/>
              <w:spacing w:after="0"/>
              <w:rPr>
                <w:sz w:val="20"/>
                <w:szCs w:val="20"/>
                <w:color w:val="auto"/>
              </w:rPr>
            </w:pPr>
            <w:r>
              <w:rPr>
                <w:rFonts w:ascii="Arial" w:cs="Arial" w:eastAsia="Arial" w:hAnsi="Arial"/>
                <w:sz w:val="16"/>
                <w:szCs w:val="16"/>
                <w:b w:val="1"/>
                <w:bCs w:val="1"/>
                <w:color w:val="auto"/>
              </w:rPr>
              <w:t>Fair values</w:t>
            </w:r>
          </w:p>
        </w:tc>
        <w:tc>
          <w:tcPr>
            <w:tcW w:w="0" w:type="dxa"/>
            <w:vAlign w:val="bottom"/>
          </w:tcPr>
          <w:p>
            <w:pPr>
              <w:spacing w:after="0"/>
              <w:rPr>
                <w:sz w:val="1"/>
                <w:szCs w:val="1"/>
                <w:color w:val="auto"/>
              </w:rPr>
            </w:pPr>
          </w:p>
        </w:tc>
      </w:tr>
      <w:tr>
        <w:trPr>
          <w:trHeight w:val="21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2025</w:t>
            </w:r>
          </w:p>
        </w:tc>
        <w:tc>
          <w:tcPr>
            <w:tcW w:w="2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6"/>
                <w:szCs w:val="16"/>
                <w:b w:val="1"/>
                <w:bCs w:val="1"/>
                <w:color w:val="auto"/>
              </w:rPr>
              <w:t>September 30, 2025</w:t>
            </w:r>
          </w:p>
        </w:tc>
        <w:tc>
          <w:tcPr>
            <w:tcW w:w="22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2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current</w:t>
            </w:r>
          </w:p>
        </w:tc>
        <w:tc>
          <w:tcPr>
            <w:tcW w:w="16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78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760" w:type="dxa"/>
            <w:vAlign w:val="bottom"/>
            <w:vMerge w:val="continue"/>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line="176" w:lineRule="exact"/>
              <w:rPr>
                <w:sz w:val="20"/>
                <w:szCs w:val="20"/>
                <w:color w:val="auto"/>
              </w:rPr>
            </w:pPr>
            <w:r>
              <w:rPr>
                <w:rFonts w:ascii="Arial" w:cs="Arial" w:eastAsia="Arial" w:hAnsi="Arial"/>
                <w:sz w:val="18"/>
                <w:szCs w:val="18"/>
                <w:color w:val="auto"/>
              </w:rPr>
              <w:t>Notes payable and financing lease</w:t>
            </w:r>
          </w:p>
        </w:tc>
        <w:tc>
          <w:tcPr>
            <w:tcW w:w="16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11,902</w:t>
            </w:r>
          </w:p>
        </w:tc>
        <w:tc>
          <w:tcPr>
            <w:tcW w:w="22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19,022</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11,902</w:t>
            </w:r>
          </w:p>
        </w:tc>
        <w:tc>
          <w:tcPr>
            <w:tcW w:w="22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 non-current</w:t>
            </w:r>
          </w:p>
        </w:tc>
        <w:tc>
          <w:tcPr>
            <w:tcW w:w="1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2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loss</w:t>
      </w:r>
    </w:p>
    <w:p>
      <w:pPr>
        <w:spacing w:after="0" w:line="25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Recursion operates as a single operating segment that is managed on a consolidated basis. The Company’s chief operating decision maker is its Chief Executive Officer. The Company’s chief operating decision maker uses segment net loss to evaluate the performance of its segment, analyze financial trends, compare the budget to the actual operating results and make resource allocation decisions. Segment net loss represents the Company’s consolidated net loss. All corporate costs, global function support costs, overhead costs and other shared costs are included within this segment. Other segment items primarily include general and administrative expenses including facilities, information technology, professional fees (including auditing, tax and legal) and insurance.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00" w:type="dxa"/>
            <w:vAlign w:val="bottom"/>
          </w:tcPr>
          <w:p>
            <w:pPr>
              <w:spacing w:after="0"/>
              <w:rPr>
                <w:sz w:val="20"/>
                <w:szCs w:val="20"/>
                <w:color w:val="auto"/>
              </w:rPr>
            </w:pPr>
            <w:r>
              <w:rPr>
                <w:rFonts w:ascii="Arial" w:cs="Arial" w:eastAsia="Arial" w:hAnsi="Arial"/>
                <w:sz w:val="18"/>
                <w:szCs w:val="18"/>
                <w:color w:val="auto"/>
              </w:rPr>
              <w:t>The following table presents Recursion’s segment net loss: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1"/>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24"/>
                <w:szCs w:val="24"/>
                <w:color w:val="auto"/>
              </w:rPr>
            </w:pP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80" w:type="dxa"/>
            <w:vAlign w:val="bottom"/>
            <w:gridSpan w:val="4"/>
          </w:tcPr>
          <w:p>
            <w:pPr>
              <w:jc w:val="center"/>
              <w:ind w:right="48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1"/>
                <w:szCs w:val="21"/>
                <w:color w:val="auto"/>
              </w:rPr>
            </w:pP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3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3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54,293</w:t>
            </w:r>
          </w:p>
        </w:tc>
      </w:tr>
      <w:tr>
        <w:trPr>
          <w:trHeight w:val="270"/>
        </w:trPr>
        <w:tc>
          <w:tcPr>
            <w:tcW w:w="5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Significant segment expenses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Salaries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68,600</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55,515</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235,190</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156,171</w:t>
            </w: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Consumables</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92,725</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54,176</w:t>
            </w:r>
          </w:p>
        </w:tc>
      </w:tr>
      <w:tr>
        <w:trPr>
          <w:trHeight w:val="256"/>
        </w:trPr>
        <w:tc>
          <w:tcPr>
            <w:tcW w:w="5700" w:type="dxa"/>
            <w:vAlign w:val="bottom"/>
          </w:tcPr>
          <w:p>
            <w:pPr>
              <w:ind w:left="20"/>
              <w:spacing w:after="0"/>
              <w:rPr>
                <w:sz w:val="20"/>
                <w:szCs w:val="20"/>
                <w:color w:val="auto"/>
              </w:rPr>
            </w:pPr>
            <w:r>
              <w:rPr>
                <w:rFonts w:ascii="Arial" w:cs="Arial" w:eastAsia="Arial" w:hAnsi="Arial"/>
                <w:sz w:val="18"/>
                <w:szCs w:val="18"/>
                <w:color w:val="auto"/>
              </w:rPr>
              <w:t>Platform</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14,377</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8,330</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36,934</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13,102</w:t>
            </w: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Discovery</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37,049</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58,716</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w:t>
            </w:r>
          </w:p>
        </w:tc>
      </w:tr>
      <w:tr>
        <w:trPr>
          <w:trHeight w:val="256"/>
        </w:trPr>
        <w:tc>
          <w:tcPr>
            <w:tcW w:w="5700" w:type="dxa"/>
            <w:vAlign w:val="bottom"/>
          </w:tcPr>
          <w:p>
            <w:pPr>
              <w:ind w:left="20"/>
              <w:spacing w:after="0"/>
              <w:rPr>
                <w:sz w:val="20"/>
                <w:szCs w:val="20"/>
                <w:color w:val="auto"/>
              </w:rPr>
            </w:pPr>
            <w:r>
              <w:rPr>
                <w:rFonts w:ascii="Arial" w:cs="Arial" w:eastAsia="Arial" w:hAnsi="Arial"/>
                <w:sz w:val="18"/>
                <w:szCs w:val="18"/>
                <w:color w:val="auto"/>
              </w:rPr>
              <w:t>Clinical development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10,814</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9,050</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33,338</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31,966</w:t>
            </w: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64,223</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22,982</w:t>
            </w:r>
          </w:p>
        </w:tc>
      </w:tr>
      <w:tr>
        <w:trPr>
          <w:trHeight w:val="25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segment items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18,901</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22,110</w:t>
            </w:r>
          </w:p>
        </w:tc>
        <w:tc>
          <w:tcPr>
            <w:tcW w:w="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57,815</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52,017</w:t>
            </w:r>
          </w:p>
        </w:tc>
      </w:tr>
      <w:tr>
        <w:trPr>
          <w:trHeight w:val="25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172,202</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98,354</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539,798</w:t>
            </w: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295,236</w:t>
            </w: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rPr>
              <w:t>Other non-operating income (loss), net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9,952</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2,679</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3,005</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9,347</w:t>
            </w:r>
          </w:p>
        </w:tc>
      </w:tr>
      <w:tr>
        <w:trPr>
          <w:trHeight w:val="256"/>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45"/>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segment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162,253</w:t>
            </w:r>
          </w:p>
        </w:tc>
        <w:tc>
          <w:tcPr>
            <w:tcW w:w="3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95,842</w:t>
            </w: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536,637</w:t>
            </w:r>
          </w:p>
        </w:tc>
        <w:tc>
          <w:tcPr>
            <w:tcW w:w="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284,755</w:t>
            </w: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2"/>
        </w:trPr>
        <w:tc>
          <w:tcPr>
            <w:tcW w:w="5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2"/>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Supplemental asset information</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1"/>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expenditures for additions to long-lived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2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32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842"/>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Additional Segment Disclosures</w:t>
            </w: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1"/>
        </w:trPr>
        <w:tc>
          <w:tcPr>
            <w:tcW w:w="9780" w:type="dxa"/>
            <w:vAlign w:val="bottom"/>
            <w:gridSpan w:val="10"/>
          </w:tcPr>
          <w:p>
            <w:pPr>
              <w:spacing w:after="0"/>
              <w:rPr>
                <w:sz w:val="20"/>
                <w:szCs w:val="20"/>
                <w:color w:val="auto"/>
              </w:rPr>
            </w:pPr>
            <w:r>
              <w:rPr>
                <w:rFonts w:ascii="Arial" w:cs="Arial" w:eastAsia="Arial" w:hAnsi="Arial"/>
                <w:sz w:val="18"/>
                <w:szCs w:val="18"/>
                <w:color w:val="auto"/>
              </w:rPr>
              <w:t>Recursion’s revenues are attributed to the following geographic areas based on the location the services are performed:</w:t>
            </w:r>
          </w:p>
        </w:tc>
        <w:tc>
          <w:tcPr>
            <w:tcW w:w="1460" w:type="dxa"/>
            <w:vAlign w:val="bottom"/>
          </w:tcPr>
          <w:p>
            <w:pPr>
              <w:spacing w:after="0"/>
              <w:rPr>
                <w:sz w:val="24"/>
                <w:szCs w:val="24"/>
                <w:color w:val="auto"/>
              </w:rPr>
            </w:pPr>
          </w:p>
        </w:tc>
      </w:tr>
      <w:tr>
        <w:trPr>
          <w:trHeight w:val="253"/>
        </w:trPr>
        <w:tc>
          <w:tcPr>
            <w:tcW w:w="1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40" w:type="dxa"/>
            <w:vAlign w:val="bottom"/>
            <w:gridSpan w:val="4"/>
          </w:tcPr>
          <w:p>
            <w:pPr>
              <w:ind w:left="200"/>
              <w:spacing w:after="0"/>
              <w:rPr>
                <w:sz w:val="20"/>
                <w:szCs w:val="20"/>
                <w:color w:val="auto"/>
              </w:rPr>
            </w:pPr>
            <w:r>
              <w:rPr>
                <w:rFonts w:ascii="Arial" w:cs="Arial" w:eastAsia="Arial" w:hAnsi="Arial"/>
                <w:sz w:val="18"/>
                <w:szCs w:val="18"/>
                <w:b w:val="1"/>
                <w:bCs w:val="1"/>
                <w:color w:val="auto"/>
              </w:rPr>
              <w:t>Three months ended September 30,</w:t>
            </w:r>
          </w:p>
        </w:tc>
        <w:tc>
          <w:tcPr>
            <w:tcW w:w="340" w:type="dxa"/>
            <w:vAlign w:val="bottom"/>
          </w:tcPr>
          <w:p>
            <w:pPr>
              <w:spacing w:after="0"/>
              <w:rPr>
                <w:sz w:val="21"/>
                <w:szCs w:val="21"/>
                <w:color w:val="auto"/>
              </w:rPr>
            </w:pPr>
          </w:p>
        </w:tc>
        <w:tc>
          <w:tcPr>
            <w:tcW w:w="372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2024</w:t>
            </w:r>
          </w:p>
        </w:tc>
      </w:tr>
      <w:tr>
        <w:trPr>
          <w:trHeight w:val="223"/>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6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54,293</w:t>
            </w:r>
          </w:p>
        </w:tc>
      </w:tr>
      <w:tr>
        <w:trPr>
          <w:trHeight w:val="229"/>
        </w:trPr>
        <w:tc>
          <w:tcPr>
            <w:tcW w:w="2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United Kingdom</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4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w:t>
            </w:r>
          </w:p>
        </w:tc>
        <w:tc>
          <w:tcPr>
            <w:tcW w:w="6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26,082</w:t>
            </w:r>
          </w:p>
        </w:tc>
        <w:tc>
          <w:tcPr>
            <w:tcW w:w="2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54,293</w:t>
            </w:r>
          </w:p>
        </w:tc>
      </w:tr>
      <w:tr>
        <w:trPr>
          <w:trHeight w:val="20"/>
        </w:trPr>
        <w:tc>
          <w:tcPr>
            <w:tcW w:w="1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Recursion generates revenue primarily from a single service, research and development services, therefore, the Company does not report additional information on revenue from external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Recursion’s long-lived assets are attributed to the following geographic areas based on their location: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September 30, 2025</w:t>
            </w: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December 31, 2024</w:t>
            </w:r>
          </w:p>
        </w:tc>
      </w:tr>
      <w:tr>
        <w:trPr>
          <w:trHeight w:val="25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78,471</w:t>
            </w: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42,655</w:t>
            </w:r>
          </w:p>
        </w:tc>
        <w:tc>
          <w:tcPr>
            <w:tcW w:w="22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56,332</w:t>
            </w:r>
          </w:p>
        </w:tc>
      </w:tr>
      <w:tr>
        <w:trPr>
          <w:trHeight w:val="25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3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5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1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and Genentech</w:t>
      </w:r>
    </w:p>
    <w:p>
      <w:pPr>
        <w:spacing w:after="0" w:line="2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October 27, 2025, Recursion received notice that Roche accepted the second neuroscience Phenomap under the December 2021 collaboration and license agreement which resulted in a $ 30 million milestone which is an acceptance fee accounted for as variable consideration under ASC 606. See Note 9, “Collaborative Development Contracts” for additional information on the collaboration with Roche. This milestone payment was fully constrained variable consideration at September 30, 2025 due to the uncertainty of the development. The variable consideration is no longer constrained and will be recognized as “Operating Revenue” in the Condensed Consolidated Statements of Operations as part of the transaction price over the completion period of the neuroscience performance obligation. The amount to be earned over the remaining estimated completion period will be recorded in “Unearned Revenue” and “Unearned Revenue, Non-Current” on the Consolidated Balance Sheet, classified as short-term and long-term based on the Company’s estimate of revenue that will be recognized during the next twelve months.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(Citi)</w:t>
      </w:r>
    </w:p>
    <w:p>
      <w:pPr>
        <w:spacing w:after="0" w:line="25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October 2025, Recursion sold 25.3 million shares and received net proceeds of $133.5 million under the Sales Agreement. Pursuant to its terms, the Sales Agreement has completed and no amount remained available for future sales. In total, the Company sold 99.9 million shares and received net proceeds of $491.7 million under the agreement.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r>
        <w:rPr>
          <w:rFonts w:ascii="Arial" w:cs="Arial" w:eastAsia="Arial" w:hAnsi="Arial"/>
          <w:sz w:val="18"/>
          <w:szCs w:val="18"/>
          <w:b w:val="1"/>
          <w:bCs w:val="1"/>
          <w:color w:val="1E1E1E"/>
        </w:rPr>
        <w:t>.</w:t>
      </w:r>
    </w:p>
    <w:p>
      <w:pPr>
        <w:spacing w:after="0" w:line="25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The following is a discussion and analysis of the financial condition of Recursion Pharmaceuticals, Inc. (Recursion, the Company, we, us or our) and the results of operations.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Annual Report on Form 10-K for the year ended December 31, 2024 (the 2024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"Note About Forward-Looking Statements" in this Quarterly Report on Form 10-Q. You should review the disclosure under the heading "Risk Factors" in the 2024 Annual Report and in our subsequent Quarterly Reports on Form 10-Q, including this Quarterly Report on Form 10-Q, for a discussion of important factors that could cause our actual results to differ materially from those anticipated in these forward-looking statements. We assume no obligation to revise or publicly release any revision to any forward-looking statements contained in this Quarterly Report on Form 10-Q, unless required by law.</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Investors and others should note that we announce material financial and other information to our investors using our investor relations website (https://ir.recursion.com/), SEC filings, press releases, public conference calls and webcasts. We use these channels as well as social media and blogs to communicate with our stakeholders and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investor relations website. Information contained in, or that can be accessed through, our website is not a part of, and is not incorporated into, this report.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Recursion is a leading clinical stage TechBio company decoding biology to radically improve lives. We aim to achieve our mission by industrializing drug discovery using the Recursion Operating System (OS), a vertical platform of diverse technologies that enables us to map and navigate trillions of biological, chemical and patient-centric relationships utilizing approximately 65 petabytes of proprietary data. The Recursion OS integrates ‘Real World’ data generated in our own wet-laboratories or by select partners and a ‘World Model’ which is a collection of AI computational models we also build in-house. Today, our scaled ‘wet-lab’ biology, chemistry and patient-centric experimental data feed our ‘dry-lab’ computational tools to identify, validate and translate therapeutic insights, which we can then validate in our wet-lab to both advance drug discovery programs and to generate data to further refine our world model.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a few key factors that differentiate Recursion from other technology-enabled drug discovery companies.</w:t>
      </w:r>
    </w:p>
    <w:p>
      <w:pPr>
        <w:spacing w:after="0" w:line="252" w:lineRule="exact"/>
        <w:rPr>
          <w:sz w:val="20"/>
          <w:szCs w:val="20"/>
          <w:color w:val="auto"/>
        </w:rPr>
      </w:pPr>
    </w:p>
    <w:p>
      <w:pPr>
        <w:ind w:left="660" w:right="160" w:hanging="328"/>
        <w:spacing w:after="0" w:line="254"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Recursion has built a full-stack platform utilizing many biology, chemistry and patient-centric proprietary datasets and modular tools to industrialize drug discovery, while most other competitor companies rely on a point solution to solve one important step in drug discovery. We recognize that drug discovery is made up of many steps and a point solution is insufficient to generate efficiencies across the entire process. To decode biology, we must construct a full-stack technology platform capable of integrating and industrializing many complex workflows.</w:t>
      </w:r>
    </w:p>
    <w:p>
      <w:pPr>
        <w:spacing w:after="0" w:line="2" w:lineRule="exact"/>
        <w:rPr>
          <w:rFonts w:ascii="Arial" w:cs="Arial" w:eastAsia="Arial" w:hAnsi="Arial"/>
          <w:sz w:val="18"/>
          <w:szCs w:val="18"/>
          <w:color w:val="auto"/>
        </w:rPr>
      </w:pPr>
    </w:p>
    <w:p>
      <w:pPr>
        <w:ind w:left="660" w:right="200" w:hanging="328"/>
        <w:spacing w:after="0" w:line="25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Recursion integrates wet-lab and dry-lab capabilities in-house to create a virtuous cycle of iteration. Fit-for-purpose wet-lab experimental data are translated by dry-lab digital tools into in silico hypotheses and testable predictions, which in turn generates more wet-lab data from which improved predictions can be made. Recursion is well positioned compared to companies of a similar stage either focused more specifically on the wet-lab only (traditional biotech or pharma companies) or dry-lab only (companies facing rapidly commoditized algorithms and a challenge differentiating on non-proprietary data).</w:t>
      </w:r>
    </w:p>
    <w:p>
      <w:pPr>
        <w:spacing w:after="0" w:line="2" w:lineRule="exact"/>
        <w:rPr>
          <w:rFonts w:ascii="Arial" w:cs="Arial" w:eastAsia="Arial" w:hAnsi="Arial"/>
          <w:sz w:val="18"/>
          <w:szCs w:val="18"/>
          <w:color w:val="auto"/>
        </w:rPr>
      </w:pPr>
    </w:p>
    <w:p>
      <w:pPr>
        <w:ind w:left="660" w:hanging="328"/>
        <w:spacing w:after="0" w:line="253"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18"/>
          <w:szCs w:val="18"/>
          <w:color w:val="auto"/>
        </w:rPr>
        <w:t>Recursion has achieved a significant scale with respect to its scientific, technological and business endeavors. With 6 high potential clinical and pre-clinical programs across oncology and rare disease indications, four of the largest discovery partnerships in the biopharma industry with Roche and Genentech, Sanofi, Bayer and Merck KGaA and over four technology and data-focused partnerships, Recursion is on the precipice of demonstrating the potential of technology-driven approaches to increase speed, quality and scalability of drug discovery.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leverage the Recursion OS to deliver value in three ways: 1) our own pipeline of clinical and preclinical potential medicines focused in precision oncology, rare disease and other areas of high unmet need; 2) by discovering new medicines with large biopharmaceutical companies in some of the biggest areas of unmet need in medicine like neuroscience and inflammation; and 3) by leveraging our tools, technology and data for the benefit of other partners in targeted and limited ways.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actively advancing key catalysts in our pipeline while demonstrating significant progress in addressing high unmet medical needs. At the same time, we continue to validate various components of the Recursion OS, which has played a role in advancing every program in our portfolio, reinforcing its potential to accelerate drug discovery and development.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Business Highlights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 Internal and Partnered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5863590" cy="3008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Pipeline Updates:</w:t>
      </w:r>
    </w:p>
    <w:p>
      <w:pPr>
        <w:spacing w:after="0" w:line="2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REC-617 (CDK7):</w:t>
      </w:r>
    </w:p>
    <w:p>
      <w:pPr>
        <w:spacing w:after="0" w:line="9" w:lineRule="exact"/>
        <w:rPr>
          <w:rFonts w:ascii="Arial" w:cs="Arial" w:eastAsia="Arial" w:hAnsi="Arial"/>
          <w:sz w:val="18"/>
          <w:szCs w:val="18"/>
          <w:b w:val="1"/>
          <w:bCs w:val="1"/>
          <w:color w:val="auto"/>
        </w:rPr>
      </w:pPr>
    </w:p>
    <w:p>
      <w:pPr>
        <w:ind w:left="1300" w:right="180" w:hanging="320"/>
        <w:spacing w:after="0" w:line="250"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Recursion announced progress in its ELUCIDATE Phase 1/2 trial evaluating REC-617, a precision-designed oral CDK7 inhibitor. The monotherapy dose-escalation study established the maximum tolerated dose (MTD) at 10 mg once-daily, demonstrating a manageable safety profile and preliminary anti-tumor activity consistent with the December 2024 update.</w:t>
      </w:r>
    </w:p>
    <w:p>
      <w:pPr>
        <w:spacing w:after="0" w:line="1" w:lineRule="exact"/>
        <w:rPr>
          <w:rFonts w:ascii="Arial" w:cs="Arial" w:eastAsia="Arial" w:hAnsi="Arial"/>
          <w:sz w:val="18"/>
          <w:szCs w:val="18"/>
          <w:color w:val="auto"/>
        </w:rPr>
      </w:pPr>
    </w:p>
    <w:p>
      <w:pPr>
        <w:ind w:left="1300" w:right="20" w:hanging="320"/>
        <w:spacing w:after="0" w:line="250"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September 29, 2025, 29 heavily pre-treated patients with advanced solid tumors had received REC-617 across six dose levels. Treatment was generally well tolerated, with the most common dose-limiting toxicities (DLTs) being nausea and thrombocytopenia. Grade ≥3 treatment-related adverse events (TRAEs) occurred in 27.6% of patients (n=8), with no Grade 4/5 TRAEs reported. Only 6.9% (n=2) discontinued due to a TRAE. Importantly, REC-617 demonstrated rates of GI-related toxicities consistent with best-in-class potential. Specifically, common GI toxicities with REC-617 treatment were diarrhea (69%), nausea (41%), and vomiting (28%). Toxicities reported for samuraciclib treatment also included diarrhea (82%), nausea (77%), and vomiting (80%) (Coombes et al, 2023).</w:t>
      </w:r>
    </w:p>
    <w:p>
      <w:pPr>
        <w:spacing w:after="0" w:line="2" w:lineRule="exact"/>
        <w:rPr>
          <w:rFonts w:ascii="Arial" w:cs="Arial" w:eastAsia="Arial" w:hAnsi="Arial"/>
          <w:sz w:val="18"/>
          <w:szCs w:val="18"/>
          <w:color w:val="auto"/>
        </w:rPr>
      </w:pPr>
    </w:p>
    <w:p>
      <w:pPr>
        <w:ind w:left="1300" w:right="140" w:hanging="320"/>
        <w:spacing w:after="0" w:line="258" w:lineRule="auto"/>
        <w:tabs>
          <w:tab w:leader="none" w:pos="1296" w:val="left"/>
        </w:tabs>
        <w:numPr>
          <w:ilvl w:val="1"/>
          <w:numId w:val="7"/>
        </w:numPr>
        <w:rPr>
          <w:rFonts w:ascii="Arial" w:cs="Arial" w:eastAsia="Arial" w:hAnsi="Arial"/>
          <w:sz w:val="18"/>
          <w:szCs w:val="18"/>
          <w:color w:val="auto"/>
        </w:rPr>
      </w:pPr>
      <w:r>
        <w:rPr>
          <w:rFonts w:ascii="Arial" w:cs="Arial" w:eastAsia="Arial" w:hAnsi="Arial"/>
          <w:sz w:val="18"/>
          <w:szCs w:val="18"/>
          <w:color w:val="auto"/>
        </w:rPr>
        <w:t>REC-617 has shown early anti-tumor activity, including one confirmed partial response and five cases of stable disease. Pharmacokinetic data support dose-proportional exposure, rapid absorption, and a short half-life (~5 hours), in line with its design as a selective, reversible CDK7 inhibitor.</w:t>
      </w: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300" w:right="20" w:hanging="320"/>
        <w:spacing w:after="0" w:line="262" w:lineRule="auto"/>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ELUCIDATE study has now expanded into 2L+ platinum-resistant ovarian cancer (PROC), with a Phase 2 monotherapy cohort ongoing and a Phase 1 combination arm initiated. Combination regimens include bevacizumab plus paclitaxel or pegylated liposomal doxorubicin (PLD). Recursion is also leveraging Recursion OS insights to explore additional indications and dosing regimens for expansion cohorts.</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REC-7735 (PI3Kα H1047R)</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300" w:right="60" w:hanging="320"/>
        <w:spacing w:after="0" w:line="216" w:lineRule="exact"/>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Recursion announced progress on REC-7735, with nomination as a Development Candidate and IND-enabling studies now underway. REC-7735 is a precision-designed PI3K</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H1047R inhibitor generated using the Recursion OS. In preclinical studies, REC-7735 demonstrated significant tumor regressions at low doses, outperforming approved agents, while maintaining high selectivity (&gt;100-fold) over wild-type PI3K</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to reduce the risk of dose-limiting hyperglycemia.</w:t>
      </w:r>
    </w:p>
    <w:p>
      <w:pPr>
        <w:spacing w:after="0" w:line="1" w:lineRule="exact"/>
        <w:rPr>
          <w:rFonts w:ascii="Arial" w:cs="Arial" w:eastAsia="Arial" w:hAnsi="Arial"/>
          <w:sz w:val="18"/>
          <w:szCs w:val="18"/>
          <w:color w:val="auto"/>
        </w:rPr>
      </w:pPr>
    </w:p>
    <w:p>
      <w:pPr>
        <w:ind w:left="1300" w:right="500" w:hanging="320"/>
        <w:spacing w:after="0" w:line="218" w:lineRule="exact"/>
        <w:tabs>
          <w:tab w:leader="none" w:pos="1296" w:val="left"/>
        </w:tabs>
        <w:numPr>
          <w:ilvl w:val="1"/>
          <w:numId w:val="8"/>
        </w:numPr>
        <w:rPr>
          <w:rFonts w:ascii="Arial" w:cs="Arial" w:eastAsia="Arial" w:hAnsi="Arial"/>
          <w:sz w:val="18"/>
          <w:szCs w:val="18"/>
          <w:color w:val="auto"/>
        </w:rPr>
      </w:pPr>
      <w:r>
        <w:rPr>
          <w:rFonts w:ascii="Arial" w:cs="Arial" w:eastAsia="Arial" w:hAnsi="Arial"/>
          <w:sz w:val="18"/>
          <w:szCs w:val="18"/>
          <w:color w:val="auto"/>
        </w:rPr>
        <w:t>With a differentiated preclinical efficacy and tolerability profile, REC-7735 has the potential to be a best-in-class PI3K</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H1047R inhibitor for breast and other solid tumors harboring this mutation.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Milestones:</w:t>
      </w:r>
    </w:p>
    <w:p>
      <w:pPr>
        <w:spacing w:after="0" w:line="2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REC-4881 (MEK1/2): Additional data in FAP from the Phase 2 TUPELO study expected in December 2025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REC-1245 (RBM39): Early Phase 1 safety and PK monotherapy data expected in 1H26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REC-3565 (MALT1): Early Phase 1 safety and PK monotherapy data expected in 1H27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REC-102 (ENPP1): Potential Phase 1 initiation expected in 2H26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REC-7735 (PI3Kα H1047R): Potential Phase 1 initiation expected in 2H26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Recursion is well on track for over $100 million in milestone payments by end of 2026</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Programs are advancing towards potential development candidate designation over the next 12 months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Multiple neuroscience target validation programs advancing by leveraging the Recursion OS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Discovery Updates:</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the acceptance of the second neuro map and the $30 million milestone from Roche and Genentech, Recursion has now achieved more than $500 million in upfront and milestone payments from its partners. This milestone places Recursion among a small group of pre-commercial biotechnology companies to achieve such scale, underscoring the strength of its partnership strategy. These collaborations not only support the maintenance and expansion of the Recursion OS, but also provide access to insights from leading biopharma companies and the potential for future milestone payments exceeding $10 billion, as well as royalties across indications Recursion may not pursue independently.</w:t>
      </w:r>
    </w:p>
    <w:p>
      <w:pPr>
        <w:spacing w:after="0" w:line="212" w:lineRule="exact"/>
        <w:rPr>
          <w:sz w:val="20"/>
          <w:szCs w:val="20"/>
          <w:color w:val="auto"/>
        </w:rPr>
      </w:pPr>
    </w:p>
    <w:p>
      <w:pPr>
        <w:ind w:left="660" w:right="12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Roche and Genentech: </w:t>
      </w:r>
      <w:r>
        <w:rPr>
          <w:rFonts w:ascii="Arial" w:cs="Arial" w:eastAsia="Arial" w:hAnsi="Arial"/>
          <w:sz w:val="18"/>
          <w:szCs w:val="18"/>
          <w:color w:val="auto"/>
        </w:rPr>
        <w:t>Recursion announced that it has achieved a second $30 million milestone from its partner, Roche and</w:t>
      </w:r>
      <w:r>
        <w:rPr>
          <w:rFonts w:ascii="Arial" w:cs="Arial" w:eastAsia="Arial" w:hAnsi="Arial"/>
          <w:sz w:val="18"/>
          <w:szCs w:val="18"/>
          <w:b w:val="1"/>
          <w:bCs w:val="1"/>
          <w:color w:val="auto"/>
        </w:rPr>
        <w:t xml:space="preserve"> </w:t>
      </w:r>
      <w:r>
        <w:rPr>
          <w:rFonts w:ascii="Arial" w:cs="Arial" w:eastAsia="Arial" w:hAnsi="Arial"/>
          <w:sz w:val="18"/>
          <w:szCs w:val="18"/>
          <w:color w:val="auto"/>
        </w:rPr>
        <w:t>Genentech. The payment follows the acceptance of a novel whole-genome phenotypic map ("phenomap") of microglial cells, which are critical for brain health and implicated in a wide range of neurodegenerative and neuroinflammatory diseases.</w:t>
      </w:r>
    </w:p>
    <w:p>
      <w:pPr>
        <w:spacing w:after="0" w:line="1" w:lineRule="exact"/>
        <w:rPr>
          <w:rFonts w:ascii="Arial" w:cs="Arial" w:eastAsia="Arial" w:hAnsi="Arial"/>
          <w:sz w:val="18"/>
          <w:szCs w:val="18"/>
          <w:color w:val="auto"/>
        </w:rPr>
      </w:pPr>
    </w:p>
    <w:p>
      <w:pPr>
        <w:ind w:left="1300" w:right="14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milestone is part of a larger ongoing 10+ year collaboration to discover novel targets and develop potential therapeutic treatments for up to 40 programs in neuroscience and gastrointestinal oncology.</w:t>
      </w:r>
    </w:p>
    <w:p>
      <w:pPr>
        <w:ind w:left="1300" w:right="460" w:hanging="320"/>
        <w:spacing w:after="0" w:line="250"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Together, Recursion, Roche and Genentech have identified a number of biological insights from the first neuroscience-focused phenomap, that could become novel targets of interest.</w:t>
      </w:r>
    </w:p>
    <w:p>
      <w:pPr>
        <w:ind w:left="1300" w:right="120" w:hanging="320"/>
        <w:spacing w:after="0" w:line="265" w:lineRule="auto"/>
        <w:tabs>
          <w:tab w:leader="none" w:pos="1296" w:val="left"/>
        </w:tabs>
        <w:numPr>
          <w:ilvl w:val="1"/>
          <w:numId w:val="10"/>
        </w:numPr>
        <w:rPr>
          <w:rFonts w:ascii="Arial" w:cs="Arial" w:eastAsia="Arial" w:hAnsi="Arial"/>
          <w:sz w:val="17"/>
          <w:szCs w:val="17"/>
          <w:color w:val="auto"/>
        </w:rPr>
      </w:pPr>
      <w:r>
        <w:rPr>
          <w:rFonts w:ascii="Arial" w:cs="Arial" w:eastAsia="Arial" w:hAnsi="Arial"/>
          <w:sz w:val="17"/>
          <w:szCs w:val="17"/>
          <w:color w:val="auto"/>
        </w:rPr>
        <w:t>Roche and Genentech have already optioned an initial program in gastrointestinal oncology with additional potential targets/programs under exploration based off of 4 whole-genome GI oncology phenomaps accepted by the partner to date.</w:t>
      </w: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date, Recursion has achieved $213 million in upfront and milestone payments through the collaboration.</w:t>
      </w:r>
    </w:p>
    <w:p>
      <w:pPr>
        <w:spacing w:after="0" w:line="9" w:lineRule="exact"/>
        <w:rPr>
          <w:rFonts w:ascii="Arial" w:cs="Arial" w:eastAsia="Arial" w:hAnsi="Arial"/>
          <w:sz w:val="18"/>
          <w:szCs w:val="18"/>
          <w:color w:val="auto"/>
        </w:rPr>
      </w:pPr>
    </w:p>
    <w:p>
      <w:pPr>
        <w:jc w:val="both"/>
        <w:ind w:left="660" w:right="40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Sanofi: </w:t>
      </w:r>
      <w:r>
        <w:rPr>
          <w:rFonts w:ascii="Arial" w:cs="Arial" w:eastAsia="Arial" w:hAnsi="Arial"/>
          <w:sz w:val="18"/>
          <w:szCs w:val="18"/>
          <w:color w:val="auto"/>
        </w:rPr>
        <w:t>Recursion and Sanofi continue to advance multi-target collaboration for up to 15 best-in-class or first-in-class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across oncology and immunology, with $130 million in upfront and milestone payments achieved to date. Each program has the potential for over $300 million in milestone payments.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Sanofi continues to leverage combined Recursion OS 2.0, including phenomics, to identify new program opportunities.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Recursion and Sanofi are further advancing and expanding their joint pipeline across oncology and immunology.</w:t>
      </w:r>
    </w:p>
    <w:p>
      <w:pPr>
        <w:spacing w:after="0" w:line="9" w:lineRule="exact"/>
        <w:rPr>
          <w:rFonts w:ascii="Arial" w:cs="Arial" w:eastAsia="Arial" w:hAnsi="Arial"/>
          <w:sz w:val="18"/>
          <w:szCs w:val="18"/>
          <w:color w:val="auto"/>
        </w:rPr>
      </w:pPr>
    </w:p>
    <w:p>
      <w:pPr>
        <w:ind w:left="1300" w:right="80" w:hanging="320"/>
        <w:spacing w:after="0" w:line="266"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Several programs are continuing to advance towards potential lead series and development candidate designation over the next 12 months.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863590" cy="2708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359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 xml:space="preserve">Recursion OS 2.0: </w:t>
      </w:r>
      <w:r>
        <w:rPr>
          <w:rFonts w:ascii="Arial" w:cs="Arial" w:eastAsia="Arial" w:hAnsi="Arial"/>
          <w:sz w:val="18"/>
          <w:szCs w:val="18"/>
          <w:color w:val="auto"/>
        </w:rPr>
        <w:t>The platform is continuing to drive program development by integrating AI across multimodal biology, precision design,</w:t>
      </w:r>
      <w:r>
        <w:rPr>
          <w:rFonts w:ascii="Arial" w:cs="Arial" w:eastAsia="Arial" w:hAnsi="Arial"/>
          <w:sz w:val="18"/>
          <w:szCs w:val="18"/>
          <w:b w:val="1"/>
          <w:bCs w:val="1"/>
          <w:color w:val="auto"/>
        </w:rPr>
        <w:t xml:space="preserve"> </w:t>
      </w:r>
      <w:r>
        <w:rPr>
          <w:rFonts w:ascii="Arial" w:cs="Arial" w:eastAsia="Arial" w:hAnsi="Arial"/>
          <w:sz w:val="18"/>
          <w:szCs w:val="18"/>
          <w:color w:val="auto"/>
        </w:rPr>
        <w:t>and clinical development—enabling faster, more efficient, and more innovative drug discovery and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and Operations</w:t>
      </w:r>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8"/>
          <w:szCs w:val="18"/>
          <w:color w:val="1E1E1E"/>
        </w:rPr>
        <w:t>2023</w:t>
      </w:r>
      <w:r>
        <w:rPr>
          <w:rFonts w:ascii="Arial" w:cs="Arial" w:eastAsia="Arial" w:hAnsi="Arial"/>
          <w:sz w:val="18"/>
          <w:szCs w:val="18"/>
          <w:color w:val="auto"/>
        </w:rPr>
        <w:t xml:space="preserve">, our financing and operations activities include the following: </w:t>
      </w:r>
      <w:r>
        <w:rPr>
          <w:rFonts w:ascii="Arial" w:cs="Arial" w:eastAsia="Arial" w:hAnsi="Arial"/>
          <w:sz w:val="18"/>
          <w:szCs w:val="18"/>
          <w:color w:val="1E1E1E"/>
        </w:rPr>
        <w:t>In</w:t>
      </w:r>
      <w:r>
        <w:rPr>
          <w:rFonts w:ascii="Arial" w:cs="Arial" w:eastAsia="Arial" w:hAnsi="Arial"/>
          <w:sz w:val="18"/>
          <w:szCs w:val="18"/>
          <w:color w:val="auto"/>
        </w:rPr>
        <w:t xml:space="preserve"> July 2023</w:t>
      </w:r>
      <w:r>
        <w:rPr>
          <w:rFonts w:ascii="Arial" w:cs="Arial" w:eastAsia="Arial" w:hAnsi="Arial"/>
          <w:sz w:val="18"/>
          <w:szCs w:val="18"/>
          <w:color w:val="1E1E1E"/>
        </w:rPr>
        <w:t>, we issued an aggregate of</w:t>
      </w:r>
      <w:r>
        <w:rPr>
          <w:rFonts w:ascii="Arial" w:cs="Arial" w:eastAsia="Arial" w:hAnsi="Arial"/>
          <w:sz w:val="18"/>
          <w:szCs w:val="18"/>
          <w:color w:val="auto"/>
        </w:rPr>
        <w:t xml:space="preserve"> 7.7 million </w:t>
      </w:r>
      <w:r>
        <w:rPr>
          <w:rFonts w:ascii="Arial" w:cs="Arial" w:eastAsia="Arial" w:hAnsi="Arial"/>
          <w:sz w:val="18"/>
          <w:szCs w:val="18"/>
          <w:color w:val="1E1E1E"/>
        </w:rPr>
        <w:t>shares of our</w:t>
      </w:r>
      <w:r>
        <w:rPr>
          <w:rFonts w:ascii="Arial" w:cs="Arial" w:eastAsia="Arial" w:hAnsi="Arial"/>
          <w:sz w:val="18"/>
          <w:szCs w:val="18"/>
          <w:color w:val="auto"/>
        </w:rPr>
        <w:t xml:space="preserve"> </w:t>
      </w:r>
      <w:r>
        <w:rPr>
          <w:rFonts w:ascii="Arial" w:cs="Arial" w:eastAsia="Arial" w:hAnsi="Arial"/>
          <w:sz w:val="18"/>
          <w:szCs w:val="18"/>
          <w:color w:val="1E1E1E"/>
        </w:rPr>
        <w:t xml:space="preserve">Class A common stock at a purchase price of $6.49 per share in the 2023 Private Placement with NVIDIA Corporation for net proceeds of approximately $49.9 million. In </w:t>
      </w:r>
      <w:r>
        <w:rPr>
          <w:rFonts w:ascii="Arial" w:cs="Arial" w:eastAsia="Arial" w:hAnsi="Arial"/>
          <w:sz w:val="18"/>
          <w:szCs w:val="18"/>
          <w:color w:val="000000"/>
        </w:rPr>
        <w:t>August 2023</w:t>
      </w:r>
      <w:r>
        <w:rPr>
          <w:rFonts w:ascii="Arial" w:cs="Arial" w:eastAsia="Arial" w:hAnsi="Arial"/>
          <w:sz w:val="18"/>
          <w:szCs w:val="18"/>
          <w:color w:val="1E1E1E"/>
        </w:rPr>
        <w:t>, we entered into an O</w:t>
      </w:r>
      <w:r>
        <w:rPr>
          <w:rFonts w:ascii="Arial" w:cs="Arial" w:eastAsia="Arial" w:hAnsi="Arial"/>
          <w:sz w:val="18"/>
          <w:szCs w:val="18"/>
          <w:color w:val="000000"/>
        </w:rPr>
        <w:t>pen Market Sales Agreement with Jefferies LLC to provide for the offering,</w:t>
      </w:r>
      <w:r>
        <w:rPr>
          <w:rFonts w:ascii="Arial" w:cs="Arial" w:eastAsia="Arial" w:hAnsi="Arial"/>
          <w:sz w:val="18"/>
          <w:szCs w:val="18"/>
          <w:color w:val="1E1E1E"/>
        </w:rPr>
        <w:t xml:space="preserve"> </w:t>
      </w:r>
      <w:r>
        <w:rPr>
          <w:rFonts w:ascii="Arial" w:cs="Arial" w:eastAsia="Arial" w:hAnsi="Arial"/>
          <w:sz w:val="18"/>
          <w:szCs w:val="18"/>
          <w:color w:val="000000"/>
        </w:rPr>
        <w:t xml:space="preserve">issuance and sale of up to an aggregate amount of </w:t>
      </w:r>
      <w:r>
        <w:rPr>
          <w:rFonts w:ascii="Arial" w:cs="Arial" w:eastAsia="Arial" w:hAnsi="Arial"/>
          <w:sz w:val="18"/>
          <w:szCs w:val="18"/>
          <w:color w:val="1E1E1E"/>
        </w:rPr>
        <w:t>$300.0 million</w:t>
      </w:r>
      <w:r>
        <w:rPr>
          <w:rFonts w:ascii="Arial" w:cs="Arial" w:eastAsia="Arial" w:hAnsi="Arial"/>
          <w:sz w:val="18"/>
          <w:szCs w:val="18"/>
          <w:color w:val="000000"/>
        </w:rPr>
        <w:t xml:space="preserve"> of its Class A common stock. The Company sold 26.8 million shares and received net proceeds of $199.1 million under the agreement. In June 2024, we issued an aggregate of 35.4 million shares of our Class A common stock at a purchase price of </w:t>
      </w:r>
      <w:r>
        <w:rPr>
          <w:rFonts w:ascii="Arial" w:cs="Arial" w:eastAsia="Arial" w:hAnsi="Arial"/>
          <w:sz w:val="18"/>
          <w:szCs w:val="18"/>
          <w:color w:val="1E1E1E"/>
        </w:rPr>
        <w:t>$6.50</w:t>
      </w:r>
      <w:r>
        <w:rPr>
          <w:rFonts w:ascii="Arial" w:cs="Arial" w:eastAsia="Arial" w:hAnsi="Arial"/>
          <w:sz w:val="18"/>
          <w:szCs w:val="18"/>
          <w:color w:val="000000"/>
        </w:rPr>
        <w:t xml:space="preserve"> per share and received net proceeds of $216.4 million</w:t>
      </w:r>
      <w:r>
        <w:rPr>
          <w:rFonts w:ascii="Arial" w:cs="Arial" w:eastAsia="Arial" w:hAnsi="Arial"/>
          <w:sz w:val="18"/>
          <w:szCs w:val="18"/>
          <w:color w:val="1E1E1E"/>
        </w:rPr>
        <w:t>, after deducting</w:t>
      </w:r>
      <w:r>
        <w:rPr>
          <w:rFonts w:ascii="Arial" w:cs="Arial" w:eastAsia="Arial" w:hAnsi="Arial"/>
          <w:sz w:val="18"/>
          <w:szCs w:val="18"/>
          <w:color w:val="000000"/>
        </w:rPr>
        <w:t xml:space="preserve"> transaction costs of $13.6 million. </w:t>
      </w:r>
      <w:r>
        <w:rPr>
          <w:rFonts w:ascii="Arial" w:cs="Arial" w:eastAsia="Arial" w:hAnsi="Arial"/>
          <w:sz w:val="18"/>
          <w:szCs w:val="18"/>
          <w:color w:val="1E1E1E"/>
        </w:rPr>
        <w:t>See Note 8, “Common Stock” to the Condensed Consolidated Financial Statements for additional information on the public offering.</w:t>
      </w:r>
      <w:r>
        <w:rPr>
          <w:rFonts w:ascii="Arial" w:cs="Arial" w:eastAsia="Arial" w:hAnsi="Arial"/>
          <w:sz w:val="18"/>
          <w:szCs w:val="18"/>
          <w:color w:val="000000"/>
        </w:rPr>
        <w:t xml:space="preserve"> </w:t>
      </w:r>
      <w:r>
        <w:rPr>
          <w:rFonts w:ascii="Arial" w:cs="Arial" w:eastAsia="Arial" w:hAnsi="Arial"/>
          <w:sz w:val="18"/>
          <w:szCs w:val="18"/>
          <w:color w:val="1E1E1E"/>
        </w:rPr>
        <w:t>In September 2024</w:t>
      </w:r>
      <w:r>
        <w:rPr>
          <w:rFonts w:ascii="Arial" w:cs="Arial" w:eastAsia="Arial" w:hAnsi="Arial"/>
          <w:sz w:val="18"/>
          <w:szCs w:val="18"/>
          <w:color w:val="000000"/>
        </w:rPr>
        <w:t>, we received a Phenomap acceptance fee of $30.0 million from our collaboration with Roche. In</w:t>
      </w:r>
      <w:r>
        <w:rPr>
          <w:rFonts w:ascii="Arial" w:cs="Arial" w:eastAsia="Arial" w:hAnsi="Arial"/>
          <w:sz w:val="18"/>
          <w:szCs w:val="18"/>
          <w:color w:val="1E1E1E"/>
        </w:rPr>
        <w:t xml:space="preserve"> February 2025</w:t>
      </w:r>
      <w:r>
        <w:rPr>
          <w:rFonts w:ascii="Arial" w:cs="Arial" w:eastAsia="Arial" w:hAnsi="Arial"/>
          <w:sz w:val="18"/>
          <w:szCs w:val="18"/>
          <w:color w:val="000000"/>
        </w:rPr>
        <w:t>, the</w:t>
      </w:r>
      <w:r>
        <w:rPr>
          <w:rFonts w:ascii="Arial" w:cs="Arial" w:eastAsia="Arial" w:hAnsi="Arial"/>
          <w:sz w:val="18"/>
          <w:szCs w:val="18"/>
          <w:color w:val="1E1E1E"/>
        </w:rPr>
        <w:t xml:space="preserve"> </w:t>
      </w:r>
      <w:r>
        <w:rPr>
          <w:rFonts w:ascii="Arial" w:cs="Arial" w:eastAsia="Arial" w:hAnsi="Arial"/>
          <w:sz w:val="18"/>
          <w:szCs w:val="18"/>
          <w:color w:val="000000"/>
        </w:rPr>
        <w:t>Company terminated the Sales Agreement with Jefferies LLC and entered into a Sales Agreement with Citigroup Capital Markets Inc., to provide for the offering, issuance and sale of up to an aggregate amount of 500.0 million of its Class A common stock. As of September 30, 2025, an amount of $136.4 million remained available for future sales under the Sales Agreement all of which was sold in October 2025. For the nine months ended September 30, 2025, the Company has sold 74.6 million shares and received net proceeds of $358.2 million under the agreement.</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the capital we have raised to fund operating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We had cash and cash equivalents of $659.8 million as of September 30, 2025. Based on our current operating plan, we believe that our cash and cash equivalents will be sufficient to fund our operations for at least the next twelve months.</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Since inception, we have incurred significant operating losses. Our net losses were $162.3 million and $536.6 million during the three and nine months ended September 30, 2025, respectively. Our net losses were $95.8 million and $284.8 million during the three and nine months ended September 30, 2024, respectively. As of September 30, 2025, our accumulated deficit was $2.0 billion.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As of September 30, 2025, we did not have any unconditional outstanding commitments for additional funding. We anticipate that we will need to raise additional financing in the future to fund our operations, including the potential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20" w:type="dxa"/>
            <w:vAlign w:val="bottom"/>
            <w:gridSpan w:val="3"/>
          </w:tcPr>
          <w:p>
            <w:pPr>
              <w:jc w:val="right"/>
              <w:ind w:right="187"/>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3"/>
          </w:tcPr>
          <w:p>
            <w:pPr>
              <w:jc w:val="right"/>
              <w:ind w:right="207"/>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0"/>
        </w:trPr>
        <w:tc>
          <w:tcPr>
            <w:tcW w:w="2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39"/>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66"/>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67"/>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2025</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67"/>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47"/>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w:t>
            </w:r>
          </w:p>
        </w:tc>
      </w:tr>
      <w:tr>
        <w:trPr>
          <w:trHeight w:val="196"/>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4"/>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revenue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4,983</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26,082</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14"/>
                <w:szCs w:val="14"/>
                <w:color w:val="auto"/>
              </w:rPr>
              <w:t>(21,099)</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38,905</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53,977</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367"/>
              <w:spacing w:after="0"/>
              <w:rPr>
                <w:sz w:val="20"/>
                <w:szCs w:val="20"/>
                <w:color w:val="auto"/>
              </w:rPr>
            </w:pPr>
            <w:r>
              <w:rPr>
                <w:rFonts w:ascii="Arial" w:cs="Arial" w:eastAsia="Arial" w:hAnsi="Arial"/>
                <w:sz w:val="14"/>
                <w:szCs w:val="14"/>
                <w:color w:val="auto"/>
              </w:rPr>
              <w:t>(15,072)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2960" w:type="dxa"/>
            <w:vAlign w:val="bottom"/>
          </w:tcPr>
          <w:p>
            <w:pPr>
              <w:ind w:left="140"/>
              <w:spacing w:after="0"/>
              <w:rPr>
                <w:sz w:val="20"/>
                <w:szCs w:val="20"/>
                <w:color w:val="auto"/>
              </w:rPr>
            </w:pPr>
            <w:r>
              <w:rPr>
                <w:rFonts w:ascii="Arial" w:cs="Arial" w:eastAsia="Arial" w:hAnsi="Arial"/>
                <w:sz w:val="14"/>
                <w:szCs w:val="14"/>
                <w:color w:val="auto"/>
              </w:rPr>
              <w:t>Grant revenue</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192</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20" w:type="dxa"/>
            <w:vAlign w:val="bottom"/>
          </w:tcPr>
          <w:p>
            <w:pPr>
              <w:jc w:val="right"/>
              <w:ind w:right="347"/>
              <w:spacing w:after="0"/>
              <w:rPr>
                <w:sz w:val="20"/>
                <w:szCs w:val="20"/>
                <w:color w:val="auto"/>
              </w:rPr>
            </w:pPr>
            <w:r>
              <w:rPr>
                <w:rFonts w:ascii="Arial" w:cs="Arial" w:eastAsia="Arial" w:hAnsi="Arial"/>
                <w:sz w:val="14"/>
                <w:szCs w:val="14"/>
                <w:color w:val="auto"/>
              </w:rPr>
              <w:t>192</w:t>
            </w:r>
          </w:p>
        </w:tc>
        <w:tc>
          <w:tcPr>
            <w:tcW w:w="740" w:type="dxa"/>
            <w:vAlign w:val="bottom"/>
            <w:gridSpan w:val="2"/>
          </w:tcPr>
          <w:p>
            <w:pPr>
              <w:ind w:left="380"/>
              <w:spacing w:after="0"/>
              <w:rPr>
                <w:sz w:val="20"/>
                <w:szCs w:val="20"/>
                <w:color w:val="auto"/>
              </w:rPr>
            </w:pPr>
            <w:r>
              <w:rPr>
                <w:rFonts w:ascii="Arial" w:cs="Arial" w:eastAsia="Arial" w:hAnsi="Arial"/>
                <w:sz w:val="14"/>
                <w:szCs w:val="14"/>
                <w:color w:val="auto"/>
              </w:rPr>
              <w:t>n/m</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w:t>
            </w:r>
          </w:p>
        </w:tc>
        <w:tc>
          <w:tcPr>
            <w:tcW w:w="22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316</w:t>
            </w:r>
          </w:p>
        </w:tc>
        <w:tc>
          <w:tcPr>
            <w:tcW w:w="180" w:type="dxa"/>
            <w:vAlign w:val="bottom"/>
          </w:tcPr>
          <w:p>
            <w:pPr>
              <w:spacing w:after="0"/>
              <w:rPr>
                <w:sz w:val="17"/>
                <w:szCs w:val="17"/>
                <w:color w:val="auto"/>
              </w:rPr>
            </w:pPr>
          </w:p>
        </w:tc>
        <w:tc>
          <w:tcPr>
            <w:tcW w:w="1140" w:type="dxa"/>
            <w:vAlign w:val="bottom"/>
          </w:tcPr>
          <w:p>
            <w:pPr>
              <w:jc w:val="right"/>
              <w:ind w:right="367"/>
              <w:spacing w:after="0"/>
              <w:rPr>
                <w:sz w:val="20"/>
                <w:szCs w:val="20"/>
                <w:color w:val="auto"/>
              </w:rPr>
            </w:pPr>
            <w:r>
              <w:rPr>
                <w:rFonts w:ascii="Arial" w:cs="Arial" w:eastAsia="Arial" w:hAnsi="Arial"/>
                <w:sz w:val="14"/>
                <w:szCs w:val="14"/>
                <w:color w:val="auto"/>
              </w:rPr>
              <w:t>(78)</w:t>
            </w: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0"/>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5,175</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26,082</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(20,907)</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39,143</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54,293</w:t>
            </w: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4"/>
                <w:szCs w:val="14"/>
                <w:color w:val="auto"/>
              </w:rPr>
              <w:t>(15,150)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57"/>
        </w:trPr>
        <w:tc>
          <w:tcPr>
            <w:tcW w:w="2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costs and expenses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8"/>
        </w:trPr>
        <w:tc>
          <w:tcPr>
            <w:tcW w:w="2960" w:type="dxa"/>
            <w:vAlign w:val="bottom"/>
          </w:tcPr>
          <w:p>
            <w:pPr>
              <w:ind w:left="140"/>
              <w:spacing w:after="0"/>
              <w:rPr>
                <w:sz w:val="20"/>
                <w:szCs w:val="20"/>
                <w:color w:val="auto"/>
              </w:rPr>
            </w:pPr>
            <w:r>
              <w:rPr>
                <w:rFonts w:ascii="Arial" w:cs="Arial" w:eastAsia="Arial" w:hAnsi="Arial"/>
                <w:sz w:val="14"/>
                <w:szCs w:val="14"/>
                <w:color w:val="auto"/>
              </w:rPr>
              <w:t>Cost of revenue</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14,687</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12,079</w:t>
            </w:r>
          </w:p>
        </w:tc>
        <w:tc>
          <w:tcPr>
            <w:tcW w:w="280" w:type="dxa"/>
            <w:vAlign w:val="bottom"/>
          </w:tcPr>
          <w:p>
            <w:pPr>
              <w:spacing w:after="0"/>
              <w:rPr>
                <w:sz w:val="17"/>
                <w:szCs w:val="17"/>
                <w:color w:val="auto"/>
              </w:rPr>
            </w:pPr>
          </w:p>
        </w:tc>
        <w:tc>
          <w:tcPr>
            <w:tcW w:w="1120" w:type="dxa"/>
            <w:vAlign w:val="bottom"/>
          </w:tcPr>
          <w:p>
            <w:pPr>
              <w:jc w:val="right"/>
              <w:ind w:right="347"/>
              <w:spacing w:after="0"/>
              <w:rPr>
                <w:sz w:val="20"/>
                <w:szCs w:val="20"/>
                <w:color w:val="auto"/>
              </w:rPr>
            </w:pPr>
            <w:r>
              <w:rPr>
                <w:rFonts w:ascii="Arial" w:cs="Arial" w:eastAsia="Arial" w:hAnsi="Arial"/>
                <w:sz w:val="14"/>
                <w:szCs w:val="14"/>
                <w:color w:val="auto"/>
              </w:rPr>
              <w:t>2,608</w:t>
            </w:r>
          </w:p>
        </w:tc>
        <w:tc>
          <w:tcPr>
            <w:tcW w:w="64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56,678</w:t>
            </w:r>
          </w:p>
        </w:tc>
        <w:tc>
          <w:tcPr>
            <w:tcW w:w="220" w:type="dxa"/>
            <w:vAlign w:val="bottom"/>
          </w:tcPr>
          <w:p>
            <w:pPr>
              <w:spacing w:after="0"/>
              <w:rPr>
                <w:sz w:val="17"/>
                <w:szCs w:val="17"/>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32,444</w:t>
            </w:r>
          </w:p>
        </w:tc>
        <w:tc>
          <w:tcPr>
            <w:tcW w:w="180" w:type="dxa"/>
            <w:vAlign w:val="bottom"/>
          </w:tcPr>
          <w:p>
            <w:pPr>
              <w:spacing w:after="0"/>
              <w:rPr>
                <w:sz w:val="17"/>
                <w:szCs w:val="17"/>
                <w:color w:val="auto"/>
              </w:rPr>
            </w:pPr>
          </w:p>
        </w:tc>
        <w:tc>
          <w:tcPr>
            <w:tcW w:w="1140" w:type="dxa"/>
            <w:vAlign w:val="bottom"/>
          </w:tcPr>
          <w:p>
            <w:pPr>
              <w:jc w:val="right"/>
              <w:ind w:right="407"/>
              <w:spacing w:after="0"/>
              <w:rPr>
                <w:sz w:val="20"/>
                <w:szCs w:val="20"/>
                <w:color w:val="auto"/>
              </w:rPr>
            </w:pPr>
            <w:r>
              <w:rPr>
                <w:rFonts w:ascii="Arial" w:cs="Arial" w:eastAsia="Arial" w:hAnsi="Arial"/>
                <w:sz w:val="14"/>
                <w:szCs w:val="14"/>
                <w:color w:val="auto"/>
              </w:rPr>
              <w:t>24,234</w:t>
            </w:r>
          </w:p>
        </w:tc>
        <w:tc>
          <w:tcPr>
            <w:tcW w:w="660" w:type="dxa"/>
            <w:vAlign w:val="bottom"/>
          </w:tcPr>
          <w:p>
            <w:pPr>
              <w:jc w:val="right"/>
              <w:spacing w:after="0"/>
              <w:rPr>
                <w:sz w:val="20"/>
                <w:szCs w:val="20"/>
                <w:color w:val="auto"/>
              </w:rPr>
            </w:pPr>
            <w:r>
              <w:rPr>
                <w:rFonts w:ascii="Arial" w:cs="Arial" w:eastAsia="Arial" w:hAnsi="Arial"/>
                <w:sz w:val="14"/>
                <w:szCs w:val="14"/>
                <w:color w:val="auto"/>
              </w:rPr>
              <w:t>75 %</w:t>
            </w:r>
          </w:p>
        </w:tc>
      </w:tr>
      <w:tr>
        <w:trPr>
          <w:trHeight w:val="207"/>
        </w:trPr>
        <w:tc>
          <w:tcPr>
            <w:tcW w:w="29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121,062</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74,600</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7"/>
              <w:spacing w:after="0"/>
              <w:rPr>
                <w:sz w:val="20"/>
                <w:szCs w:val="20"/>
                <w:color w:val="auto"/>
              </w:rPr>
            </w:pPr>
            <w:r>
              <w:rPr>
                <w:rFonts w:ascii="Arial" w:cs="Arial" w:eastAsia="Arial" w:hAnsi="Arial"/>
                <w:sz w:val="14"/>
                <w:szCs w:val="14"/>
                <w:color w:val="auto"/>
              </w:rPr>
              <w:t>46,462</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379,331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216,087</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7"/>
              <w:spacing w:after="0"/>
              <w:rPr>
                <w:sz w:val="20"/>
                <w:szCs w:val="20"/>
                <w:color w:val="auto"/>
              </w:rPr>
            </w:pPr>
            <w:r>
              <w:rPr>
                <w:rFonts w:ascii="Arial" w:cs="Arial" w:eastAsia="Arial" w:hAnsi="Arial"/>
                <w:sz w:val="14"/>
                <w:szCs w:val="14"/>
                <w:color w:val="auto"/>
              </w:rPr>
              <w:t>163,244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r>
      <w:tr>
        <w:trPr>
          <w:trHeight w:val="198"/>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General and administrative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41,628</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37,757</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color w:val="auto"/>
              </w:rPr>
              <w:t>3,871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142,932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100,998</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color w:val="auto"/>
              </w:rPr>
              <w:t>41,934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42 %</w:t>
            </w:r>
          </w:p>
        </w:tc>
      </w:tr>
      <w:tr>
        <w:trPr>
          <w:trHeight w:val="20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operating costs and expenses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177,377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124,436</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7"/>
              <w:spacing w:after="0"/>
              <w:rPr>
                <w:sz w:val="20"/>
                <w:szCs w:val="20"/>
                <w:color w:val="auto"/>
              </w:rPr>
            </w:pPr>
            <w:r>
              <w:rPr>
                <w:rFonts w:ascii="Arial" w:cs="Arial" w:eastAsia="Arial" w:hAnsi="Arial"/>
                <w:sz w:val="14"/>
                <w:szCs w:val="14"/>
                <w:color w:val="auto"/>
              </w:rPr>
              <w:t>52,941</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578,941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349,529</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07"/>
              <w:spacing w:after="0"/>
              <w:rPr>
                <w:sz w:val="20"/>
                <w:szCs w:val="20"/>
                <w:color w:val="auto"/>
              </w:rPr>
            </w:pPr>
            <w:r>
              <w:rPr>
                <w:rFonts w:ascii="Arial" w:cs="Arial" w:eastAsia="Arial" w:hAnsi="Arial"/>
                <w:sz w:val="14"/>
                <w:szCs w:val="14"/>
                <w:color w:val="auto"/>
              </w:rPr>
              <w:t>229,412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r>
      <w:tr>
        <w:trPr>
          <w:trHeight w:val="257"/>
        </w:trPr>
        <w:tc>
          <w:tcPr>
            <w:tcW w:w="29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r>
      <w:tr>
        <w:trPr>
          <w:trHeight w:val="196"/>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(172,202)</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(98,354)</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14"/>
                <w:szCs w:val="14"/>
                <w:color w:val="auto"/>
              </w:rPr>
              <w:t>(73,848)</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(539,798)</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(295,236)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67"/>
              <w:spacing w:after="0"/>
              <w:rPr>
                <w:sz w:val="20"/>
                <w:szCs w:val="20"/>
                <w:color w:val="auto"/>
              </w:rPr>
            </w:pPr>
            <w:r>
              <w:rPr>
                <w:rFonts w:ascii="Arial" w:cs="Arial" w:eastAsia="Arial" w:hAnsi="Arial"/>
                <w:sz w:val="14"/>
                <w:szCs w:val="14"/>
                <w:color w:val="auto"/>
              </w:rPr>
              <w:t>(244,562)</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r>
      <w:tr>
        <w:trPr>
          <w:trHeight w:val="198"/>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income, net</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9,952</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2,679</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color w:val="auto"/>
              </w:rPr>
              <w:t>7,273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9,347</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color w:val="auto"/>
              </w:rPr>
              <w:t>(6,342)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r>
      <w:tr>
        <w:trPr>
          <w:trHeight w:val="200"/>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 benefit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(162,250)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(95,675)</w:t>
            </w: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7"/>
              <w:spacing w:after="0"/>
              <w:rPr>
                <w:sz w:val="20"/>
                <w:szCs w:val="20"/>
                <w:color w:val="auto"/>
              </w:rPr>
            </w:pPr>
            <w:r>
              <w:rPr>
                <w:rFonts w:ascii="Arial" w:cs="Arial" w:eastAsia="Arial" w:hAnsi="Arial"/>
                <w:sz w:val="14"/>
                <w:szCs w:val="14"/>
                <w:color w:val="auto"/>
              </w:rPr>
              <w:t>(66,575)</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(536,793)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(285,889)</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67"/>
              <w:spacing w:after="0"/>
              <w:rPr>
                <w:sz w:val="20"/>
                <w:szCs w:val="20"/>
                <w:color w:val="auto"/>
              </w:rPr>
            </w:pPr>
            <w:r>
              <w:rPr>
                <w:rFonts w:ascii="Arial" w:cs="Arial" w:eastAsia="Arial" w:hAnsi="Arial"/>
                <w:sz w:val="14"/>
                <w:szCs w:val="14"/>
                <w:color w:val="auto"/>
              </w:rPr>
              <w:t>(250,904)</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88 %</w:t>
            </w:r>
          </w:p>
        </w:tc>
      </w:tr>
      <w:tr>
        <w:trPr>
          <w:trHeight w:val="198"/>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color w:val="auto"/>
              </w:rPr>
              <w:t>164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1,134</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color w:val="auto"/>
              </w:rPr>
              <w:t>(978)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224"/>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(162,253)</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(95,842)</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(66,411)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(536,637)</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(284,755)</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4"/>
                <w:szCs w:val="14"/>
                <w:color w:val="auto"/>
              </w:rPr>
              <w:t>(251,882)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88 %</w:t>
            </w: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3"/>
          </w:tcPr>
          <w:p>
            <w:pPr>
              <w:jc w:val="right"/>
              <w:ind w:right="141"/>
              <w:spacing w:after="0"/>
              <w:rPr>
                <w:sz w:val="20"/>
                <w:szCs w:val="20"/>
                <w:color w:val="auto"/>
              </w:rPr>
            </w:pPr>
            <w:r>
              <w:rPr>
                <w:rFonts w:ascii="Arial" w:cs="Arial" w:eastAsia="Arial" w:hAnsi="Arial"/>
                <w:sz w:val="16"/>
                <w:szCs w:val="16"/>
                <w:b w:val="1"/>
                <w:bCs w:val="1"/>
                <w:color w:val="auto"/>
              </w:rPr>
              <w:t>Nine months ended</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6"/>
        </w:trPr>
        <w:tc>
          <w:tcPr>
            <w:tcW w:w="2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19"/>
                <w:szCs w:val="19"/>
                <w:color w:val="auto"/>
              </w:rPr>
            </w:pPr>
          </w:p>
        </w:tc>
      </w:tr>
      <w:tr>
        <w:trPr>
          <w:trHeight w:val="239"/>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2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(21,099)</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38,905</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53,977</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(15,072)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5"/>
        </w:trPr>
        <w:tc>
          <w:tcPr>
            <w:tcW w:w="29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Grant revenue</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192</w:t>
            </w: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n/m</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(78)</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r>
      <w:tr>
        <w:trPr>
          <w:trHeight w:val="235"/>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26,082</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(20,907)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39,143</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54,293</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(15,150)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Operating revenue is generated through research and development agreements derived from strategic alliances. We are entitled to receive variable consideration as certain milestones are achieved. The timing of revenue recognition is not directly correlated to the timing of cash receipts.</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three and nine months ended September 30, 2025, the decrease in revenue compared to prior period was due to the timing of projects from the Company’s Sanofi, Roche and Merck KGaA, Darmstadt, Germany collaborations. For the three months ended September 30, 2024, we recognized revenue related to the acceptance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fee for the completion of a Phenomap for one of our neuroscience performance obligations for the Roche agreement. Prior to the three months ended September 30, 2024, we had fully constrained the $30.0 million acceptance fee.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cost of revenue: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0"/>
        </w:trPr>
        <w:tc>
          <w:tcPr>
            <w:tcW w:w="3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20" w:type="dxa"/>
            <w:vAlign w:val="bottom"/>
            <w:tcBorders>
              <w:bottom w:val="single" w:sz="8" w:color="auto"/>
            </w:tcBorders>
          </w:tcPr>
          <w:p>
            <w:pPr>
              <w:spacing w:after="0"/>
              <w:rPr>
                <w:sz w:val="20"/>
                <w:szCs w:val="20"/>
                <w:color w:val="auto"/>
              </w:rPr>
            </w:pPr>
          </w:p>
        </w:tc>
      </w:tr>
      <w:tr>
        <w:trPr>
          <w:trHeight w:val="415"/>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r>
      <w:tr>
        <w:trPr>
          <w:trHeight w:val="23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cost of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14,687 $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12,079</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2,608</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22 %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56,678 $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32,444</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24,234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75 %</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Cost of revenue consists of the Company’s costs to provide services for drug discovery required under performance obligations with partnership customers. These primarily include materials costs, service hours performed by our employees and depreciation of property and equipment.</w:t>
      </w:r>
    </w:p>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the three and nine months ended September 30, 2025, the change in cost of revenue compared to prior period was due to our Exscientia acquisition for which our results now also include additional customers.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research and development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0"/>
        </w:trPr>
        <w:tc>
          <w:tcPr>
            <w:tcW w:w="3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20"/>
                <w:szCs w:val="20"/>
                <w:color w:val="auto"/>
              </w:rPr>
            </w:pPr>
          </w:p>
        </w:tc>
      </w:tr>
      <w:tr>
        <w:trPr>
          <w:trHeight w:val="41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210"/>
        </w:trPr>
        <w:tc>
          <w:tcPr>
            <w:tcW w:w="316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Platform</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37,227</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5,094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191,096</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95,961</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95,135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r>
      <w:tr>
        <w:trPr>
          <w:trHeight w:val="215"/>
        </w:trPr>
        <w:tc>
          <w:tcPr>
            <w:tcW w:w="3160" w:type="dxa"/>
            <w:vAlign w:val="bottom"/>
          </w:tcPr>
          <w:p>
            <w:pPr>
              <w:ind w:left="140"/>
              <w:spacing w:after="0"/>
              <w:rPr>
                <w:sz w:val="20"/>
                <w:szCs w:val="20"/>
                <w:color w:val="auto"/>
              </w:rPr>
            </w:pPr>
            <w:r>
              <w:rPr>
                <w:rFonts w:ascii="Arial" w:cs="Arial" w:eastAsia="Arial" w:hAnsi="Arial"/>
                <w:sz w:val="16"/>
                <w:szCs w:val="16"/>
                <w:color w:val="auto"/>
              </w:rPr>
              <w:t>Discovery</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19,799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16,584</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3,215</w:t>
            </w:r>
          </w:p>
        </w:tc>
        <w:tc>
          <w:tcPr>
            <w:tcW w:w="580" w:type="dxa"/>
            <w:vAlign w:val="bottom"/>
          </w:tcPr>
          <w:p>
            <w:pPr>
              <w:jc w:val="right"/>
              <w:spacing w:after="0"/>
              <w:rPr>
                <w:sz w:val="20"/>
                <w:szCs w:val="20"/>
                <w:color w:val="auto"/>
              </w:rPr>
            </w:pPr>
            <w:r>
              <w:rPr>
                <w:rFonts w:ascii="Arial" w:cs="Arial" w:eastAsia="Arial" w:hAnsi="Arial"/>
                <w:sz w:val="16"/>
                <w:szCs w:val="16"/>
                <w:color w:val="auto"/>
              </w:rPr>
              <w:t>19 %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63,235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48,767</w:t>
            </w:r>
          </w:p>
        </w:tc>
        <w:tc>
          <w:tcPr>
            <w:tcW w:w="240" w:type="dxa"/>
            <w:vAlign w:val="bottom"/>
          </w:tcPr>
          <w:p>
            <w:pPr>
              <w:spacing w:after="0"/>
              <w:rPr>
                <w:sz w:val="18"/>
                <w:szCs w:val="18"/>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14,468</w:t>
            </w:r>
          </w:p>
        </w:tc>
        <w:tc>
          <w:tcPr>
            <w:tcW w:w="62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Clinical</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20,752</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13,004</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7,748</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57,877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44,310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13,567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5"/>
        </w:trPr>
        <w:tc>
          <w:tcPr>
            <w:tcW w:w="3160" w:type="dxa"/>
            <w:vAlign w:val="bottom"/>
          </w:tcPr>
          <w:p>
            <w:pPr>
              <w:ind w:left="140"/>
              <w:spacing w:after="0"/>
              <w:rPr>
                <w:sz w:val="20"/>
                <w:szCs w:val="20"/>
                <w:color w:val="auto"/>
              </w:rPr>
            </w:pPr>
            <w:r>
              <w:rPr>
                <w:rFonts w:ascii="Arial" w:cs="Arial" w:eastAsia="Arial" w:hAnsi="Arial"/>
                <w:sz w:val="16"/>
                <w:szCs w:val="16"/>
                <w:color w:val="auto"/>
              </w:rPr>
              <w:t>Acquired IPR&amp;D</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22,840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color w:val="auto"/>
              </w:rPr>
              <w:t>22,840</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22,840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color w:val="auto"/>
              </w:rPr>
              <w:t>22,840</w:t>
            </w: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based compensation</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9,457</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6,966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48,312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26,031</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22,281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r>
      <w:tr>
        <w:trPr>
          <w:trHeight w:val="215"/>
        </w:trPr>
        <w:tc>
          <w:tcPr>
            <w:tcW w:w="3160" w:type="dxa"/>
            <w:vAlign w:val="bottom"/>
          </w:tcPr>
          <w:p>
            <w:pPr>
              <w:ind w:left="140"/>
              <w:spacing w:after="0"/>
              <w:rPr>
                <w:sz w:val="20"/>
                <w:szCs w:val="20"/>
                <w:color w:val="auto"/>
              </w:rPr>
            </w:pPr>
            <w:r>
              <w:rPr>
                <w:rFonts w:ascii="Arial" w:cs="Arial" w:eastAsia="Arial" w:hAnsi="Arial"/>
                <w:sz w:val="16"/>
                <w:szCs w:val="16"/>
                <w:color w:val="auto"/>
              </w:rPr>
              <w:t>UK R&amp;D tax credit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(1,099)</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(1,099)</w:t>
            </w: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n/m</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(5,445)</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(5,445)</w:t>
            </w:r>
          </w:p>
        </w:tc>
        <w:tc>
          <w:tcPr>
            <w:tcW w:w="6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31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1,698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398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1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research and development expense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121,062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74,600</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46,462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62 %</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379,331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216,087</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163,244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76 %</w:t>
            </w: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Research and development expenses account for a significant portion of our operating expenses. We recognize research and development expenses as they are incurred. Research and development expenses consist of costs incurred in performing activities including:</w:t>
      </w:r>
    </w:p>
    <w:p>
      <w:pPr>
        <w:spacing w:after="0" w:line="18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develop and operate our platform;</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discovery efforts which may lead to development candidates, including research materials and external research;</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for clinical development of our investigational products;</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for materials and supplies associated with the manufacture of active pharmaceutical ingredients, investigational products for preclinical testing and clinical trials;</w:t>
      </w:r>
    </w:p>
    <w:p>
      <w:pPr>
        <w:ind w:left="980" w:right="400" w:hanging="324"/>
        <w:spacing w:after="0" w:line="250"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bonuses and stock-based compensation for employees engaged in research and development functions;</w:t>
      </w: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operating our digital infrastructure; and</w:t>
      </w:r>
    </w:p>
    <w:p>
      <w:pPr>
        <w:spacing w:after="0" w:line="9" w:lineRule="exact"/>
        <w:rPr>
          <w:rFonts w:ascii="Arial" w:cs="Arial" w:eastAsia="Arial" w:hAnsi="Arial"/>
          <w:sz w:val="18"/>
          <w:szCs w:val="18"/>
          <w:color w:val="auto"/>
        </w:rPr>
      </w:pPr>
    </w:p>
    <w:p>
      <w:pPr>
        <w:ind w:left="980" w:right="420" w:hanging="324"/>
        <w:spacing w:after="0" w:line="266"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direct and allocated expenses incurred as a result of research and development activities, including those for facilities, depreciation, amortization and insurance</w:t>
      </w:r>
      <w:r>
        <w:rPr>
          <w:rFonts w:ascii="Arial" w:cs="Arial" w:eastAsia="Arial" w:hAnsi="Arial"/>
          <w:sz w:val="18"/>
          <w:szCs w:val="18"/>
          <w:color w:val="1E1E1E"/>
        </w:rPr>
        <w: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980" w:right="600" w:hanging="324"/>
        <w:spacing w:after="0" w:line="271" w:lineRule="auto"/>
        <w:tabs>
          <w:tab w:leader="none" w:pos="975" w:val="left"/>
        </w:tabs>
        <w:numPr>
          <w:ilvl w:val="0"/>
          <w:numId w:val="12"/>
        </w:numPr>
        <w:rPr>
          <w:rFonts w:ascii="Arial" w:cs="Arial" w:eastAsia="Arial" w:hAnsi="Arial"/>
          <w:sz w:val="18"/>
          <w:szCs w:val="18"/>
          <w:color w:val="1E1E1E"/>
        </w:rPr>
      </w:pPr>
      <w:r>
        <w:rPr>
          <w:rFonts w:ascii="Arial" w:cs="Arial" w:eastAsia="Arial" w:hAnsi="Arial"/>
          <w:sz w:val="18"/>
          <w:szCs w:val="18"/>
          <w:color w:val="auto"/>
        </w:rPr>
        <w:t>certain cash refundable research and development tax credits including the research and development expenditure credit (RDEC) in the United Kingdom.</w:t>
      </w:r>
    </w:p>
    <w:p>
      <w:pPr>
        <w:spacing w:after="0" w:line="19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We recognize expenses associated with third-party contracted services as they are incurred.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20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Significant components of research and development expense include the following allocated by development phase: Platform, which refers primarily to expenses related to screening of product candidates through hit identification, this also includes expenses related to Tempus records purchased; Discovery, which refers primarily to expenses related to hit identification through development of candidates; and Clinical, which refers primarily to expenses related to development of candidates and beyond.</w:t>
      </w:r>
    </w:p>
    <w:p>
      <w:pPr>
        <w:spacing w:after="0" w:line="20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For the three months ended September 30, 2025, the increase in research and development expenses compared to the prior period was primarily driven by acquired IPR&amp;D purchases of $22.8 million and the inclusion of Exscientia’s results of $29.6 million.</w:t>
      </w:r>
    </w:p>
    <w:p>
      <w:pPr>
        <w:spacing w:after="0" w:line="18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For the nine months ended September 30, 2025, the increase in research and development expenses compared to the prior period was primarily driven by Tempus record purchases of $46.9 million, the inclusion of Exscientia’s results of $85.1 million and acquired IPR&amp;D purchases of $22.8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general and administrative expense: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40"/>
        </w:trPr>
        <w:tc>
          <w:tcPr>
            <w:tcW w:w="3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Change</w:t>
            </w: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00" w:type="dxa"/>
            <w:vAlign w:val="bottom"/>
            <w:tcBorders>
              <w:bottom w:val="single" w:sz="8" w:color="auto"/>
            </w:tcBorders>
          </w:tcPr>
          <w:p>
            <w:pPr>
              <w:spacing w:after="0"/>
              <w:rPr>
                <w:sz w:val="20"/>
                <w:szCs w:val="20"/>
                <w:color w:val="auto"/>
              </w:rPr>
            </w:pPr>
          </w:p>
        </w:tc>
      </w:tr>
      <w:tr>
        <w:trPr>
          <w:trHeight w:val="239"/>
        </w:trPr>
        <w:tc>
          <w:tcPr>
            <w:tcW w:w="3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r>
      <w:tr>
        <w:trPr>
          <w:trHeight w:val="235"/>
        </w:trPr>
        <w:tc>
          <w:tcPr>
            <w:tcW w:w="33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general and administrative expense   $</w:t>
            </w:r>
          </w:p>
        </w:tc>
        <w:tc>
          <w:tcPr>
            <w:tcW w:w="11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41,628 $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37,757</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3,871</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10 %  $   142,932 $</w:t>
            </w:r>
          </w:p>
        </w:tc>
        <w:tc>
          <w:tcPr>
            <w:tcW w:w="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100,998</w:t>
            </w:r>
          </w:p>
        </w:tc>
        <w:tc>
          <w:tcPr>
            <w:tcW w:w="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41,934</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0"/>
        </w:trPr>
        <w:tc>
          <w:tcPr>
            <w:tcW w:w="3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expense general and administrative costs as incurred. General and administrative expenses consist primarily of salaries; including employee benefits and stock-based compensation. General and administrative expenses also include facilities, depreciation, information technology, professional fees for auditing and tax, legal fees for corporate and patent matters and insurance costs.</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For the three months ended September 30, 2025, the increase in general and administrative expense compared to prior period was primarily driven by the inclusion of Exscientia’s results.</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the nine months ended September 30, 2025, the increase in general and administrative expense compared to prior period was primarily driven by the inclusion of Exscientia’s results of $23.9 million and an increase in salaries and wages of $15.0 million.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(Loss), Net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components of other income (loss), net: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0"/>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Borders>
              <w:bottom w:val="single" w:sz="8" w:color="auto"/>
            </w:tcBorders>
          </w:tcPr>
          <w:p>
            <w:pPr>
              <w:spacing w:after="0"/>
              <w:rPr>
                <w:sz w:val="20"/>
                <w:szCs w:val="20"/>
                <w:color w:val="auto"/>
              </w:rPr>
            </w:pPr>
          </w:p>
        </w:tc>
      </w:tr>
      <w:tr>
        <w:trPr>
          <w:trHeight w:val="239"/>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211"/>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1,714</w:t>
            </w:r>
          </w:p>
        </w:tc>
        <w:tc>
          <w:tcPr>
            <w:tcW w:w="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44.8 %</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16,541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5,403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48.5 %</w:t>
            </w:r>
          </w:p>
        </w:tc>
      </w:tr>
      <w:tr>
        <w:trPr>
          <w:trHeight w:val="215"/>
        </w:trPr>
        <w:tc>
          <w:tcPr>
            <w:tcW w:w="2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(553)</w:t>
            </w:r>
          </w:p>
        </w:tc>
        <w:tc>
          <w:tcPr>
            <w:tcW w:w="26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(280)</w:t>
            </w:r>
          </w:p>
        </w:tc>
        <w:tc>
          <w:tcPr>
            <w:tcW w:w="640" w:type="dxa"/>
            <w:vAlign w:val="bottom"/>
          </w:tcPr>
          <w:p>
            <w:pPr>
              <w:ind w:left="120"/>
              <w:spacing w:after="0"/>
              <w:rPr>
                <w:sz w:val="20"/>
                <w:szCs w:val="20"/>
                <w:color w:val="auto"/>
              </w:rPr>
            </w:pPr>
            <w:r>
              <w:rPr>
                <w:rFonts w:ascii="Arial" w:cs="Arial" w:eastAsia="Arial" w:hAnsi="Arial"/>
                <w:sz w:val="16"/>
                <w:szCs w:val="16"/>
                <w:color w:val="auto"/>
              </w:rPr>
              <w:t>50.6 %</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(967)</w:t>
            </w:r>
          </w:p>
        </w:tc>
        <w:tc>
          <w:tcPr>
            <w:tcW w:w="220" w:type="dxa"/>
            <w:vAlign w:val="bottom"/>
          </w:tcPr>
          <w:p>
            <w:pPr>
              <w:spacing w:after="0"/>
              <w:rPr>
                <w:sz w:val="18"/>
                <w:szCs w:val="18"/>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(854)</w:t>
            </w:r>
          </w:p>
        </w:tc>
        <w:tc>
          <w:tcPr>
            <w:tcW w:w="700" w:type="dxa"/>
            <w:vAlign w:val="bottom"/>
          </w:tcPr>
          <w:p>
            <w:pPr>
              <w:jc w:val="right"/>
              <w:spacing w:after="0"/>
              <w:rPr>
                <w:sz w:val="20"/>
                <w:szCs w:val="20"/>
                <w:color w:val="auto"/>
              </w:rPr>
            </w:pPr>
            <w:r>
              <w:rPr>
                <w:rFonts w:ascii="Arial" w:cs="Arial" w:eastAsia="Arial" w:hAnsi="Arial"/>
                <w:sz w:val="16"/>
                <w:szCs w:val="16"/>
                <w:color w:val="auto"/>
              </w:rPr>
              <w:t>88.3 %</w:t>
            </w:r>
          </w:p>
        </w:tc>
      </w:tr>
      <w:tr>
        <w:trPr>
          <w:trHeight w:val="216"/>
        </w:trPr>
        <w:tc>
          <w:tcPr>
            <w:tcW w:w="2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5,245</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5,839</w:t>
            </w:r>
          </w:p>
        </w:tc>
        <w:tc>
          <w:tcPr>
            <w:tcW w:w="980" w:type="dxa"/>
            <w:vAlign w:val="bottom"/>
            <w:tcBorders>
              <w:bottom w:val="single" w:sz="8" w:color="auto"/>
            </w:tcBorders>
            <w:gridSpan w:val="3"/>
            <w:shd w:val="clear" w:color="auto" w:fill="CCEEFF"/>
          </w:tcPr>
          <w:p>
            <w:pPr>
              <w:ind w:left="360"/>
              <w:spacing w:after="0"/>
              <w:rPr>
                <w:sz w:val="20"/>
                <w:szCs w:val="20"/>
                <w:color w:val="auto"/>
              </w:rPr>
            </w:pPr>
            <w:r>
              <w:rPr>
                <w:rFonts w:ascii="Arial" w:cs="Arial" w:eastAsia="Arial" w:hAnsi="Arial"/>
                <w:sz w:val="16"/>
                <w:szCs w:val="16"/>
                <w:color w:val="auto"/>
              </w:rPr>
              <w:t>n/m</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(11,716)</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(10,892)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&gt;100%</w:t>
            </w:r>
          </w:p>
        </w:tc>
      </w:tr>
      <w:tr>
        <w:trPr>
          <w:trHeight w:val="210"/>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 (loss),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7,273</w:t>
            </w: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&gt;100%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9,347</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(6,343)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r>
      <w:tr>
        <w:trPr>
          <w:trHeight w:val="21"/>
        </w:trPr>
        <w:tc>
          <w:tcPr>
            <w:tcW w:w="2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three months ended September 30, 2025, the increase in other income (loss), net compared to prior period related to an increase in</w:t>
      </w:r>
      <w:r>
        <w:rPr>
          <w:rFonts w:ascii="Arial" w:cs="Arial" w:eastAsia="Arial" w:hAnsi="Arial"/>
          <w:sz w:val="18"/>
          <w:szCs w:val="18"/>
          <w:color w:val="1E1E1E"/>
        </w:rPr>
        <w:t xml:space="preserve"> </w:t>
      </w:r>
      <w:r>
        <w:rPr>
          <w:rFonts w:ascii="Arial" w:cs="Arial" w:eastAsia="Arial" w:hAnsi="Arial"/>
          <w:sz w:val="18"/>
          <w:szCs w:val="18"/>
          <w:color w:val="000000"/>
        </w:rPr>
        <w:t>other income driven primarily by foreign currency gains and investing activities.</w:t>
      </w:r>
    </w:p>
    <w:p>
      <w:pPr>
        <w:spacing w:after="0" w:line="193"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1E1E1E"/>
        </w:rPr>
        <w:t xml:space="preserve">For the </w:t>
      </w:r>
      <w:r>
        <w:rPr>
          <w:rFonts w:ascii="Arial" w:cs="Arial" w:eastAsia="Arial" w:hAnsi="Arial"/>
          <w:sz w:val="18"/>
          <w:szCs w:val="18"/>
          <w:color w:val="000000"/>
        </w:rPr>
        <w:t>nine months ended September 30, 2025</w:t>
      </w:r>
      <w:r>
        <w:rPr>
          <w:rFonts w:ascii="Arial" w:cs="Arial" w:eastAsia="Arial" w:hAnsi="Arial"/>
          <w:sz w:val="18"/>
          <w:szCs w:val="18"/>
          <w:color w:val="1E1E1E"/>
        </w:rPr>
        <w:t xml:space="preserve">, the </w:t>
      </w:r>
      <w:r>
        <w:rPr>
          <w:rFonts w:ascii="Arial" w:cs="Arial" w:eastAsia="Arial" w:hAnsi="Arial"/>
          <w:sz w:val="18"/>
          <w:szCs w:val="18"/>
          <w:color w:val="000000"/>
        </w:rPr>
        <w:t>increase in other income (loss), net compared to prior period related to our loss on</w:t>
      </w:r>
      <w:r>
        <w:rPr>
          <w:rFonts w:ascii="Arial" w:cs="Arial" w:eastAsia="Arial" w:hAnsi="Arial"/>
          <w:sz w:val="18"/>
          <w:szCs w:val="18"/>
          <w:color w:val="1E1E1E"/>
        </w:rPr>
        <w:t xml:space="preserve"> </w:t>
      </w:r>
      <w:r>
        <w:rPr>
          <w:rFonts w:ascii="Arial" w:cs="Arial" w:eastAsia="Arial" w:hAnsi="Arial"/>
          <w:sz w:val="18"/>
          <w:szCs w:val="18"/>
          <w:color w:val="000000"/>
        </w:rPr>
        <w:t>disposal of Exscientia GmbH of $4.5 million and our Vienna lease termination fee of $5.2 million. This decrease is partially offset by an increase in interest income driven by our increase in earnings on cash and cash equivalents.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not yet commercialized any products and do not expect to generate revenue from the sales of any product candidates for at least several years. Cash and cash equivalents totaled $659.8 million and $594.3 million as of September 30, 2025 and December 31, 2024, respectively.</w:t>
      </w:r>
    </w:p>
    <w:p>
      <w:pPr>
        <w:spacing w:after="0" w:line="19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We have incurred operating losses and experienced negative operating cash flows and we anticipate that the Company will continue to incur losses for at least the foreseeable future. Our net loss was $162.3 million and $536.6 million during the three and nine months ended September 30, 2025, respectively. </w:t>
      </w:r>
      <w:r>
        <w:rPr>
          <w:rFonts w:ascii="Arial" w:cs="Arial" w:eastAsia="Arial" w:hAnsi="Arial"/>
          <w:sz w:val="18"/>
          <w:szCs w:val="18"/>
          <w:color w:val="1E1E1E"/>
        </w:rPr>
        <w:t>Our net loss was</w:t>
      </w:r>
      <w:r>
        <w:rPr>
          <w:rFonts w:ascii="Arial" w:cs="Arial" w:eastAsia="Arial" w:hAnsi="Arial"/>
          <w:sz w:val="18"/>
          <w:szCs w:val="18"/>
          <w:color w:val="auto"/>
        </w:rPr>
        <w:t xml:space="preserve"> $95.8 million </w:t>
      </w:r>
      <w:r>
        <w:rPr>
          <w:rFonts w:ascii="Arial" w:cs="Arial" w:eastAsia="Arial" w:hAnsi="Arial"/>
          <w:sz w:val="18"/>
          <w:szCs w:val="18"/>
          <w:color w:val="1E1E1E"/>
        </w:rPr>
        <w:t>and</w:t>
      </w:r>
      <w:r>
        <w:rPr>
          <w:rFonts w:ascii="Arial" w:cs="Arial" w:eastAsia="Arial" w:hAnsi="Arial"/>
          <w:sz w:val="18"/>
          <w:szCs w:val="18"/>
          <w:color w:val="auto"/>
        </w:rPr>
        <w:t xml:space="preserve"> $ 284.8 million </w:t>
      </w:r>
      <w:r>
        <w:rPr>
          <w:rFonts w:ascii="Arial" w:cs="Arial" w:eastAsia="Arial" w:hAnsi="Arial"/>
          <w:sz w:val="18"/>
          <w:szCs w:val="18"/>
          <w:color w:val="1E1E1E"/>
        </w:rPr>
        <w:t>during the</w:t>
      </w:r>
      <w:r>
        <w:rPr>
          <w:rFonts w:ascii="Arial" w:cs="Arial" w:eastAsia="Arial" w:hAnsi="Arial"/>
          <w:sz w:val="18"/>
          <w:szCs w:val="18"/>
          <w:color w:val="auto"/>
        </w:rPr>
        <w:t xml:space="preserve"> three and nine months ended September 30, 2024</w:t>
      </w:r>
      <w:r>
        <w:rPr>
          <w:rFonts w:ascii="Arial" w:cs="Arial" w:eastAsia="Arial" w:hAnsi="Arial"/>
          <w:sz w:val="18"/>
          <w:szCs w:val="18"/>
          <w:color w:val="1E1E1E"/>
        </w:rPr>
        <w:t>, respectively</w:t>
      </w:r>
      <w:r>
        <w:rPr>
          <w:rFonts w:ascii="Arial" w:cs="Arial" w:eastAsia="Arial" w:hAnsi="Arial"/>
          <w:sz w:val="18"/>
          <w:szCs w:val="18"/>
          <w:color w:val="auto"/>
        </w:rPr>
        <w:t>. As of September 30, 2025, we had an accumulated deficit of $2.0 billion.</w:t>
      </w:r>
    </w:p>
    <w:p>
      <w:pPr>
        <w:spacing w:after="0" w:line="20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Since </w:t>
      </w:r>
      <w:r>
        <w:rPr>
          <w:rFonts w:ascii="Arial" w:cs="Arial" w:eastAsia="Arial" w:hAnsi="Arial"/>
          <w:sz w:val="18"/>
          <w:szCs w:val="18"/>
          <w:color w:val="1E1E1E"/>
        </w:rPr>
        <w:t>2023</w:t>
      </w:r>
      <w:r>
        <w:rPr>
          <w:rFonts w:ascii="Arial" w:cs="Arial" w:eastAsia="Arial" w:hAnsi="Arial"/>
          <w:sz w:val="18"/>
          <w:szCs w:val="18"/>
          <w:color w:val="auto"/>
        </w:rPr>
        <w:t>, we have financed our operations primarily through Class A common stock issuances. As of September 30, 2025, we have received net proceeds of $823.6 million from Class A common stock issuances. See Note 8, “Common Stock” to the Condensed Consolidated Financial Statements for additional details on Class A common stock issuances. Additionally, as of September 30, 2025, we have received proceeds of $44.0 million from our strategic partnerships. See Note 9, “Collaborative Development Contracts” to the Condensed Consolidated Financial Statements for additional details on the strategic partnerships.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the Condensed Consolidated Statements of Cash Flows for each of the periods presented below:</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3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2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1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tcPr>
          <w:p>
            <w:pPr>
              <w:spacing w:after="0"/>
              <w:rPr>
                <w:sz w:val="21"/>
                <w:szCs w:val="21"/>
                <w:color w:val="auto"/>
              </w:rPr>
            </w:pPr>
          </w:p>
        </w:tc>
      </w:tr>
      <w:tr>
        <w:trPr>
          <w:trHeight w:val="26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in operating activities</w:t>
            </w:r>
          </w:p>
        </w:tc>
        <w:tc>
          <w:tcPr>
            <w:tcW w:w="2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(325,735)</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(243,744)</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7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(15,627)</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(15,397)</w:t>
            </w:r>
          </w:p>
        </w:tc>
      </w:tr>
      <w:tr>
        <w:trPr>
          <w:trHeight w:val="22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27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389,526</w:t>
            </w:r>
          </w:p>
        </w:tc>
        <w:tc>
          <w:tcPr>
            <w:tcW w:w="6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293,481</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color w:val="auto"/>
        </w:rPr>
        <w:t>Cash used by operating activities increased during the nine months ended September 30, 2025 as a result of higher costs incurred for research and development and general and administrative primarily due to the Company’s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acquisition of Exscientia. This included Exscientia GmbH disposal related payments of $9.7 million and severance payments of $14.3 million. See Note 4</w:t>
      </w:r>
      <w:r>
        <w:rPr>
          <w:rFonts w:ascii="Arial" w:cs="Arial" w:eastAsia="Arial" w:hAnsi="Arial"/>
          <w:sz w:val="18"/>
          <w:szCs w:val="18"/>
          <w:color w:val="1E1E1E"/>
        </w:rPr>
        <w:t>,</w:t>
      </w:r>
      <w:r>
        <w:rPr>
          <w:rFonts w:ascii="Arial" w:cs="Arial" w:eastAsia="Arial" w:hAnsi="Arial"/>
          <w:sz w:val="18"/>
          <w:szCs w:val="18"/>
          <w:color w:val="auto"/>
        </w:rPr>
        <w:t xml:space="preserve"> “Acquisitions” to the Consolidated Financial Statements for additional details related to the Exscientia acquisition and Exscientia GmbH disposal.</w:t>
      </w:r>
    </w:p>
    <w:p>
      <w:pPr>
        <w:spacing w:after="0" w:line="19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Cash used by operating activities increased during the nine months ended September 30, 2024 as a result of higher costs incurred for research and development and general and administrative due to the Company’s expansion and upgraded capabilities.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Cash used by investing activities during the nine months ended September 30, 2025 primarily consisted of the disposal of Exscientia GmbH of $4.4 million and property and equipment purchases of $5.2 million.</w:t>
      </w:r>
    </w:p>
    <w:p>
      <w:pPr>
        <w:spacing w:after="0" w:line="198" w:lineRule="exact"/>
        <w:rPr>
          <w:sz w:val="20"/>
          <w:szCs w:val="20"/>
          <w:color w:val="auto"/>
        </w:rPr>
      </w:pPr>
    </w:p>
    <w:p>
      <w:pPr>
        <w:jc w:val="both"/>
        <w:ind w:right="600"/>
        <w:spacing w:after="0" w:line="268" w:lineRule="auto"/>
        <w:rPr>
          <w:sz w:val="20"/>
          <w:szCs w:val="20"/>
          <w:color w:val="auto"/>
        </w:rPr>
      </w:pPr>
      <w:r>
        <w:rPr>
          <w:rFonts w:ascii="Arial" w:cs="Arial" w:eastAsia="Arial" w:hAnsi="Arial"/>
          <w:sz w:val="18"/>
          <w:szCs w:val="18"/>
          <w:color w:val="auto"/>
        </w:rPr>
        <w:t xml:space="preserve">Cash used by investing activities during the nine months ended September 30, 2024 consisted primarily of purchases of property and equipment of $12.4 million, which included $2.9 million for a project to upgrade the BioHive -2 supercomputer and $2.7 million for lab equipment purchases. </w:t>
      </w:r>
      <w:r>
        <w:rPr>
          <w:rFonts w:ascii="Arial" w:cs="Arial" w:eastAsia="Arial" w:hAnsi="Arial"/>
          <w:sz w:val="18"/>
          <w:szCs w:val="18"/>
          <w:color w:val="1E1E1E"/>
        </w:rPr>
        <w:t>Additionally, investing activities included the purchase of an intangible asset of</w:t>
      </w:r>
      <w:r>
        <w:rPr>
          <w:rFonts w:ascii="Arial" w:cs="Arial" w:eastAsia="Arial" w:hAnsi="Arial"/>
          <w:sz w:val="18"/>
          <w:szCs w:val="18"/>
          <w:color w:val="auto"/>
        </w:rPr>
        <w:t xml:space="preserve"> $3.0 million </w:t>
      </w:r>
      <w:r>
        <w:rPr>
          <w:rFonts w:ascii="Arial" w:cs="Arial" w:eastAsia="Arial" w:hAnsi="Arial"/>
          <w:sz w:val="18"/>
          <w:szCs w:val="18"/>
          <w:color w:val="1E1E1E"/>
        </w:rPr>
        <w:t>from Helix.</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Cash provided by financing activities during the nine months ended September 30, 2025 primarily included proceeds of $395.5 million from common stock issuances. Financing outflows included a $3.0 million payment for the purchase of an intangible asset that was not soon after the purchase.</w:t>
      </w:r>
    </w:p>
    <w:p>
      <w:pPr>
        <w:spacing w:after="0" w:line="20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Cash provided by financing activities during the nine months ended September 30, 2024 primarily included proceeds of $289.4 million from common stock issuances. Financing cash inflows also included proceeds from equity incentive plans of $6.4 million</w:t>
      </w:r>
      <w:r>
        <w:rPr>
          <w:rFonts w:ascii="Arial" w:cs="Arial" w:eastAsia="Arial" w:hAnsi="Arial"/>
          <w:sz w:val="18"/>
          <w:szCs w:val="18"/>
          <w:color w:val="1E1E1E"/>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summary of the Company’s significant accounting estimates and policies is included in Note 2, “Summary of Significant Accounting Policies” in our 2024 Annual Report. There were no significant changes in the Company’s application of its critical accounting policies during the nine months ended September 30,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5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1E1E1E"/>
        </w:rPr>
        <w:t>See Note 2, “Basis of Presentation</w:t>
      </w:r>
      <w:r>
        <w:rPr>
          <w:rFonts w:ascii="Arial" w:cs="Arial" w:eastAsia="Arial" w:hAnsi="Arial"/>
          <w:sz w:val="18"/>
          <w:szCs w:val="18"/>
          <w:color w:val="000000"/>
        </w:rPr>
        <w:t>” in Item 1 of this Quarterly Report on Form 10-Q</w:t>
      </w:r>
      <w:r>
        <w:rPr>
          <w:rFonts w:ascii="Arial" w:cs="Arial" w:eastAsia="Arial" w:hAnsi="Arial"/>
          <w:sz w:val="18"/>
          <w:szCs w:val="18"/>
          <w:color w:val="1E1E1E"/>
        </w:rPr>
        <w:t xml:space="preserve"> for information regarding recently issued and adopted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0"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We are exposed to market risk related to changes in interest rates on our investment portfolio of cash and cash equivalents. As of September 30, 2025, our cash and cash equivalents consisted of money market funds. Our primary exposure to market risk is interest income sensitivity, which is affected by changes in interest rates. A hypothetical 100 basis point decrease in interest rates as of September 30, 2025</w:t>
      </w:r>
      <w:r>
        <w:rPr>
          <w:rFonts w:ascii="Arial" w:cs="Arial" w:eastAsia="Arial" w:hAnsi="Arial"/>
          <w:sz w:val="18"/>
          <w:szCs w:val="18"/>
          <w:color w:val="1E1E1E"/>
        </w:rPr>
        <w:t>,</w:t>
      </w:r>
      <w:r>
        <w:rPr>
          <w:rFonts w:ascii="Arial" w:cs="Arial" w:eastAsia="Arial" w:hAnsi="Arial"/>
          <w:sz w:val="18"/>
          <w:szCs w:val="18"/>
          <w:color w:val="auto"/>
        </w:rPr>
        <w:t xml:space="preserve"> would have an insignificant effect on net loss in the ensuing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employees and our operations are primarily located in the United States, United Kingdom and Canada and our expenses are primarily denominated in U.S. dollars, Great British pounds and Canadian dollars. We also have entered into a limited number of contracts with vendors for research and development services that have underlying payment obligations denominated in foreign currencies. We are subject to foreign currency transaction gains or losses on our contracts denominated in foreign currencies. To date, foreign currency transaction gains and losses have not been material to our financial statements and we do not have a formal hedging program with respect to foreign currency. A 10% increase or decrease in current exchange rates would have an insignificant effect on our financial results during the three and nine months ended September 30, 2025 and 2024.</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established disclosure controls and procedures (as defined in Rules 13a-15(e) and 15d-15(e) under the Securities Exchange Act of 1934, as amended (the Exchange Act)) designed to provide reasonable assurance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1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report.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September 30, 2025, our disclosure controls and procedures were ineffective due to the material weaknesses in internal control over financial reporting disclosed in Part II, Item 9A of our Annual Report on Form 10-K for the year ended December 31,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remediation actions have been taken as of September 30, 2025 related to the material weakness for estimated costs and time to completion and controls to validate the completeness and accuracy of data used to calculate revenue and unearned revenue related to our license agreement:</w:t>
      </w:r>
    </w:p>
    <w:p>
      <w:pPr>
        <w:spacing w:after="0" w:line="198" w:lineRule="exact"/>
        <w:rPr>
          <w:sz w:val="20"/>
          <w:szCs w:val="20"/>
          <w:color w:val="auto"/>
        </w:rPr>
      </w:pPr>
    </w:p>
    <w:p>
      <w:pPr>
        <w:ind w:left="660" w:right="28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 of documentation procedures regarding specific inquiries related to the cost model used for revenue recognition and the resulting responses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 of documentation for the review of changes in cost model due to responses from inquiries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 of additional documentation for internal reports to validate and support completeness and accuracy of reports</w:t>
      </w:r>
    </w:p>
    <w:p>
      <w:pPr>
        <w:spacing w:after="0" w:line="9" w:lineRule="exact"/>
        <w:rPr>
          <w:rFonts w:ascii="Arial" w:cs="Arial" w:eastAsia="Arial" w:hAnsi="Arial"/>
          <w:sz w:val="18"/>
          <w:szCs w:val="18"/>
          <w:color w:val="auto"/>
        </w:rPr>
      </w:pPr>
    </w:p>
    <w:p>
      <w:pPr>
        <w:ind w:left="660" w:right="20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Improvements in the documentation of these processes were executed with the input of our third-party consultants who continue to be involved in the design and enhancement of the revenue recognition policies and procedures</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following remediation actions have been taken as of September 30, 2025 related to the material weaknesses for the acquired Exscientia business:</w:t>
      </w:r>
    </w:p>
    <w:p>
      <w:pPr>
        <w:spacing w:after="0" w:line="248" w:lineRule="exact"/>
        <w:rPr>
          <w:sz w:val="20"/>
          <w:szCs w:val="20"/>
          <w:color w:val="auto"/>
        </w:rPr>
      </w:pPr>
    </w:p>
    <w:p>
      <w:pPr>
        <w:ind w:left="660" w:right="460" w:hanging="328"/>
        <w:spacing w:after="0" w:line="237"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Improvement of documentation of key processes and controls in the financial statement close process, including considerations around segregation of duties</w:t>
      </w:r>
    </w:p>
    <w:p>
      <w:pPr>
        <w:spacing w:after="0" w:line="18" w:lineRule="exact"/>
        <w:rPr>
          <w:rFonts w:ascii="Arial" w:cs="Arial" w:eastAsia="Arial" w:hAnsi="Arial"/>
          <w:sz w:val="22"/>
          <w:szCs w:val="22"/>
          <w:color w:val="auto"/>
        </w:rPr>
      </w:pPr>
    </w:p>
    <w:p>
      <w:pPr>
        <w:ind w:left="660" w:right="180" w:hanging="328"/>
        <w:spacing w:after="0" w:line="237" w:lineRule="auto"/>
        <w:tabs>
          <w:tab w:leader="none" w:pos="65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Improvement of documentation of key processes and controls related to information technology general controls that are significant to the financial statement close processes</w:t>
      </w:r>
    </w:p>
    <w:p>
      <w:pPr>
        <w:spacing w:after="0" w:line="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Arial" w:cs="Arial" w:eastAsia="Arial" w:hAnsi="Arial"/>
          <w:sz w:val="18"/>
          <w:szCs w:val="18"/>
          <w:color w:val="auto"/>
        </w:rPr>
        <w:t>On-going integration of Exscientia’s operations into our overall system of internal control over financial reporting</w:t>
      </w:r>
    </w:p>
    <w:p>
      <w:pPr>
        <w:spacing w:after="0" w:line="22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While significant progress has been made to enhance our internal control over financial reporting, Recursion is still designing, implementing and testing the processes, procedures and controls related to the above material weaknesses. 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September 30, 2025.</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the three months ended September 30, 2025, management was in the process of integrating the internal controls of the acquired business (Exscientia) into Recursion's existing operations as part of planned integration activities. There were no other changes in internal control over financial reporting (as defined in Rules 13a-15(f) and 15d-15(f) under the Exchange Act) that occurred during the quarter ended September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Company may, from time to time, be involved in various legal proceedings arising in the normal course of business. An unfavorable resolution of any such matter could materially affect the Company’s future financial position, results of operations or cash flows. For more information pertaining to legal proceedings, see Part I, Item 1, Note 7, “Commitments and Contingencies,” which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Investing in our common stock involves a high degree of risk. For a detailed discussion of the risks that affect our business. Please refer to the sections titled Part I, Item 1A. “Risk Factors” of our 2024 Annual Report and Part II, Item 1A. “Risk Factors” of our Quarterly Reports on Form 10-Q for the quarters ended March 31, 2025 and June 30,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Sales of Unregistered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RallyBio Private Placement</w:t>
      </w:r>
    </w:p>
    <w:p>
      <w:pPr>
        <w:spacing w:after="0" w:line="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July 08, 2025, the Company, Exscientia Ventures I, Inc., an indirect wholly-owned subsidiary of the Company (“Buyer Sub”), Rallybio Corporation (“Rallybio”), and Rallybio IPB, LLC, a wholly-owned subsidiary of Rallybio (the “Seller”), entered into a Membership Interest Purchase Agreement (the “Purchase Agreement”). Pursuant to the Purchase Agreement, on July 08, 2025, Buyer Sub acquired 50% of the issued and outstanding membership interests of RE Ventures I, LLC from the Seller in exchange for cash and shares of Class A common stock of the Company (the “Rallybio Shares”). Under the terms of the Purchase Agreement, as partial consideration, on July 08, 2025, the Company paid the Seller 1,457,952 Shares and additional cash consideration in the amounts set forth in the Purchase Agreement. The sale was made pursuant to the exemption from registration contained in Section 4(a)(2) of the Securities Act. Pursuant to the terms of the Purchase Agreement, the Company subsequently filed a prospectus supplement to a registration statement (File No. 333-284878) pursuant to Rule 424(b) on July 08, 2025, to register the resale of the Rallybio Shares by Rallybio.</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27, 2025, following the achievement of certain milestones under the Purchase Agreement, the Company issued to the Seller an aggregate of 2,397,023 Shares (the “Contingent Shares”) pursuant to the terms of the Purchase Agreement. The sale was made pursuant to the exemption from registration contained in Section 4(a)(2) of the Securities Act. Pursuant to the terms of the Purchase Agreement, on August 29, 2025, the Company filed a prospectus supplement to a registration statement (File No. 333-284878) pursuant to Rule 424(b) to register the resale of the Contingent Shares by Rallybio.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 Exercises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For the nine months ended September 30, 2025, we issued 60,800 shares of our Class A common stock to our employees, directors, advisors and consultants upon the exercise of stock options under our Key Personnel Incentive Stock Plan for aggregate consideration of approximately $21 thousand, in reliance on the exemption provided by Rule 701(b)(2)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August 31, 2025, Blake Borgeson, a member of our Board of Directors, adopted a Rule 10b5-1 trading arrangement that is intended to satisfy the affirmative defense of Rule 10b5-1(c) for the potential sale of up to 3,868,000 shares of the Company’s Class A common stock, a majority of which will not execute absent a significant increase in the market price of the Company’s Class A common stock. The plan is effective until no later than December 01, 2026.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September 22, 2025, Najat Khan, Chief R&amp;D Officer, Chief Commercial Officer, and a member of our Board of Directors, adopted a Rule 10b5-1 trading arrangement that is intended to satisfy the affirmative defense of Rule 10b5-1(c) for the sale of up to 299,317 shares of the Company’s Class A common stock until December 22, 2026.</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September 30, 2025, Ben Taylor, Chief Financial Officer and President of Recursion UK, adopted a Rule 10b5-1 trading arrangement that is intended to satisfy the affirmative defense of Rule 10b5-1(c) for the sale of up to 293,321 shares of the Company’s Class A common stock until December 29, 2026.</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1E1E1E"/>
        </w:rPr>
        <w:t>Exhibit Index:</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158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Filed /</w:t>
            </w:r>
          </w:p>
        </w:tc>
        <w:tc>
          <w:tcPr>
            <w:tcW w:w="0" w:type="dxa"/>
            <w:vAlign w:val="bottom"/>
          </w:tcPr>
          <w:p>
            <w:pPr>
              <w:spacing w:after="0"/>
              <w:rPr>
                <w:sz w:val="1"/>
                <w:szCs w:val="1"/>
                <w:color w:val="auto"/>
              </w:rPr>
            </w:pPr>
          </w:p>
        </w:tc>
      </w:tr>
      <w:tr>
        <w:trPr>
          <w:trHeight w:val="144"/>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20"/>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1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File No.</w:t>
            </w:r>
          </w:p>
        </w:tc>
        <w:tc>
          <w:tcPr>
            <w:tcW w:w="800" w:type="dxa"/>
            <w:vAlign w:val="bottom"/>
            <w:vMerge w:val="continue"/>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0"/>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5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112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4660" w:type="dxa"/>
            <w:vAlign w:val="bottom"/>
            <w:gridSpan w:val="27"/>
          </w:tcPr>
          <w:p>
            <w:pPr>
              <w:spacing w:after="0" w:line="169" w:lineRule="exact"/>
              <w:rPr>
                <w:rFonts w:ascii="Arial" w:cs="Arial" w:eastAsia="Arial" w:hAnsi="Arial"/>
                <w:sz w:val="16"/>
                <w:szCs w:val="16"/>
                <w:color w:val="0000FF"/>
              </w:rPr>
            </w:pPr>
            <w:hyperlink r:id="rId52">
              <w:r>
                <w:rPr>
                  <w:rFonts w:ascii="Arial" w:cs="Arial" w:eastAsia="Arial" w:hAnsi="Arial"/>
                  <w:sz w:val="16"/>
                  <w:szCs w:val="16"/>
                  <w:color w:val="0000FF"/>
                </w:rPr>
                <w:t>Transaction Agreement by and between Recursion</w:t>
              </w:r>
            </w:hyperlink>
          </w:p>
        </w:tc>
        <w:tc>
          <w:tcPr>
            <w:tcW w:w="860" w:type="dxa"/>
            <w:vAlign w:val="bottom"/>
          </w:tcPr>
          <w:p>
            <w:pPr>
              <w:jc w:val="center"/>
              <w:spacing w:after="0" w:line="169" w:lineRule="exact"/>
              <w:rPr>
                <w:sz w:val="20"/>
                <w:szCs w:val="20"/>
                <w:color w:val="auto"/>
              </w:rPr>
            </w:pPr>
            <w:r>
              <w:rPr>
                <w:rFonts w:ascii="Arial" w:cs="Arial" w:eastAsia="Arial" w:hAnsi="Arial"/>
                <w:sz w:val="16"/>
                <w:szCs w:val="16"/>
                <w:color w:val="auto"/>
              </w:rPr>
              <w:t>8-K</w:t>
            </w:r>
          </w:p>
        </w:tc>
        <w:tc>
          <w:tcPr>
            <w:tcW w:w="1180" w:type="dxa"/>
            <w:vAlign w:val="bottom"/>
          </w:tcPr>
          <w:p>
            <w:pPr>
              <w:jc w:val="center"/>
              <w:spacing w:after="0" w:line="169" w:lineRule="exact"/>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line="169" w:lineRule="exact"/>
              <w:rPr>
                <w:sz w:val="20"/>
                <w:szCs w:val="20"/>
                <w:color w:val="auto"/>
              </w:rPr>
            </w:pPr>
            <w:r>
              <w:rPr>
                <w:rFonts w:ascii="Arial" w:cs="Arial" w:eastAsia="Arial" w:hAnsi="Arial"/>
                <w:sz w:val="16"/>
                <w:szCs w:val="16"/>
                <w:color w:val="auto"/>
                <w:w w:val="98"/>
              </w:rPr>
              <w:t>2.1</w:t>
            </w:r>
          </w:p>
        </w:tc>
        <w:tc>
          <w:tcPr>
            <w:tcW w:w="1580" w:type="dxa"/>
            <w:vAlign w:val="bottom"/>
          </w:tcPr>
          <w:p>
            <w:pPr>
              <w:jc w:val="center"/>
              <w:spacing w:after="0" w:line="169" w:lineRule="exact"/>
              <w:rPr>
                <w:sz w:val="20"/>
                <w:szCs w:val="20"/>
                <w:color w:val="auto"/>
              </w:rPr>
            </w:pPr>
            <w:r>
              <w:rPr>
                <w:rFonts w:ascii="Arial" w:cs="Arial" w:eastAsia="Arial" w:hAnsi="Arial"/>
                <w:sz w:val="16"/>
                <w:szCs w:val="16"/>
                <w:color w:val="auto"/>
              </w:rPr>
              <w:t>August 8, 2024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64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52">
              <w:r>
                <w:rPr>
                  <w:rFonts w:ascii="Arial" w:cs="Arial" w:eastAsia="Arial" w:hAnsi="Arial"/>
                  <w:sz w:val="16"/>
                  <w:szCs w:val="16"/>
                  <w:color w:val="0000FF"/>
                </w:rPr>
                <w:t>Pharmaceuticals, Inc. and Exscientia plc dated as</w:t>
              </w:r>
            </w:hyperlink>
          </w:p>
        </w:tc>
        <w:tc>
          <w:tcPr>
            <w:tcW w:w="1020" w:type="dxa"/>
            <w:vAlign w:val="bottom"/>
            <w:gridSpan w:val="17"/>
          </w:tcPr>
          <w:p>
            <w:pPr>
              <w:jc w:val="right"/>
              <w:ind w:right="180"/>
              <w:spacing w:after="0" w:line="142" w:lineRule="exact"/>
              <w:rPr>
                <w:rFonts w:ascii="Arial" w:cs="Arial" w:eastAsia="Arial" w:hAnsi="Arial"/>
                <w:sz w:val="16"/>
                <w:szCs w:val="16"/>
                <w:color w:val="0000FF"/>
                <w:w w:val="95"/>
              </w:rPr>
            </w:pPr>
            <w:hyperlink r:id="rId52">
              <w:r>
                <w:rPr>
                  <w:rFonts w:ascii="Arial" w:cs="Arial" w:eastAsia="Arial" w:hAnsi="Arial"/>
                  <w:sz w:val="16"/>
                  <w:szCs w:val="16"/>
                  <w:color w:val="0000FF"/>
                  <w:w w:val="95"/>
                </w:rPr>
                <w:t>of August 8,</w:t>
              </w:r>
            </w:hyperlink>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r:id="rId52">
              <w:r>
                <w:rPr>
                  <w:rFonts w:ascii="Arial" w:cs="Arial" w:eastAsia="Arial" w:hAnsi="Arial"/>
                  <w:sz w:val="16"/>
                  <w:szCs w:val="16"/>
                  <w:color w:val="0000FF"/>
                  <w:w w:val="94"/>
                </w:rPr>
                <w:t>2024.</w:t>
              </w:r>
            </w:hyperlink>
          </w:p>
        </w:tc>
        <w:tc>
          <w:tcPr>
            <w:tcW w:w="1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4660" w:type="dxa"/>
            <w:vAlign w:val="bottom"/>
            <w:gridSpan w:val="27"/>
          </w:tcPr>
          <w:p>
            <w:pPr>
              <w:spacing w:after="0"/>
              <w:rPr>
                <w:rFonts w:ascii="Arial" w:cs="Arial" w:eastAsia="Arial" w:hAnsi="Arial"/>
                <w:sz w:val="16"/>
                <w:szCs w:val="16"/>
                <w:color w:val="0000FF"/>
              </w:rPr>
            </w:pPr>
            <w:hyperlink r:id="rId53">
              <w:r>
                <w:rPr>
                  <w:rFonts w:ascii="Arial" w:cs="Arial" w:eastAsia="Arial" w:hAnsi="Arial"/>
                  <w:sz w:val="16"/>
                  <w:szCs w:val="16"/>
                  <w:color w:val="0000FF"/>
                </w:rPr>
                <w:t>Amended and Restated Certificate of Incorporation of Recursion</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21,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0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53">
              <w:r>
                <w:rPr>
                  <w:rFonts w:ascii="Arial" w:cs="Arial" w:eastAsia="Arial" w:hAnsi="Arial"/>
                  <w:sz w:val="16"/>
                  <w:szCs w:val="16"/>
                  <w:color w:val="0000FF"/>
                </w:rPr>
                <w:t>Pharmaceuticals, 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4660" w:type="dxa"/>
            <w:vAlign w:val="bottom"/>
            <w:gridSpan w:val="27"/>
          </w:tcPr>
          <w:p>
            <w:pPr>
              <w:spacing w:after="0"/>
              <w:rPr>
                <w:rFonts w:ascii="Arial" w:cs="Arial" w:eastAsia="Arial" w:hAnsi="Arial"/>
                <w:sz w:val="16"/>
                <w:szCs w:val="16"/>
                <w:color w:val="0000FF"/>
              </w:rPr>
            </w:pPr>
            <w:hyperlink r:id="rId54">
              <w:r>
                <w:rPr>
                  <w:rFonts w:ascii="Arial" w:cs="Arial" w:eastAsia="Arial" w:hAnsi="Arial"/>
                  <w:sz w:val="16"/>
                  <w:szCs w:val="16"/>
                  <w:color w:val="0000FF"/>
                </w:rPr>
                <w:t>Amended and Restated Bylaws of Recursion Pharmaceuticals,</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580" w:type="dxa"/>
            <w:vAlign w:val="bottom"/>
          </w:tcPr>
          <w:p>
            <w:pPr>
              <w:jc w:val="center"/>
              <w:spacing w:after="0"/>
              <w:rPr>
                <w:sz w:val="20"/>
                <w:szCs w:val="20"/>
                <w:color w:val="auto"/>
              </w:rPr>
            </w:pPr>
            <w:r>
              <w:rPr>
                <w:rFonts w:ascii="Arial" w:cs="Arial" w:eastAsia="Arial" w:hAnsi="Arial"/>
                <w:sz w:val="16"/>
                <w:szCs w:val="16"/>
                <w:color w:val="auto"/>
              </w:rPr>
              <w:t>January 31,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0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54">
              <w:r>
                <w:rPr>
                  <w:rFonts w:ascii="Arial" w:cs="Arial" w:eastAsia="Arial" w:hAnsi="Arial"/>
                  <w:sz w:val="16"/>
                  <w:szCs w:val="16"/>
                  <w:color w:val="0000FF"/>
                </w:rPr>
                <w:t>Inc.</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4660" w:type="dxa"/>
            <w:vAlign w:val="bottom"/>
            <w:gridSpan w:val="27"/>
          </w:tcPr>
          <w:p>
            <w:pPr>
              <w:spacing w:after="0"/>
              <w:rPr>
                <w:rFonts w:ascii="Arial" w:cs="Arial" w:eastAsia="Arial" w:hAnsi="Arial"/>
                <w:sz w:val="16"/>
                <w:szCs w:val="16"/>
                <w:color w:val="0000FF"/>
              </w:rPr>
            </w:pPr>
            <w:hyperlink r:id="rId55">
              <w:r>
                <w:rPr>
                  <w:rFonts w:ascii="Arial" w:cs="Arial" w:eastAsia="Arial" w:hAnsi="Arial"/>
                  <w:sz w:val="16"/>
                  <w:szCs w:val="16"/>
                  <w:color w:val="0000FF"/>
                </w:rPr>
                <w:t>Specimen Class A common stock certificate of the Registrant.</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S-1/A</w:t>
            </w:r>
          </w:p>
        </w:tc>
        <w:tc>
          <w:tcPr>
            <w:tcW w:w="1180" w:type="dxa"/>
            <w:vAlign w:val="bottom"/>
          </w:tcPr>
          <w:p>
            <w:pPr>
              <w:jc w:val="center"/>
              <w:spacing w:after="0"/>
              <w:rPr>
                <w:sz w:val="20"/>
                <w:szCs w:val="20"/>
                <w:color w:val="auto"/>
              </w:rPr>
            </w:pPr>
            <w:r>
              <w:rPr>
                <w:rFonts w:ascii="Arial" w:cs="Arial" w:eastAsia="Arial" w:hAnsi="Arial"/>
                <w:sz w:val="16"/>
                <w:szCs w:val="16"/>
                <w:color w:val="auto"/>
              </w:rPr>
              <w:t>333-254576</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April 15, 2021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4440" w:type="dxa"/>
            <w:vAlign w:val="bottom"/>
            <w:tcBorders>
              <w:bottom w:val="single" w:sz="8" w:color="0000FF"/>
            </w:tcBorders>
            <w:gridSpan w:val="17"/>
          </w:tcPr>
          <w:p>
            <w:pPr>
              <w:spacing w:after="0"/>
              <w:rPr>
                <w:rFonts w:ascii="Arial" w:cs="Arial" w:eastAsia="Arial" w:hAnsi="Arial"/>
                <w:sz w:val="16"/>
                <w:szCs w:val="16"/>
                <w:color w:val="0000FF"/>
              </w:rPr>
            </w:pPr>
            <w:hyperlink r:id="rId56">
              <w:r>
                <w:rPr>
                  <w:rFonts w:ascii="Arial" w:cs="Arial" w:eastAsia="Arial" w:hAnsi="Arial"/>
                  <w:sz w:val="16"/>
                  <w:szCs w:val="16"/>
                  <w:color w:val="0000FF"/>
                </w:rPr>
                <w:t>Exchangeable Share Support Agreement, dated May 8, 2023.</w:t>
              </w:r>
            </w:hyperlink>
          </w:p>
        </w:tc>
        <w:tc>
          <w:tcPr>
            <w:tcW w:w="220" w:type="dxa"/>
            <w:vAlign w:val="bottom"/>
            <w:gridSpan w:val="10"/>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4660" w:type="dxa"/>
            <w:vAlign w:val="bottom"/>
            <w:gridSpan w:val="27"/>
          </w:tcPr>
          <w:p>
            <w:pPr>
              <w:spacing w:after="0"/>
              <w:rPr>
                <w:rFonts w:ascii="Arial" w:cs="Arial" w:eastAsia="Arial" w:hAnsi="Arial"/>
                <w:sz w:val="16"/>
                <w:szCs w:val="16"/>
                <w:color w:val="0000FF"/>
              </w:rPr>
            </w:pPr>
            <w:hyperlink r:id="rId57">
              <w:r>
                <w:rPr>
                  <w:rFonts w:ascii="Arial" w:cs="Arial" w:eastAsia="Arial" w:hAnsi="Arial"/>
                  <w:sz w:val="16"/>
                  <w:szCs w:val="16"/>
                  <w:color w:val="0000FF"/>
                </w:rPr>
                <w:t>Registration Rights Agreement, dated October 24, 2022,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October 25, 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00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among the Company and the Purchasers.</w:t>
              </w:r>
            </w:hyperlink>
          </w:p>
        </w:tc>
        <w:tc>
          <w:tcPr>
            <w:tcW w:w="158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4.4</w:t>
            </w:r>
          </w:p>
        </w:tc>
        <w:tc>
          <w:tcPr>
            <w:tcW w:w="4660" w:type="dxa"/>
            <w:vAlign w:val="bottom"/>
            <w:gridSpan w:val="27"/>
          </w:tcPr>
          <w:p>
            <w:pPr>
              <w:spacing w:after="0"/>
              <w:rPr>
                <w:rFonts w:ascii="Arial" w:cs="Arial" w:eastAsia="Arial" w:hAnsi="Arial"/>
                <w:sz w:val="16"/>
                <w:szCs w:val="16"/>
                <w:color w:val="0000FF"/>
              </w:rPr>
            </w:pPr>
            <w:hyperlink r:id="rId58">
              <w:r>
                <w:rPr>
                  <w:rFonts w:ascii="Arial" w:cs="Arial" w:eastAsia="Arial" w:hAnsi="Arial"/>
                  <w:sz w:val="16"/>
                  <w:szCs w:val="16"/>
                  <w:color w:val="0000FF"/>
                </w:rPr>
                <w:t>Registration Agreement, dated May 16,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S-3ASR</w:t>
            </w:r>
          </w:p>
        </w:tc>
        <w:tc>
          <w:tcPr>
            <w:tcW w:w="1180" w:type="dxa"/>
            <w:vAlign w:val="bottom"/>
          </w:tcPr>
          <w:p>
            <w:pPr>
              <w:jc w:val="center"/>
              <w:spacing w:after="0"/>
              <w:rPr>
                <w:sz w:val="20"/>
                <w:szCs w:val="20"/>
                <w:color w:val="auto"/>
              </w:rPr>
            </w:pPr>
            <w:r>
              <w:rPr>
                <w:rFonts w:ascii="Arial" w:cs="Arial" w:eastAsia="Arial" w:hAnsi="Arial"/>
                <w:sz w:val="16"/>
                <w:szCs w:val="16"/>
                <w:color w:val="auto"/>
              </w:rPr>
              <w:t>333-272281</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580" w:type="dxa"/>
            <w:vAlign w:val="bottom"/>
          </w:tcPr>
          <w:p>
            <w:pPr>
              <w:jc w:val="center"/>
              <w:spacing w:after="0"/>
              <w:rPr>
                <w:sz w:val="20"/>
                <w:szCs w:val="20"/>
                <w:color w:val="auto"/>
              </w:rPr>
            </w:pPr>
            <w:r>
              <w:rPr>
                <w:rFonts w:ascii="Arial" w:cs="Arial" w:eastAsia="Arial" w:hAnsi="Arial"/>
                <w:sz w:val="16"/>
                <w:szCs w:val="16"/>
                <w:color w:val="auto"/>
              </w:rPr>
              <w:t>May 30,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Registrant, Valence Discovery, Inc., and certain shareholders of</w:t>
              </w:r>
            </w:hyperlink>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6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58">
              <w:r>
                <w:rPr>
                  <w:rFonts w:ascii="Arial" w:cs="Arial" w:eastAsia="Arial" w:hAnsi="Arial"/>
                  <w:sz w:val="16"/>
                  <w:szCs w:val="16"/>
                  <w:color w:val="0000FF"/>
                </w:rPr>
                <w:t>Valence Discovery, Inc.</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4660" w:type="dxa"/>
            <w:vAlign w:val="bottom"/>
            <w:gridSpan w:val="27"/>
          </w:tcPr>
          <w:p>
            <w:pPr>
              <w:spacing w:after="0"/>
              <w:rPr>
                <w:rFonts w:ascii="Arial" w:cs="Arial" w:eastAsia="Arial" w:hAnsi="Arial"/>
                <w:sz w:val="16"/>
                <w:szCs w:val="16"/>
                <w:color w:val="0000FF"/>
              </w:rPr>
            </w:pPr>
            <w:hyperlink r:id="rId59">
              <w:r>
                <w:rPr>
                  <w:rFonts w:ascii="Arial" w:cs="Arial" w:eastAsia="Arial" w:hAnsi="Arial"/>
                  <w:sz w:val="16"/>
                  <w:szCs w:val="16"/>
                  <w:color w:val="0000FF"/>
                </w:rPr>
                <w:t>Registration Agreement, dated May 25, 2023, by and among the</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580" w:type="dxa"/>
            <w:vAlign w:val="bottom"/>
          </w:tcPr>
          <w:p>
            <w:pPr>
              <w:jc w:val="center"/>
              <w:spacing w:after="0"/>
              <w:rPr>
                <w:sz w:val="20"/>
                <w:szCs w:val="20"/>
                <w:color w:val="auto"/>
              </w:rPr>
            </w:pPr>
            <w:r>
              <w:rPr>
                <w:rFonts w:ascii="Arial" w:cs="Arial" w:eastAsia="Arial" w:hAnsi="Arial"/>
                <w:sz w:val="16"/>
                <w:szCs w:val="16"/>
                <w:color w:val="auto"/>
              </w:rPr>
              <w:t>June 9,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Registrant, Recursion Canada Inc., and certain shareholders of</w:t>
              </w:r>
            </w:hyperlink>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2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59">
              <w:r>
                <w:rPr>
                  <w:rFonts w:ascii="Arial" w:cs="Arial" w:eastAsia="Arial" w:hAnsi="Arial"/>
                  <w:sz w:val="16"/>
                  <w:szCs w:val="16"/>
                  <w:color w:val="0000FF"/>
                </w:rPr>
                <w:t>Cyclica Inc.</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w w:val="98"/>
              </w:rPr>
              <w:t>4.6</w:t>
            </w:r>
          </w:p>
        </w:tc>
        <w:tc>
          <w:tcPr>
            <w:tcW w:w="4660" w:type="dxa"/>
            <w:vAlign w:val="bottom"/>
            <w:gridSpan w:val="27"/>
          </w:tcPr>
          <w:p>
            <w:pPr>
              <w:spacing w:after="0"/>
              <w:rPr>
                <w:rFonts w:ascii="Arial" w:cs="Arial" w:eastAsia="Arial" w:hAnsi="Arial"/>
                <w:sz w:val="16"/>
                <w:szCs w:val="16"/>
                <w:color w:val="0000FF"/>
              </w:rPr>
            </w:pPr>
            <w:hyperlink r:id="rId60">
              <w:r>
                <w:rPr>
                  <w:rFonts w:ascii="Arial" w:cs="Arial" w:eastAsia="Arial" w:hAnsi="Arial"/>
                  <w:sz w:val="16"/>
                  <w:szCs w:val="16"/>
                  <w:color w:val="0000FF"/>
                </w:rPr>
                <w:t>Registration Rights Agreement, dated July 11, 2023, by and</w:t>
              </w:r>
            </w:hyperlink>
          </w:p>
        </w:tc>
        <w:tc>
          <w:tcPr>
            <w:tcW w:w="860" w:type="dxa"/>
            <w:vAlign w:val="bottom"/>
          </w:tcPr>
          <w:p>
            <w:pPr>
              <w:jc w:val="center"/>
              <w:spacing w:after="0"/>
              <w:rPr>
                <w:sz w:val="20"/>
                <w:szCs w:val="20"/>
                <w:color w:val="auto"/>
              </w:rPr>
            </w:pPr>
            <w:r>
              <w:rPr>
                <w:rFonts w:ascii="Arial" w:cs="Arial" w:eastAsia="Arial" w:hAnsi="Arial"/>
                <w:sz w:val="16"/>
                <w:szCs w:val="16"/>
                <w:color w:val="auto"/>
              </w:rPr>
              <w:t>8-K</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001-40323</w:t>
            </w:r>
          </w:p>
        </w:tc>
        <w:tc>
          <w:tcPr>
            <w:tcW w:w="80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1580" w:type="dxa"/>
            <w:vAlign w:val="bottom"/>
          </w:tcPr>
          <w:p>
            <w:pPr>
              <w:jc w:val="center"/>
              <w:spacing w:after="0"/>
              <w:rPr>
                <w:sz w:val="20"/>
                <w:szCs w:val="20"/>
                <w:color w:val="auto"/>
              </w:rPr>
            </w:pPr>
            <w:r>
              <w:rPr>
                <w:rFonts w:ascii="Arial" w:cs="Arial" w:eastAsia="Arial" w:hAnsi="Arial"/>
                <w:sz w:val="16"/>
                <w:szCs w:val="16"/>
                <w:color w:val="auto"/>
              </w:rPr>
              <w:t>July 12. 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25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among the Registrant and NVIDIA.</w:t>
              </w:r>
            </w:hyperlink>
          </w:p>
        </w:tc>
        <w:tc>
          <w:tcPr>
            <w:tcW w:w="17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31.1</w:t>
            </w:r>
          </w:p>
        </w:tc>
        <w:tc>
          <w:tcPr>
            <w:tcW w:w="4660" w:type="dxa"/>
            <w:vAlign w:val="bottom"/>
            <w:gridSpan w:val="27"/>
          </w:tcPr>
          <w:p>
            <w:pPr>
              <w:spacing w:after="0"/>
              <w:rPr>
                <w:sz w:val="20"/>
                <w:szCs w:val="20"/>
                <w:color w:val="auto"/>
              </w:rPr>
            </w:pPr>
            <w:r>
              <w:rPr>
                <w:rFonts w:ascii="Arial" w:cs="Arial" w:eastAsia="Arial" w:hAnsi="Arial"/>
                <w:sz w:val="16"/>
                <w:szCs w:val="16"/>
                <w:color w:val="0000FF"/>
              </w:rPr>
              <w:t>Certification of Principal Executive Officer Pursuant to Rules</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2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13a-14(a) and 15d-14(a) under the Securities Exchange Act</w:t>
            </w:r>
          </w:p>
        </w:tc>
        <w:tc>
          <w:tcPr>
            <w:tcW w:w="340" w:type="dxa"/>
            <w:vAlign w:val="bottom"/>
            <w:gridSpan w:val="12"/>
          </w:tcPr>
          <w:p>
            <w:pPr>
              <w:jc w:val="right"/>
              <w:ind w:right="180"/>
              <w:spacing w:after="0" w:line="142" w:lineRule="exact"/>
              <w:rPr>
                <w:sz w:val="20"/>
                <w:szCs w:val="20"/>
                <w:color w:val="auto"/>
              </w:rPr>
            </w:pPr>
            <w:r>
              <w:rPr>
                <w:rFonts w:ascii="Arial" w:cs="Arial" w:eastAsia="Arial" w:hAnsi="Arial"/>
                <w:sz w:val="16"/>
                <w:szCs w:val="16"/>
                <w:color w:val="0000FF"/>
              </w:rPr>
              <w:t>of</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48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1934, as Adopted Pursuant to Section 302 of the Sarbanes-</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30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Oxley Act of 2002.</w:t>
            </w:r>
          </w:p>
        </w:tc>
        <w:tc>
          <w:tcPr>
            <w:tcW w:w="2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31.2</w:t>
            </w:r>
          </w:p>
        </w:tc>
        <w:tc>
          <w:tcPr>
            <w:tcW w:w="466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rPr>
              <w:t>Certification of Principal Financial Officer Pursuant to Rules 13a-</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gridSpan w:val="27"/>
          </w:tcPr>
          <w:p>
            <w:pPr>
              <w:spacing w:after="0" w:line="142" w:lineRule="exact"/>
              <w:rPr>
                <w:sz w:val="20"/>
                <w:szCs w:val="20"/>
                <w:color w:val="auto"/>
              </w:rPr>
            </w:pPr>
            <w:r>
              <w:rPr>
                <w:rFonts w:ascii="Arial" w:cs="Arial" w:eastAsia="Arial" w:hAnsi="Arial"/>
                <w:sz w:val="16"/>
                <w:szCs w:val="16"/>
                <w:color w:val="0000FF"/>
              </w:rPr>
              <w:t>14(a) and 15d-14(a) under the Securities Exchange Act of 1934,</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20" w:type="dxa"/>
            <w:vAlign w:val="bottom"/>
            <w:tcBorders>
              <w:top w:val="single" w:sz="8" w:color="0000FF"/>
            </w:tcBorders>
            <w:gridSpan w:val="25"/>
          </w:tcPr>
          <w:p>
            <w:pPr>
              <w:spacing w:after="0" w:line="142" w:lineRule="exact"/>
              <w:rPr>
                <w:sz w:val="20"/>
                <w:szCs w:val="20"/>
                <w:color w:val="auto"/>
              </w:rPr>
            </w:pPr>
            <w:r>
              <w:rPr>
                <w:rFonts w:ascii="Arial" w:cs="Arial" w:eastAsia="Arial" w:hAnsi="Arial"/>
                <w:sz w:val="16"/>
                <w:szCs w:val="16"/>
                <w:color w:val="0000FF"/>
              </w:rPr>
              <w:t>as Adopted Pursuant to Section 302 of the Sarbanes-Oxley Act</w:t>
            </w:r>
          </w:p>
        </w:tc>
        <w:tc>
          <w:tcPr>
            <w:tcW w:w="40" w:type="dxa"/>
            <w:vAlign w:val="bottom"/>
            <w:gridSpan w:val="2"/>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54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of 2002.</w:t>
            </w:r>
          </w:p>
        </w:tc>
        <w:tc>
          <w:tcPr>
            <w:tcW w:w="120" w:type="dxa"/>
            <w:vAlign w:val="bottom"/>
            <w:gridSpan w:val="6"/>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rPr>
                <w:sz w:val="20"/>
                <w:szCs w:val="20"/>
                <w:color w:val="auto"/>
              </w:rPr>
            </w:pPr>
            <w:r>
              <w:rPr>
                <w:rFonts w:ascii="Arial" w:cs="Arial" w:eastAsia="Arial" w:hAnsi="Arial"/>
                <w:sz w:val="16"/>
                <w:szCs w:val="16"/>
                <w:color w:val="auto"/>
              </w:rPr>
              <w:t>32.1**</w:t>
            </w:r>
          </w:p>
        </w:tc>
        <w:tc>
          <w:tcPr>
            <w:tcW w:w="4660" w:type="dxa"/>
            <w:vAlign w:val="bottom"/>
            <w:gridSpan w:val="27"/>
          </w:tcPr>
          <w:p>
            <w:pPr>
              <w:spacing w:after="0"/>
              <w:rPr>
                <w:sz w:val="20"/>
                <w:szCs w:val="20"/>
                <w:color w:val="auto"/>
              </w:rPr>
            </w:pPr>
            <w:r>
              <w:rPr>
                <w:rFonts w:ascii="Arial" w:cs="Arial" w:eastAsia="Arial" w:hAnsi="Arial"/>
                <w:sz w:val="16"/>
                <w:szCs w:val="16"/>
                <w:color w:val="0000FF"/>
              </w:rPr>
              <w:t>Certification of Principal Executive Officer and Principal</w:t>
            </w: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40" w:type="dxa"/>
            <w:vAlign w:val="bottom"/>
            <w:gridSpan w:val="11"/>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20" w:type="dxa"/>
            <w:vAlign w:val="bottom"/>
          </w:tcPr>
          <w:p>
            <w:pPr>
              <w:spacing w:after="0"/>
              <w:rPr>
                <w:sz w:val="12"/>
                <w:szCs w:val="12"/>
                <w:color w:val="auto"/>
              </w:rPr>
            </w:pPr>
          </w:p>
        </w:tc>
        <w:tc>
          <w:tcPr>
            <w:tcW w:w="4660" w:type="dxa"/>
            <w:vAlign w:val="bottom"/>
            <w:gridSpan w:val="27"/>
          </w:tcPr>
          <w:p>
            <w:pPr>
              <w:spacing w:after="0" w:line="142" w:lineRule="exact"/>
              <w:rPr>
                <w:sz w:val="20"/>
                <w:szCs w:val="20"/>
                <w:color w:val="auto"/>
              </w:rPr>
            </w:pPr>
            <w:r>
              <w:rPr>
                <w:rFonts w:ascii="Arial" w:cs="Arial" w:eastAsia="Arial" w:hAnsi="Arial"/>
                <w:sz w:val="16"/>
                <w:szCs w:val="16"/>
                <w:color w:val="0000FF"/>
              </w:rPr>
              <w:t>Financial Officer Pursuant to 18 U.S.C. Section 1350, as</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4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Adopted Pursuant to Section 906 of the Sarbanes-Oxley</w:t>
            </w:r>
          </w:p>
        </w:tc>
        <w:tc>
          <w:tcPr>
            <w:tcW w:w="620" w:type="dxa"/>
            <w:vAlign w:val="bottom"/>
            <w:gridSpan w:val="15"/>
          </w:tcPr>
          <w:p>
            <w:pPr>
              <w:jc w:val="right"/>
              <w:ind w:right="160"/>
              <w:spacing w:after="0" w:line="142" w:lineRule="exact"/>
              <w:rPr>
                <w:sz w:val="20"/>
                <w:szCs w:val="20"/>
                <w:color w:val="auto"/>
              </w:rPr>
            </w:pPr>
            <w:r>
              <w:rPr>
                <w:rFonts w:ascii="Arial" w:cs="Arial" w:eastAsia="Arial" w:hAnsi="Arial"/>
                <w:sz w:val="16"/>
                <w:szCs w:val="16"/>
                <w:color w:val="0000FF"/>
              </w:rPr>
              <w:t>Act of</w:t>
            </w: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00" w:type="dxa"/>
            <w:vAlign w:val="bottom"/>
            <w:tcBorders>
              <w:top w:val="single" w:sz="8" w:color="0000FF"/>
              <w:bottom w:val="single" w:sz="8" w:color="0000FF"/>
            </w:tcBorders>
            <w:gridSpan w:val="2"/>
          </w:tcPr>
          <w:p>
            <w:pPr>
              <w:spacing w:after="0" w:line="142" w:lineRule="exact"/>
              <w:rPr>
                <w:sz w:val="20"/>
                <w:szCs w:val="20"/>
                <w:color w:val="auto"/>
              </w:rPr>
            </w:pPr>
            <w:r>
              <w:rPr>
                <w:rFonts w:ascii="Arial" w:cs="Arial" w:eastAsia="Arial" w:hAnsi="Arial"/>
                <w:sz w:val="16"/>
                <w:szCs w:val="16"/>
                <w:color w:val="0000FF"/>
                <w:w w:val="94"/>
              </w:rPr>
              <w:t>2002.</w:t>
            </w:r>
          </w:p>
        </w:tc>
        <w:tc>
          <w:tcPr>
            <w:tcW w:w="1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1120" w:type="dxa"/>
            <w:vAlign w:val="bottom"/>
          </w:tcPr>
          <w:p>
            <w:pPr>
              <w:jc w:val="center"/>
              <w:spacing w:after="0"/>
              <w:rPr>
                <w:sz w:val="20"/>
                <w:szCs w:val="20"/>
                <w:color w:val="auto"/>
              </w:rPr>
            </w:pPr>
            <w:r>
              <w:rPr>
                <w:rFonts w:ascii="Arial" w:cs="Arial" w:eastAsia="Arial" w:hAnsi="Arial"/>
                <w:sz w:val="16"/>
                <w:szCs w:val="16"/>
                <w:color w:val="auto"/>
              </w:rPr>
              <w:t>101.INS</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Instance Document</w:t>
            </w: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101.SCH</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Schema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101.CAL</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101.DEF</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rPr>
              <w:t>101.LAB</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Label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6"/>
                <w:szCs w:val="16"/>
                <w:color w:val="auto"/>
                <w:w w:val="99"/>
              </w:rPr>
              <w:t>101.PRE</w:t>
            </w:r>
          </w:p>
        </w:tc>
        <w:tc>
          <w:tcPr>
            <w:tcW w:w="4660" w:type="dxa"/>
            <w:vAlign w:val="bottom"/>
            <w:gridSpan w:val="27"/>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164"/>
        </w:trPr>
        <w:tc>
          <w:tcPr>
            <w:tcW w:w="1120" w:type="dxa"/>
            <w:vAlign w:val="bottom"/>
          </w:tcPr>
          <w:p>
            <w:pPr>
              <w:jc w:val="center"/>
              <w:spacing w:after="0" w:line="164" w:lineRule="exact"/>
              <w:rPr>
                <w:sz w:val="20"/>
                <w:szCs w:val="20"/>
                <w:color w:val="auto"/>
              </w:rPr>
            </w:pPr>
            <w:r>
              <w:rPr>
                <w:rFonts w:ascii="Arial" w:cs="Arial" w:eastAsia="Arial" w:hAnsi="Arial"/>
                <w:sz w:val="16"/>
                <w:szCs w:val="16"/>
                <w:color w:val="auto"/>
                <w:w w:val="97"/>
              </w:rPr>
              <w:t>104</w:t>
            </w:r>
          </w:p>
        </w:tc>
        <w:tc>
          <w:tcPr>
            <w:tcW w:w="4660" w:type="dxa"/>
            <w:vAlign w:val="bottom"/>
            <w:gridSpan w:val="27"/>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jc w:val="center"/>
              <w:spacing w:after="0" w:line="164"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4660" w:type="dxa"/>
            <w:vAlign w:val="bottom"/>
            <w:gridSpan w:val="27"/>
          </w:tcPr>
          <w:p>
            <w:pPr>
              <w:spacing w:after="0"/>
              <w:rPr>
                <w:sz w:val="20"/>
                <w:szCs w:val="20"/>
                <w:color w:val="auto"/>
              </w:rPr>
            </w:pPr>
            <w:r>
              <w:rPr>
                <w:rFonts w:ascii="Arial" w:cs="Arial" w:eastAsia="Arial" w:hAnsi="Arial"/>
                <w:sz w:val="16"/>
                <w:szCs w:val="16"/>
                <w:color w:val="auto"/>
              </w:rPr>
              <w:t>contained in Exhibit 101)</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120" w:right="360" w:hanging="600"/>
        <w:spacing w:after="0" w:line="224"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6"/>
          <w:szCs w:val="16"/>
          <w:color w:val="auto"/>
        </w:rPr>
        <w:t>Exhibits and/or schedules have been omitted pursuant to Item 601(a)(5) of Regulation S-K. The registrant hereby undertakes to furnish supplementally copies of any of the omitted exhibits and schedules upon request by the SEC; provided, however, that the registrant may request confidential treatment pursuant to Rule 24b-2 under the Exchange Act for any exhibits or schedules so furnished.</w:t>
      </w:r>
    </w:p>
    <w:p>
      <w:pPr>
        <w:spacing w:after="0" w:line="3" w:lineRule="exact"/>
        <w:rPr>
          <w:sz w:val="20"/>
          <w:szCs w:val="20"/>
          <w:color w:val="auto"/>
        </w:rPr>
      </w:pPr>
    </w:p>
    <w:p>
      <w:pPr>
        <w:ind w:left="1120" w:right="360" w:hanging="635"/>
        <w:spacing w:after="0" w:line="221"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6"/>
          <w:szCs w:val="16"/>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660"/>
        <w:spacing w:after="0" w:line="281"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 on November 5, 2025.</w:t>
      </w:r>
    </w:p>
    <w:p>
      <w:pPr>
        <w:spacing w:after="0" w:line="1" w:lineRule="exact"/>
        <w:rPr>
          <w:sz w:val="20"/>
          <w:szCs w:val="20"/>
          <w:color w:val="auto"/>
        </w:rPr>
      </w:pPr>
    </w:p>
    <w:tbl>
      <w:tblPr>
        <w:tblLayout w:type="fixed"/>
        <w:tblInd w:w="6280" w:type="dxa"/>
        <w:tblCellMar>
          <w:top w:w="0" w:type="dxa"/>
          <w:left w:w="0" w:type="dxa"/>
          <w:bottom w:w="0" w:type="dxa"/>
          <w:right w:w="0" w:type="dxa"/>
        </w:tblCellMar>
      </w:tblPr>
      <w:tr>
        <w:trPr>
          <w:trHeight w:val="239"/>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RECURSION PHARMACEUTICALS, INC.</w:t>
            </w:r>
          </w:p>
        </w:tc>
      </w:tr>
      <w:tr>
        <w:trPr>
          <w:trHeight w:val="531"/>
        </w:trPr>
        <w:tc>
          <w:tcPr>
            <w:tcW w:w="520" w:type="dxa"/>
            <w:vAlign w:val="bottom"/>
            <w:gridSpan w:val="2"/>
          </w:tcPr>
          <w:p>
            <w:pPr>
              <w:ind w:left="140"/>
              <w:spacing w:after="0"/>
              <w:rPr>
                <w:sz w:val="20"/>
                <w:szCs w:val="20"/>
                <w:color w:val="auto"/>
              </w:rPr>
            </w:pPr>
            <w:r>
              <w:rPr>
                <w:rFonts w:ascii="Arial" w:cs="Arial" w:eastAsia="Arial" w:hAnsi="Arial"/>
                <w:sz w:val="18"/>
                <w:szCs w:val="18"/>
                <w:color w:val="auto"/>
              </w:rPr>
              <w:t>By:</w:t>
            </w:r>
          </w:p>
        </w:tc>
        <w:tc>
          <w:tcPr>
            <w:tcW w:w="4440" w:type="dxa"/>
            <w:vAlign w:val="bottom"/>
          </w:tcPr>
          <w:p>
            <w:pPr>
              <w:jc w:val="right"/>
              <w:spacing w:after="0"/>
              <w:rPr>
                <w:sz w:val="20"/>
                <w:szCs w:val="20"/>
                <w:color w:val="auto"/>
              </w:rPr>
            </w:pPr>
            <w:r>
              <w:rPr>
                <w:rFonts w:ascii="Arial" w:cs="Arial" w:eastAsia="Arial" w:hAnsi="Arial"/>
                <w:sz w:val="18"/>
                <w:szCs w:val="18"/>
                <w:color w:val="auto"/>
              </w:rPr>
              <w:t>/s/ Christopher Gibson</w:t>
            </w:r>
          </w:p>
        </w:tc>
      </w:tr>
      <w:tr>
        <w:trPr>
          <w:trHeight w:val="245"/>
        </w:trPr>
        <w:tc>
          <w:tcPr>
            <w:tcW w:w="4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Christopher Gibson</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Executive Officer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Executive Officer)</w:t>
            </w:r>
          </w:p>
        </w:tc>
      </w:tr>
      <w:tr>
        <w:trPr>
          <w:trHeight w:val="536"/>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 Ben Taylor</w:t>
            </w:r>
          </w:p>
        </w:tc>
      </w:tr>
      <w:tr>
        <w:trPr>
          <w:trHeight w:val="241"/>
        </w:trPr>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Ben Taylor</w:t>
            </w:r>
          </w:p>
        </w:tc>
      </w:tr>
      <w:tr>
        <w:trPr>
          <w:trHeight w:val="257"/>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Chief Financial Officer</w:t>
            </w:r>
          </w:p>
        </w:tc>
      </w:tr>
      <w:tr>
        <w:trPr>
          <w:trHeight w:val="256"/>
        </w:trPr>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40" w:type="dxa"/>
            <w:vAlign w:val="bottom"/>
          </w:tcPr>
          <w:p>
            <w:pPr>
              <w:jc w:val="right"/>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Christopher Gibson, certify that:</w:t>
      </w:r>
    </w:p>
    <w:p>
      <w:pPr>
        <w:spacing w:after="0" w:line="252"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8863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2025</w:t>
      </w:r>
    </w:p>
    <w:p>
      <w:pPr>
        <w:sectPr>
          <w:pgSz w:w="11900" w:h="16838" w:orient="portrait"/>
          <w:cols w:equalWidth="0" w:num="1">
            <w:col w:w="11240"/>
          </w:cols>
          <w:pgMar w:left="320" w:top="364"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of the Securities Exchange Act of 1934,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Ben Taylor, certify that:</w:t>
      </w:r>
    </w:p>
    <w:p>
      <w:pPr>
        <w:spacing w:after="0" w:line="252"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Recursion Pharmaceuticals, Inc.;</w:t>
      </w:r>
    </w:p>
    <w:p>
      <w:pPr>
        <w:spacing w:after="0" w:line="252" w:lineRule="exact"/>
        <w:rPr>
          <w:rFonts w:ascii="Arial" w:cs="Arial" w:eastAsia="Arial" w:hAnsi="Arial"/>
          <w:sz w:val="18"/>
          <w:szCs w:val="18"/>
          <w:color w:val="auto"/>
        </w:rPr>
      </w:pPr>
    </w:p>
    <w:p>
      <w:pPr>
        <w:ind w:right="100" w:firstLine="8"/>
        <w:spacing w:after="0" w:line="26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right="480" w:firstLine="8"/>
        <w:spacing w:after="0" w:line="287"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9" w:lineRule="exact"/>
        <w:rPr>
          <w:rFonts w:ascii="Arial" w:cs="Arial" w:eastAsia="Arial" w:hAnsi="Arial"/>
          <w:sz w:val="18"/>
          <w:szCs w:val="18"/>
          <w:color w:val="auto"/>
        </w:rPr>
      </w:pPr>
    </w:p>
    <w:p>
      <w:pPr>
        <w:ind w:right="40" w:firstLine="8"/>
        <w:spacing w:after="0" w:line="26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60" w:right="60" w:hanging="4"/>
        <w:spacing w:after="0" w:line="268" w:lineRule="auto"/>
        <w:tabs>
          <w:tab w:leader="none" w:pos="9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920" w:hanging="264"/>
        <w:spacing w:after="0"/>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w:t>
      </w:r>
    </w:p>
    <w:p>
      <w:pPr>
        <w:spacing w:after="0" w:line="27" w:lineRule="exact"/>
        <w:rPr>
          <w:rFonts w:ascii="Arial" w:cs="Arial" w:eastAsia="Arial" w:hAnsi="Arial"/>
          <w:sz w:val="18"/>
          <w:szCs w:val="18"/>
          <w:color w:val="auto"/>
        </w:rPr>
      </w:pPr>
    </w:p>
    <w:p>
      <w:pPr>
        <w:ind w:left="66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98" w:lineRule="exact"/>
        <w:rPr>
          <w:rFonts w:ascii="Arial" w:cs="Arial" w:eastAsia="Arial" w:hAnsi="Arial"/>
          <w:sz w:val="18"/>
          <w:szCs w:val="18"/>
          <w:color w:val="auto"/>
        </w:rPr>
      </w:pPr>
    </w:p>
    <w:p>
      <w:pPr>
        <w:ind w:left="660" w:right="200" w:hanging="4"/>
        <w:spacing w:after="0" w:line="268"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left="660" w:right="120" w:hanging="4"/>
        <w:spacing w:after="0" w:line="268" w:lineRule="auto"/>
        <w:tabs>
          <w:tab w:leader="none" w:pos="9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right="460" w:firstLine="8"/>
        <w:spacing w:after="0" w:line="268" w:lineRule="auto"/>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jc w:val="both"/>
        <w:ind w:left="660" w:right="300" w:hanging="4"/>
        <w:spacing w:after="0" w:line="318" w:lineRule="auto"/>
        <w:tabs>
          <w:tab w:leader="none" w:pos="93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660" w:right="220" w:hanging="4"/>
        <w:spacing w:after="0" w:line="287" w:lineRule="auto"/>
        <w:tabs>
          <w:tab w:leader="none" w:pos="9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140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2025</w:t>
      </w:r>
    </w:p>
    <w:p>
      <w:pPr>
        <w:sectPr>
          <w:pgSz w:w="11900" w:h="16838" w:orient="portrait"/>
          <w:cols w:equalWidth="0" w:num="1">
            <w:col w:w="11240"/>
          </w:cols>
          <w:pgMar w:left="320" w:top="364"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 as Adopted Pursuant to Section 906 of the Sarbanes-Oxley Act of 2002</w:t>
      </w:r>
    </w:p>
    <w:p>
      <w:pPr>
        <w:spacing w:after="0" w:line="16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In connection with the Quarterly Report of Recursion Pharmaceuticals, Inc. (the “Company”) on Form 10-Q for the period ended September 30, 2025 as filed with the Securities and Exchange Commission on the date hereof (the “Report”), The undersigned certify, pursuant to 18 U.S.C. Section 1350, as adopted pursuant to Section 906 of the Sarbanes-Oxley Act of 2002, that:</w:t>
      </w:r>
    </w:p>
    <w:p>
      <w:pPr>
        <w:spacing w:after="0" w:line="19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right="460" w:firstLine="8"/>
        <w:spacing w:after="0" w:line="287"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Gibson, Chief Executive Officer (principal executive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Ben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963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 Taylor, Chief Financial Officer (principal financial officer)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2025</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lvl w:ilvl="1">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52" Type="http://schemas.openxmlformats.org/officeDocument/2006/relationships/hyperlink" Target="https://www.sec.gov/Archives/edgar/data/1601830/000119312524196505/d856792dex21.htm" TargetMode="External"/><Relationship Id="rId53" Type="http://schemas.openxmlformats.org/officeDocument/2006/relationships/hyperlink" Target="https://www.sec.gov/Archives/edgar/data/0001601830/000119312521123764/d149444dex31.htm" TargetMode="External"/><Relationship Id="rId54" Type="http://schemas.openxmlformats.org/officeDocument/2006/relationships/hyperlink" Target="https://www.sec.gov/Archives/edgar/data/1601830/000160183024000009/a1-25x24amendedbylaws.htm" TargetMode="External"/><Relationship Id="rId55" Type="http://schemas.openxmlformats.org/officeDocument/2006/relationships/hyperlink" Target="https://www.sec.gov/Archives/edgar/data/0001601830/000119312521089610/d89478dex42.htm" TargetMode="External"/><Relationship Id="rId56" Type="http://schemas.openxmlformats.org/officeDocument/2006/relationships/hyperlink" Target="https://www.sec.gov/Archives/edgar/data/1601830/000160183023000036/exhibit42-valencexexchange.htm" TargetMode="External"/><Relationship Id="rId57" Type="http://schemas.openxmlformats.org/officeDocument/2006/relationships/hyperlink" Target="https://www.sec.gov/Archives/edgar/data/1601830/000119312522268003/d365090dex102.htm" TargetMode="External"/><Relationship Id="rId58" Type="http://schemas.openxmlformats.org/officeDocument/2006/relationships/hyperlink" Target="https://www.sec.gov/Archives/edgar/data/1601830/000160183023000036/exhibit43-valencexregistra.htm" TargetMode="External"/><Relationship Id="rId59" Type="http://schemas.openxmlformats.org/officeDocument/2006/relationships/hyperlink" Target="https://www.sec.gov/Archives/edgar/data/1601830/000160183023000044/exhibit41registrationagree.htm" TargetMode="External"/><Relationship Id="rId60" Type="http://schemas.openxmlformats.org/officeDocument/2006/relationships/hyperlink" Target="https://www.sec.gov/Archives/edgar/data/1601830/000160183023000050/ex102-rxrxxnvidiaregright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2025-11-05T05:52:07Z</dcterms:created>
  <dcterms:modified xsi:type="dcterms:W3CDTF">2025-11-05T05:52:07Z</dcterms:modified>
</cp:coreProperties>
</file>