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September 30, 2024</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p>
      <w:pPr>
        <w:spacing w:after="0" w:line="200" w:lineRule="exact"/>
        <w:rPr>
          <w:sz w:val="24"/>
          <w:szCs w:val="24"/>
          <w:color w:val="auto"/>
        </w:rPr>
      </w:pPr>
    </w:p>
    <w:p>
      <w:pPr>
        <w:spacing w:after="0" w:line="228" w:lineRule="exact"/>
        <w:rPr>
          <w:sz w:val="24"/>
          <w:szCs w:val="24"/>
          <w:color w:val="auto"/>
        </w:rPr>
      </w:pPr>
    </w:p>
    <w:p>
      <w:pPr>
        <w:ind w:left="20" w:right="8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8" w:lineRule="exact"/>
        <w:rPr>
          <w:sz w:val="24"/>
          <w:szCs w:val="24"/>
          <w:color w:val="auto"/>
        </w:rPr>
      </w:pPr>
    </w:p>
    <w:p>
      <w:pPr>
        <w:ind w:left="20" w:right="320"/>
        <w:spacing w:after="0" w:line="251" w:lineRule="auto"/>
        <w:rPr>
          <w:sz w:val="20"/>
          <w:szCs w:val="20"/>
          <w:color w:val="auto"/>
        </w:rPr>
      </w:pPr>
      <w:r>
        <w:rPr>
          <w:rFonts w:ascii="Arial" w:cs="Arial" w:eastAsia="Arial" w:hAnsi="Arial"/>
          <w:sz w:val="16"/>
          <w:szCs w:val="16"/>
          <w:color w:val="auto"/>
        </w:rPr>
        <w:t>As of October 31, 2024, there were 279,602,258 and 7,038,575 of the registrant’s Class A and B common stock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951865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1"/>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24</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32</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6"/>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32</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8"/>
          </w:tcPr>
          <w:p>
            <w:pPr>
              <w:spacing w:after="0"/>
              <w:rPr>
                <w:sz w:val="18"/>
                <w:szCs w:val="18"/>
                <w:color w:val="auto"/>
              </w:rPr>
            </w:pP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0000EE"/>
              </w:rPr>
              <w:t>Signatures</w:t>
            </w:r>
          </w:p>
        </w:tc>
        <w:tc>
          <w:tcPr>
            <w:tcW w:w="340" w:type="dxa"/>
            <w:vAlign w:val="bottom"/>
            <w:gridSpan w:val="3"/>
          </w:tcPr>
          <w:p>
            <w:pPr>
              <w:jc w:val="center"/>
              <w:ind w:right="20"/>
              <w:spacing w:after="0"/>
              <w:rPr>
                <w:sz w:val="20"/>
                <w:szCs w:val="20"/>
                <w:color w:val="auto"/>
              </w:rPr>
            </w:pPr>
            <w:r>
              <w:rPr>
                <w:rFonts w:ascii="Arial" w:cs="Arial" w:eastAsia="Arial" w:hAnsi="Arial"/>
                <w:sz w:val="18"/>
                <w:szCs w:val="18"/>
                <w:color w:val="0000EE"/>
                <w:w w:val="99"/>
              </w:rPr>
              <w:t>36</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6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research and development programs;</w:t>
      </w:r>
    </w:p>
    <w:p>
      <w:pPr>
        <w:spacing w:after="0" w:line="7" w:lineRule="exact"/>
        <w:rPr>
          <w:rFonts w:ascii="Arial" w:cs="Arial" w:eastAsia="Arial" w:hAnsi="Arial"/>
          <w:sz w:val="17"/>
          <w:szCs w:val="17"/>
          <w:color w:val="auto"/>
        </w:rPr>
      </w:pPr>
    </w:p>
    <w:p>
      <w:pPr>
        <w:ind w:left="340" w:right="220" w:hanging="332"/>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clinical trials to demonstrate the safety and efficacy of our drug candidates, and other positive results;</w:t>
      </w:r>
    </w:p>
    <w:p>
      <w:pPr>
        <w:spacing w:after="0" w:line="7" w:lineRule="exact"/>
        <w:rPr>
          <w:rFonts w:ascii="Arial" w:cs="Arial" w:eastAsia="Arial" w:hAnsi="Arial"/>
          <w:sz w:val="17"/>
          <w:szCs w:val="17"/>
          <w:color w:val="auto"/>
        </w:rPr>
      </w:pPr>
    </w:p>
    <w:p>
      <w:pPr>
        <w:ind w:left="340" w:right="480" w:hanging="332"/>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collaborators to continue research and development activities relating to our development candidates and investigational medicines;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investigational medicines and any other approved product;</w:t>
      </w:r>
    </w:p>
    <w:p>
      <w:pPr>
        <w:spacing w:after="0" w:line="13" w:lineRule="exact"/>
        <w:rPr>
          <w:rFonts w:ascii="Arial" w:cs="Arial" w:eastAsia="Arial" w:hAnsi="Arial"/>
          <w:sz w:val="17"/>
          <w:szCs w:val="17"/>
          <w:color w:val="auto"/>
        </w:rPr>
      </w:pPr>
    </w:p>
    <w:p>
      <w:pPr>
        <w:ind w:left="340" w:right="40" w:hanging="332"/>
        <w:spacing w:after="0" w:line="251"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foreign regulatory filings and approvals, including our ability to maintain any such approvals;</w:t>
      </w:r>
    </w:p>
    <w:p>
      <w:pPr>
        <w:spacing w:after="0" w:line="7" w:lineRule="exact"/>
        <w:rPr>
          <w:rFonts w:ascii="Arial" w:cs="Arial" w:eastAsia="Arial" w:hAnsi="Arial"/>
          <w:sz w:val="17"/>
          <w:szCs w:val="17"/>
          <w:color w:val="auto"/>
        </w:rPr>
      </w:pPr>
    </w:p>
    <w:p>
      <w:pPr>
        <w:ind w:left="340" w:right="580" w:hanging="332"/>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our drug candidates, including our estimates of the number of patients who suffer from the diseases we are targeting and potential annual sales;</w:t>
      </w:r>
    </w:p>
    <w:p>
      <w:pPr>
        <w:spacing w:after="0" w:line="1" w:lineRule="exact"/>
        <w:rPr>
          <w:rFonts w:ascii="Arial" w:cs="Arial" w:eastAsia="Arial" w:hAnsi="Arial"/>
          <w:sz w:val="17"/>
          <w:szCs w:val="17"/>
          <w:color w:val="auto"/>
        </w:rPr>
      </w:pPr>
    </w:p>
    <w:p>
      <w:pPr>
        <w:ind w:left="340" w:right="220" w:hanging="332"/>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viable new drug candidates for clinical development and the rate at which we expect to identify such candidates, whether through an inferential approach or otherwise;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 that the assets that will drive the most value for us are those that we will identify in the future using our datasets and tools;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drug candidates and programs into, and successfully complete, clinical studies;</w:t>
      </w:r>
    </w:p>
    <w:p>
      <w:pPr>
        <w:spacing w:after="0" w:line="13" w:lineRule="exact"/>
        <w:rPr>
          <w:rFonts w:ascii="Arial" w:cs="Arial" w:eastAsia="Arial" w:hAnsi="Arial"/>
          <w:sz w:val="17"/>
          <w:szCs w:val="17"/>
          <w:color w:val="auto"/>
        </w:rPr>
      </w:pPr>
    </w:p>
    <w:p>
      <w:pPr>
        <w:ind w:left="340" w:right="600" w:hanging="332"/>
        <w:spacing w:after="0" w:line="253"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the time or cost or increase the likelihood of success of our research and development relative to the traditional drug discovery paradigm;</w:t>
      </w:r>
    </w:p>
    <w:p>
      <w:pPr>
        <w:ind w:left="340" w:hanging="332"/>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7"/>
          <w:szCs w:val="17"/>
          <w:color w:val="auto"/>
        </w:rPr>
      </w:pPr>
    </w:p>
    <w:p>
      <w:pPr>
        <w:ind w:left="340" w:right="660" w:hanging="332"/>
        <w:spacing w:after="0"/>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related to the performance and benefits of our BioHive supercomputer, including our planned expansion of the BioHive supercomputer capabilities;</w:t>
      </w: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a return on our investment of resources and cash in our drug discovery collaborations;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integrate acquired businesses with our existing programs and platform and realize a return on acquired assets;</w:t>
      </w:r>
    </w:p>
    <w:p>
      <w:pPr>
        <w:spacing w:after="0" w:line="7" w:lineRule="exact"/>
        <w:rPr>
          <w:rFonts w:ascii="Arial" w:cs="Arial" w:eastAsia="Arial" w:hAnsi="Arial"/>
          <w:sz w:val="17"/>
          <w:szCs w:val="17"/>
          <w:color w:val="auto"/>
        </w:rPr>
      </w:pPr>
    </w:p>
    <w:p>
      <w:pPr>
        <w:ind w:left="340" w:right="80" w:hanging="332"/>
        <w:spacing w:after="0" w:line="232"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leverage datasets acquired through licenses with third parties, including with Tempus, into increased machine learning capabilities, novel genetic associations and mechanisms, innovative therapeutics, or other beneficial outcomes;</w:t>
      </w:r>
    </w:p>
    <w:p>
      <w:pPr>
        <w:ind w:left="320" w:hanging="312"/>
        <w:spacing w:after="0" w:line="232"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derive value from our Recursion OS by licensing subsets of data and key tools;</w:t>
      </w:r>
    </w:p>
    <w:p>
      <w:pPr>
        <w:ind w:left="340" w:right="180" w:hanging="332"/>
        <w:spacing w:after="0" w:line="237"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construct and apply more and increasingly sophisticated foundation models and large language models across biology, chemistry and translation and to use these models to drive new, better programs into clinical development both in our own pipeline and with our current and future partners at scale;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scale like a technology company, including scaling our Recursion OS, and to add more programs to our pipeline each year;</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compete in a highly competitive market;</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strategies;</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relating to commercializing our drug candidates, if approved, including the geographic areas of focus and sales strategy;</w:t>
      </w:r>
    </w:p>
    <w:p>
      <w:pPr>
        <w:spacing w:after="0" w:line="14"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approval and use of our drug candidates in combination with other drugs;</w:t>
      </w:r>
    </w:p>
    <w:p>
      <w:pPr>
        <w:spacing w:after="0" w:line="7" w:lineRule="exact"/>
        <w:rPr>
          <w:rFonts w:ascii="Arial" w:cs="Arial" w:eastAsia="Arial" w:hAnsi="Arial"/>
          <w:sz w:val="17"/>
          <w:szCs w:val="17"/>
          <w:color w:val="auto"/>
        </w:rPr>
      </w:pPr>
    </w:p>
    <w:p>
      <w:pPr>
        <w:ind w:left="340" w:right="420" w:hanging="332"/>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current drug candidates, if approved, and other drug candidates we may develop;</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position and the success of competing approaches that are or may become available;</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the number of patients that we will enroll in our clinical trials and the timing of their enrollment;</w:t>
      </w:r>
    </w:p>
    <w:p>
      <w:pPr>
        <w:spacing w:after="0" w:line="14"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beneficial characteristics, safety, efficacy and therapeutic effects of our drug candidates;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for further development of our drug candidates, including additional indications we may pursue;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hanging="332"/>
        <w:spacing w:after="0" w:line="257"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7"/>
          <w:szCs w:val="17"/>
          <w:color w:val="auto"/>
        </w:rPr>
      </w:pPr>
    </w:p>
    <w:p>
      <w:pPr>
        <w:ind w:left="340" w:right="22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intellectual property disputes and our ability to defend against claims of infringement, misappropriation, or other violations of intellectual property rights;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keep pace with new technological developments;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utilize third-party open source software and cloud-based infrastructure, on which we are dependent;</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insurance policies and the scope of their coverage;</w:t>
      </w:r>
    </w:p>
    <w:p>
      <w:pPr>
        <w:spacing w:after="0" w:line="14" w:lineRule="exact"/>
        <w:rPr>
          <w:rFonts w:ascii="Arial" w:cs="Arial" w:eastAsia="Arial" w:hAnsi="Arial"/>
          <w:sz w:val="17"/>
          <w:szCs w:val="17"/>
          <w:color w:val="auto"/>
        </w:rPr>
      </w:pPr>
    </w:p>
    <w:p>
      <w:pPr>
        <w:jc w:val="both"/>
        <w:ind w:left="340" w:right="52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our technical operations infrastructure to avoid errors, delays, or cybersecurity breaches;</w:t>
      </w:r>
    </w:p>
    <w:p>
      <w:pPr>
        <w:spacing w:after="0" w:line="7" w:lineRule="exact"/>
        <w:rPr>
          <w:rFonts w:ascii="Arial" w:cs="Arial" w:eastAsia="Arial" w:hAnsi="Arial"/>
          <w:sz w:val="17"/>
          <w:szCs w:val="17"/>
          <w:color w:val="auto"/>
        </w:rPr>
      </w:pPr>
    </w:p>
    <w:p>
      <w:pPr>
        <w:ind w:left="340" w:right="40" w:hanging="332"/>
        <w:spacing w:after="0" w:line="256"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reliance on third parties to conduct additional clinical trials of our drug candidates, and for the manufacture of our drug candidates for preclinical studies and clinical trials;</w:t>
      </w:r>
    </w:p>
    <w:p>
      <w:pPr>
        <w:spacing w:after="0" w:line="1" w:lineRule="exact"/>
        <w:rPr>
          <w:rFonts w:ascii="Arial" w:cs="Arial" w:eastAsia="Arial" w:hAnsi="Arial"/>
          <w:sz w:val="17"/>
          <w:szCs w:val="17"/>
          <w:color w:val="auto"/>
        </w:rPr>
      </w:pPr>
    </w:p>
    <w:p>
      <w:pPr>
        <w:ind w:left="340" w:right="14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research, develop, manufacture, or commercialize our platform and drug candidates;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current drug candidates and other drug candidates we may develop, if approved;</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14" w:lineRule="exact"/>
        <w:rPr>
          <w:rFonts w:ascii="Arial" w:cs="Arial" w:eastAsia="Arial" w:hAnsi="Arial"/>
          <w:sz w:val="17"/>
          <w:szCs w:val="17"/>
          <w:color w:val="auto"/>
        </w:rPr>
      </w:pPr>
    </w:p>
    <w:p>
      <w:pPr>
        <w:ind w:left="340" w:right="32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period over which we estimate our existing cash and cash equivalents will be sufficient to fund our future operating expenses and capital expenditure requirements;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substantial additional funding;</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and regulations, and our ability to comply with all regulations that we are, or may become, subject to;</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hire additional personnel and our ability to attract and retain such personnel;</w:t>
      </w:r>
    </w:p>
    <w:p>
      <w:pPr>
        <w:spacing w:after="0" w:line="14"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current or future litigation, which may arise during the ordinary course of business and be costly to defend;</w:t>
      </w:r>
    </w:p>
    <w:p>
      <w:pPr>
        <w:spacing w:after="0" w:line="7" w:lineRule="exact"/>
        <w:rPr>
          <w:rFonts w:ascii="Arial" w:cs="Arial" w:eastAsia="Arial" w:hAnsi="Arial"/>
          <w:sz w:val="17"/>
          <w:szCs w:val="17"/>
          <w:color w:val="auto"/>
        </w:rPr>
      </w:pPr>
    </w:p>
    <w:p>
      <w:pPr>
        <w:ind w:left="340" w:right="82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raise additional capital may cause dilution to our stockholders, restrict our operations, require us to relinquish rights to our technologies or drug candidates, and divert management’s attention from our core business;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anticipated use of our existing resources;</w:t>
      </w:r>
    </w:p>
    <w:p>
      <w:pPr>
        <w:spacing w:after="0" w:line="7" w:lineRule="exact"/>
        <w:rPr>
          <w:rFonts w:ascii="Arial" w:cs="Arial" w:eastAsia="Arial" w:hAnsi="Arial"/>
          <w:sz w:val="17"/>
          <w:szCs w:val="17"/>
          <w:color w:val="auto"/>
        </w:rPr>
      </w:pPr>
    </w:p>
    <w:p>
      <w:pPr>
        <w:ind w:left="340" w:right="60" w:hanging="332"/>
        <w:spacing w:after="0" w:line="256"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statements regarding our proposed business combination with Exscientia, including the closing of the transaction and Class A common stock to be issued in connection therewith;</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effectiveness of remediation actions on any identified material weaknesses in internal controls over financial reporting;</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voting power related to Dr. Gibson’s vesting in and exercises of equity awards;</w:t>
      </w:r>
    </w:p>
    <w:p>
      <w:pPr>
        <w:spacing w:after="0" w:line="7" w:lineRule="exact"/>
        <w:rPr>
          <w:rFonts w:ascii="Arial" w:cs="Arial" w:eastAsia="Arial" w:hAnsi="Arial"/>
          <w:sz w:val="17"/>
          <w:szCs w:val="17"/>
          <w:color w:val="auto"/>
        </w:rPr>
      </w:pPr>
    </w:p>
    <w:p>
      <w:pPr>
        <w:ind w:left="340" w:right="440" w:hanging="332"/>
        <w:spacing w:after="0" w:line="252"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ownership changes that may limit the amount of our net operating losses and tax credit carryforwards that can be utilized annually to offset future taxable income; and</w:t>
      </w: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in the section titled “Risk Factors.”</w:t>
      </w:r>
    </w:p>
    <w:p>
      <w:pPr>
        <w:spacing w:after="0" w:line="14"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3"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1E1E1E"/>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7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December 31,</w:t>
            </w:r>
          </w:p>
        </w:tc>
      </w:tr>
      <w:tr>
        <w:trPr>
          <w:trHeight w:val="234"/>
        </w:trPr>
        <w:tc>
          <w:tcPr>
            <w:tcW w:w="7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5"/>
        </w:trPr>
        <w:tc>
          <w:tcPr>
            <w:tcW w:w="7980" w:type="dxa"/>
            <w:vAlign w:val="bottom"/>
          </w:tcPr>
          <w:p>
            <w:pPr>
              <w:ind w:left="1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391,565</w:t>
            </w: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1,555</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3,231</w:t>
            </w: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r>
      <w:tr>
        <w:trPr>
          <w:trHeight w:val="23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42,715</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40,247</w:t>
            </w:r>
          </w:p>
        </w:tc>
      </w:tr>
      <w:tr>
        <w:trPr>
          <w:trHeight w:val="223"/>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474,172</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438,137</w:t>
            </w:r>
          </w:p>
        </w:tc>
      </w:tr>
      <w:tr>
        <w:trPr>
          <w:trHeight w:val="148"/>
        </w:trPr>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 non-current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r>
      <w:tr>
        <w:trPr>
          <w:trHeight w:val="229"/>
        </w:trPr>
        <w:tc>
          <w:tcPr>
            <w:tcW w:w="798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84,410</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86,510</w:t>
            </w: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47,882</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33,663</w:t>
            </w:r>
          </w:p>
        </w:tc>
      </w:tr>
      <w:tr>
        <w:trPr>
          <w:trHeight w:val="229"/>
        </w:trPr>
        <w:tc>
          <w:tcPr>
            <w:tcW w:w="7980" w:type="dxa"/>
            <w:vAlign w:val="bottom"/>
          </w:tcPr>
          <w:p>
            <w:pPr>
              <w:ind w:left="120"/>
              <w:spacing w:after="0"/>
              <w:rPr>
                <w:sz w:val="20"/>
                <w:szCs w:val="20"/>
                <w:color w:val="auto"/>
              </w:rPr>
            </w:pPr>
            <w:r>
              <w:rPr>
                <w:rFonts w:ascii="Arial" w:cs="Arial" w:eastAsia="Arial" w:hAnsi="Arial"/>
                <w:sz w:val="18"/>
                <w:szCs w:val="18"/>
                <w:color w:val="auto"/>
              </w:rPr>
              <w:t>Financing lease right-of-use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26,897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36,443</w:t>
            </w: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52,056</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52,056</w:t>
            </w:r>
          </w:p>
        </w:tc>
      </w:tr>
      <w:tr>
        <w:trPr>
          <w:trHeight w:val="229"/>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assets, non-current</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653,699</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15"/>
        </w:trPr>
        <w:tc>
          <w:tcPr>
            <w:tcW w:w="7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40,597</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46,635</w:t>
            </w: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49,579</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36,426</w:t>
            </w: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r>
      <w:tr>
        <w:trPr>
          <w:trHeight w:val="23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Notes payable and financing lease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108,888</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93,171</w:t>
            </w:r>
          </w:p>
        </w:tc>
      </w:tr>
      <w:tr>
        <w:trPr>
          <w:trHeight w:val="148"/>
        </w:trPr>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 revenue, non-current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w:t>
            </w: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53,663</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43,414</w:t>
            </w: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financing lease liabilities, non-current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29"/>
        </w:trPr>
        <w:tc>
          <w:tcPr>
            <w:tcW w:w="7980" w:type="dxa"/>
            <w:vAlign w:val="bottom"/>
          </w:tcPr>
          <w:p>
            <w:pPr>
              <w:ind w:left="12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30"/>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liabilities, non-current</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1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201,940</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190,263</w:t>
            </w:r>
          </w:p>
        </w:tc>
      </w:tr>
      <w:tr>
        <w:trPr>
          <w:trHeight w:val="149"/>
        </w:trPr>
        <w:tc>
          <w:tcPr>
            <w:tcW w:w="7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bl>
    <w:p>
      <w:pPr>
        <w:ind w:left="200"/>
        <w:spacing w:after="0"/>
        <w:rPr>
          <w:sz w:val="20"/>
          <w:szCs w:val="20"/>
          <w:color w:val="auto"/>
        </w:rPr>
      </w:pPr>
      <w:r>
        <w:rPr>
          <w:rFonts w:ascii="Arial" w:cs="Arial" w:eastAsia="Arial" w:hAnsi="Arial"/>
          <w:sz w:val="18"/>
          <w:szCs w:val="18"/>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7046595" cy="94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94615"/>
                    </a:xfrm>
                    <a:prstGeom prst="rect">
                      <a:avLst/>
                    </a:prstGeom>
                    <a:noFill/>
                  </pic:spPr>
                </pic:pic>
              </a:graphicData>
            </a:graphic>
          </wp:anchor>
        </w:drawing>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17780</wp:posOffset>
            </wp:positionV>
            <wp:extent cx="704659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75438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40" w:lineRule="exact"/>
        <w:rPr>
          <w:sz w:val="20"/>
          <w:szCs w:val="20"/>
          <w:color w:val="auto"/>
        </w:rPr>
      </w:pPr>
    </w:p>
    <w:p>
      <w:pPr>
        <w:ind w:left="420" w:hanging="215"/>
        <w:spacing w:after="0" w:line="258" w:lineRule="auto"/>
        <w:rPr>
          <w:sz w:val="20"/>
          <w:szCs w:val="20"/>
          <w:color w:val="auto"/>
        </w:rPr>
      </w:pPr>
      <w:r>
        <w:rPr>
          <w:rFonts w:ascii="Arial" w:cs="Arial" w:eastAsia="Arial" w:hAnsi="Arial"/>
          <w:sz w:val="18"/>
          <w:szCs w:val="18"/>
          <w:color w:val="auto"/>
        </w:rPr>
        <w:t>Common stock, $0.00001 par value; 2,000,000,000 shares (Class A 1,989,032,117 and Class B 10,967,883) authorized as of September 30, 2024 and December 31, 2023; 286,124,279 shares (Class A 278,848,301, Class B 7,078,575 and Exchangeable 197,403) and 234,270,384 shares (Class A 226,264,764, Class B 7,544,871 and Exchangeable 460,749) issued and outstanding as of September 30, 2024 and December 31, 2023, respectively</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17780</wp:posOffset>
            </wp:positionV>
            <wp:extent cx="704659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60"/>
        <w:spacing w:after="0"/>
        <w:tabs>
          <w:tab w:leader="none" w:pos="2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2</w:t>
      </w:r>
    </w:p>
    <w:p>
      <w:pPr>
        <w:spacing w:after="0" w:line="32"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8"/>
          <w:szCs w:val="18"/>
          <w:color w:val="auto"/>
        </w:rPr>
        <w:t>1,776,933</w:t>
      </w:r>
      <w:r>
        <w:rPr>
          <w:sz w:val="20"/>
          <w:szCs w:val="20"/>
          <w:color w:val="auto"/>
        </w:rPr>
        <w:tab/>
      </w:r>
      <w:r>
        <w:rPr>
          <w:rFonts w:ascii="Arial" w:cs="Arial" w:eastAsia="Arial" w:hAnsi="Arial"/>
          <w:sz w:val="18"/>
          <w:szCs w:val="18"/>
          <w:color w:val="auto"/>
        </w:rPr>
        <w:t>1,431,056</w:t>
      </w:r>
    </w:p>
    <w:p>
      <w:pPr>
        <w:spacing w:after="0" w:line="23" w:lineRule="exact"/>
        <w:rPr>
          <w:sz w:val="20"/>
          <w:szCs w:val="20"/>
          <w:color w:val="auto"/>
        </w:rPr>
      </w:pPr>
    </w:p>
    <w:p>
      <w:pPr>
        <w:spacing w:after="0"/>
        <w:tabs>
          <w:tab w:leader="none" w:pos="1680" w:val="left"/>
        </w:tabs>
        <w:rPr>
          <w:sz w:val="20"/>
          <w:szCs w:val="20"/>
          <w:color w:val="auto"/>
        </w:rPr>
      </w:pPr>
      <w:r>
        <w:rPr>
          <w:rFonts w:ascii="Arial" w:cs="Arial" w:eastAsia="Arial" w:hAnsi="Arial"/>
          <w:sz w:val="17"/>
          <w:szCs w:val="17"/>
          <w:color w:val="auto"/>
        </w:rPr>
        <w:t>(1,252,377)</w:t>
      </w:r>
      <w:r>
        <w:rPr>
          <w:sz w:val="20"/>
          <w:szCs w:val="20"/>
          <w:color w:val="auto"/>
        </w:rPr>
        <w:tab/>
      </w:r>
      <w:r>
        <w:rPr>
          <w:rFonts w:ascii="Arial" w:cs="Arial" w:eastAsia="Arial" w:hAnsi="Arial"/>
          <w:sz w:val="17"/>
          <w:szCs w:val="17"/>
          <w:color w:val="auto"/>
        </w:rPr>
        <w:t>(967,622)</w:t>
      </w:r>
    </w:p>
    <w:p>
      <w:pPr>
        <w:spacing w:after="0" w:line="30" w:lineRule="exact"/>
        <w:rPr>
          <w:sz w:val="20"/>
          <w:szCs w:val="20"/>
          <w:color w:val="auto"/>
        </w:rPr>
      </w:pPr>
    </w:p>
    <w:p>
      <w:pPr>
        <w:sectPr>
          <w:pgSz w:w="11900" w:h="16838" w:orient="portrait"/>
          <w:cols w:equalWidth="0" w:num="2">
            <w:col w:w="8020" w:space="660"/>
            <w:col w:w="2500"/>
          </w:cols>
          <w:pgMar w:left="320" w:top="121" w:right="399" w:bottom="1440" w:gutter="0" w:footer="0" w:header="0"/>
          <w:type w:val="continuous"/>
        </w:sectPr>
      </w:pPr>
    </w:p>
    <w:tbl>
      <w:tblPr>
        <w:tblLayout w:type="fixed"/>
        <w:tblInd w:w="80" w:type="dxa"/>
        <w:tblCellMar>
          <w:top w:w="0" w:type="dxa"/>
          <w:left w:w="0" w:type="dxa"/>
          <w:bottom w:w="0" w:type="dxa"/>
          <w:right w:w="0" w:type="dxa"/>
        </w:tblCellMar>
      </w:tblPr>
      <w:tr>
        <w:trPr>
          <w:trHeight w:val="223"/>
        </w:trPr>
        <w:tc>
          <w:tcPr>
            <w:tcW w:w="57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Total stockholders’ equity</w:t>
            </w:r>
          </w:p>
        </w:tc>
        <w:tc>
          <w:tcPr>
            <w:tcW w:w="27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524,559</w:t>
            </w: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463,436</w:t>
            </w:r>
          </w:p>
        </w:tc>
      </w:tr>
      <w:tr>
        <w:trPr>
          <w:trHeight w:val="149"/>
        </w:trPr>
        <w:tc>
          <w:tcPr>
            <w:tcW w:w="5760" w:type="dxa"/>
            <w:vAlign w:val="bottom"/>
            <w:tcBorders>
              <w:bottom w:val="single" w:sz="8" w:color="auto"/>
            </w:tcBorders>
            <w:shd w:val="clear" w:color="auto" w:fill="CCEEFF"/>
          </w:tcPr>
          <w:p>
            <w:pPr>
              <w:spacing w:after="0"/>
              <w:rPr>
                <w:sz w:val="12"/>
                <w:szCs w:val="12"/>
                <w:color w:val="auto"/>
              </w:rPr>
            </w:pPr>
          </w:p>
        </w:tc>
        <w:tc>
          <w:tcPr>
            <w:tcW w:w="27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r>
      <w:tr>
        <w:trPr>
          <w:trHeight w:val="223"/>
        </w:trPr>
        <w:tc>
          <w:tcPr>
            <w:tcW w:w="57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 liabilities and stockholders’ equity</w:t>
            </w:r>
          </w:p>
        </w:tc>
        <w:tc>
          <w:tcPr>
            <w:tcW w:w="2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726,499</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653,699</w:t>
            </w:r>
          </w:p>
        </w:tc>
      </w:tr>
      <w:tr>
        <w:trPr>
          <w:trHeight w:val="21"/>
        </w:trPr>
        <w:tc>
          <w:tcPr>
            <w:tcW w:w="57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18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2820" w:type="dxa"/>
            <w:vAlign w:val="bottom"/>
          </w:tcPr>
          <w:p>
            <w:pPr>
              <w:spacing w:after="0"/>
              <w:rPr>
                <w:sz w:val="24"/>
                <w:szCs w:val="24"/>
                <w:color w:val="auto"/>
              </w:rPr>
            </w:pPr>
          </w:p>
        </w:tc>
        <w:tc>
          <w:tcPr>
            <w:tcW w:w="3940" w:type="dxa"/>
            <w:vAlign w:val="bottom"/>
            <w:gridSpan w:val="6"/>
          </w:tcPr>
          <w:p>
            <w:pPr>
              <w:jc w:val="center"/>
              <w:ind w:right="900"/>
              <w:spacing w:after="0"/>
              <w:rPr>
                <w:sz w:val="20"/>
                <w:szCs w:val="20"/>
                <w:color w:val="auto"/>
              </w:rPr>
            </w:pPr>
            <w:r>
              <w:rPr>
                <w:rFonts w:ascii="Arial" w:cs="Arial" w:eastAsia="Arial" w:hAnsi="Arial"/>
                <w:sz w:val="18"/>
                <w:szCs w:val="18"/>
                <w:b w:val="1"/>
                <w:bCs w:val="1"/>
                <w:color w:val="1E1E1E"/>
                <w:w w:val="99"/>
              </w:rPr>
              <w:t>Recursion Pharmaceuticals, Inc.</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8340" w:type="dxa"/>
            <w:vAlign w:val="bottom"/>
            <w:gridSpan w:val="9"/>
          </w:tcPr>
          <w:p>
            <w:pPr>
              <w:jc w:val="center"/>
              <w:ind w:left="250"/>
              <w:spacing w:after="0"/>
              <w:rPr>
                <w:sz w:val="20"/>
                <w:szCs w:val="20"/>
                <w:color w:val="auto"/>
              </w:rPr>
            </w:pPr>
            <w:r>
              <w:rPr>
                <w:rFonts w:ascii="Arial" w:cs="Arial" w:eastAsia="Arial" w:hAnsi="Arial"/>
                <w:sz w:val="18"/>
                <w:szCs w:val="18"/>
                <w:b w:val="1"/>
                <w:bCs w:val="1"/>
                <w:color w:val="1E1E1E"/>
                <w:w w:val="99"/>
              </w:rPr>
              <w:t>Condensed Consolidated Statements of Operations and Comprehensive Loss (unaudited)</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6760" w:type="dxa"/>
            <w:vAlign w:val="bottom"/>
            <w:gridSpan w:val="7"/>
          </w:tcPr>
          <w:p>
            <w:pPr>
              <w:jc w:val="center"/>
              <w:ind w:left="183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2"/>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4"/>
                <w:szCs w:val="24"/>
                <w:color w:val="auto"/>
              </w:rPr>
            </w:pPr>
          </w:p>
        </w:tc>
        <w:tc>
          <w:tcPr>
            <w:tcW w:w="3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53,977</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0" w:type="dxa"/>
            <w:vAlign w:val="bottom"/>
          </w:tcPr>
          <w:p>
            <w:pPr>
              <w:spacing w:after="0"/>
              <w:rPr>
                <w:sz w:val="1"/>
                <w:szCs w:val="1"/>
                <w:color w:val="auto"/>
              </w:rPr>
            </w:pPr>
          </w:p>
        </w:tc>
      </w:tr>
      <w:tr>
        <w:trPr>
          <w:trHeight w:val="257"/>
        </w:trPr>
        <w:tc>
          <w:tcPr>
            <w:tcW w:w="410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12,079</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32,444</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32,706</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74,600</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216,087</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171,744</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37,757</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100,998</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80,364</w:t>
            </w: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124,436</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110,083</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349,529</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284,814</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(98,354)</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(295,236)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(251,130)</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6,533</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(95,675)</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(285,889)</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(235,070)</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(93,017)</w:t>
            </w:r>
          </w:p>
        </w:tc>
        <w:tc>
          <w:tcPr>
            <w:tcW w:w="2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(284,755)</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(235,070)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gridSpan w:val="4"/>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B and Exchangeable</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common stock, basic and diluted</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0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282,583,048</w:t>
            </w:r>
          </w:p>
        </w:tc>
        <w:tc>
          <w:tcPr>
            <w:tcW w:w="3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214,327,186</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253,447,099</w:t>
            </w:r>
          </w:p>
        </w:tc>
        <w:tc>
          <w:tcPr>
            <w:tcW w:w="3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203,090,637</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Exchangeable) outstanding,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08" w:right="339" w:bottom="8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81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8"/>
                <w:szCs w:val="18"/>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5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3"/>
                <w:szCs w:val="3"/>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5"/>
        </w:trPr>
        <w:tc>
          <w:tcPr>
            <w:tcW w:w="5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280,968,276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1,740,981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(1,156,535)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584,449</w:t>
            </w: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(95,842)</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(95,842)</w:t>
            </w: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 exercises and other</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2,689,679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18,252</w:t>
            </w: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18,252</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 sales issuances, net of issuance costs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2,466,324</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16,968</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as of September 30, 2024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286,124,279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1,776,933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(1,252,377)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524,559</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7"/>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3"/>
          </w:tcPr>
          <w:p>
            <w:pPr>
              <w:ind w:left="4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3"/>
          </w:tcPr>
          <w:p>
            <w:pPr>
              <w:ind w:left="480"/>
              <w:spacing w:after="0"/>
              <w:rPr>
                <w:sz w:val="20"/>
                <w:szCs w:val="20"/>
                <w:color w:val="auto"/>
              </w:rPr>
            </w:pPr>
            <w:r>
              <w:rPr>
                <w:rFonts w:ascii="Arial" w:cs="Arial" w:eastAsia="Arial" w:hAnsi="Arial"/>
                <w:sz w:val="14"/>
                <w:szCs w:val="14"/>
                <w:b w:val="1"/>
                <w:bCs w:val="1"/>
                <w:color w:val="auto"/>
              </w:rPr>
              <w:t>(Class A, B and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7"/>
                <w:szCs w:val="17"/>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5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2"/>
                <w:szCs w:val="2"/>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5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234,270,384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463,436</w:t>
            </w: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(284,755)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(284,755)</w:t>
            </w: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 exercises and other</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7,827,268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5,586</w:t>
            </w: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50,904</w:t>
            </w: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50,904</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 sales issuances, net of issuance costs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44,026,627</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289,387</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289,388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as of September 30, 2024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286,124,279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1,776,933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(1,252,377)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524,559</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2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See the accompanying notes to these c</w:t>
      </w:r>
      <w:r>
        <w:rPr>
          <w:rFonts w:ascii="Arial" w:cs="Arial" w:eastAsia="Arial" w:hAnsi="Arial"/>
          <w:sz w:val="17"/>
          <w:szCs w:val="17"/>
          <w:color w:val="000000"/>
        </w:rPr>
        <w:t>ondensed</w:t>
      </w:r>
      <w:r>
        <w:rPr>
          <w:rFonts w:ascii="Arial" w:cs="Arial" w:eastAsia="Arial" w:hAnsi="Arial"/>
          <w:sz w:val="17"/>
          <w:szCs w:val="17"/>
          <w:color w:val="1E1E1E"/>
        </w:rPr>
        <w:t xml:space="preserve"> consolidated financial statements.</w:t>
      </w:r>
    </w:p>
    <w:p>
      <w:pPr>
        <w:sectPr>
          <w:pgSz w:w="11900" w:h="16838" w:orient="portrait"/>
          <w:cols w:equalWidth="0" w:num="1">
            <w:col w:w="11220"/>
          </w:cols>
          <w:pgMar w:left="320" w:top="121" w:right="359" w:bottom="284"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8"/>
                <w:szCs w:val="18"/>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12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3"/>
                <w:szCs w:val="3"/>
                <w:color w:val="auto"/>
              </w:rPr>
            </w:pPr>
          </w:p>
        </w:tc>
        <w:tc>
          <w:tcPr>
            <w:tcW w:w="11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206,737,332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1,250,570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468,963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(93,017)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2,814,903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16,792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 sales issuances, net of issuance costs</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6,761,447</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42,234</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2023</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216,313,682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1,312,591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437,967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7"/>
                <w:szCs w:val="17"/>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7"/>
                <w:szCs w:val="17"/>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
                <w:szCs w:val="2"/>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191,022,864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(235,070)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(235,070)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6,417,024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8,789</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37,417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 sales issuances, net of issuance costs</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18,873,794</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141,025</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141,025</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2023</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216,313,682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1,312,591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437,967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2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20"/>
          </w:cols>
          <w:pgMar w:left="320" w:top="121" w:right="359" w:bottom="218"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5960" w:type="dxa"/>
            <w:vAlign w:val="bottom"/>
          </w:tcPr>
          <w:p>
            <w:pPr>
              <w:jc w:val="center"/>
              <w:ind w:left="2630"/>
              <w:spacing w:after="0"/>
              <w:rPr>
                <w:sz w:val="20"/>
                <w:szCs w:val="20"/>
                <w:color w:val="auto"/>
              </w:rPr>
            </w:pPr>
            <w:r>
              <w:rPr>
                <w:rFonts w:ascii="Arial" w:cs="Arial" w:eastAsia="Arial" w:hAnsi="Arial"/>
                <w:sz w:val="18"/>
                <w:szCs w:val="18"/>
                <w:b w:val="1"/>
                <w:bCs w:val="1"/>
                <w:color w:val="1E1E1E"/>
                <w:w w:val="99"/>
              </w:rPr>
              <w:t>Recursion Pharmaceuticals, Inc.</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2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1E1E1E"/>
                <w:w w:val="99"/>
              </w:rPr>
              <w:t>Condensed Consolidated Statements of Cash Flows (unaudited)</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960" w:type="dxa"/>
            <w:vAlign w:val="bottom"/>
          </w:tcPr>
          <w:p>
            <w:pPr>
              <w:jc w:val="center"/>
              <w:ind w:left="2630"/>
              <w:spacing w:after="0"/>
              <w:rPr>
                <w:sz w:val="20"/>
                <w:szCs w:val="20"/>
                <w:color w:val="auto"/>
              </w:rPr>
            </w:pPr>
            <w:r>
              <w:rPr>
                <w:rFonts w:ascii="Arial" w:cs="Arial" w:eastAsia="Arial" w:hAnsi="Arial"/>
                <w:sz w:val="18"/>
                <w:szCs w:val="18"/>
                <w:b w:val="1"/>
                <w:bCs w:val="1"/>
                <w:i w:val="1"/>
                <w:iCs w:val="1"/>
                <w:color w:val="1E1E1E"/>
                <w:w w:val="99"/>
              </w:rPr>
              <w:t>(in thousands)</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(284,755)</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(235,070)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50,904</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37,417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Asset impairment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Lease expense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11,155</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 and assets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(22,374)</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Accrued development expense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(2,623)</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Lease liabilities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(243,744)</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(213,703)</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1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Net cash and restricted cash acquired in the acquisition of a business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Purchase of an intangible asset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Sales and maturities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(15,397)</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16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shares, net of issuance costs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289,387</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Proceeds from equity incentive plans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6,433</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 of long-term debt and finance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293,481</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59,474</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16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160" w:type="dxa"/>
            <w:vAlign w:val="bottom"/>
            <w:tcBorders>
              <w:bottom w:val="single" w:sz="8" w:color="auto"/>
            </w:tcBorders>
            <w:gridSpan w:val="2"/>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300" w:type="dxa"/>
            <w:vAlign w:val="bottom"/>
          </w:tcPr>
          <w:p>
            <w:pPr>
              <w:spacing w:after="0"/>
              <w:rPr>
                <w:sz w:val="21"/>
                <w:szCs w:val="21"/>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34,406</w:t>
            </w:r>
          </w:p>
        </w:tc>
        <w:tc>
          <w:tcPr>
            <w:tcW w:w="46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(161,905)</w:t>
            </w:r>
          </w:p>
        </w:tc>
        <w:tc>
          <w:tcPr>
            <w:tcW w:w="0" w:type="dxa"/>
            <w:vAlign w:val="bottom"/>
          </w:tcPr>
          <w:p>
            <w:pPr>
              <w:spacing w:after="0"/>
              <w:rPr>
                <w:sz w:val="1"/>
                <w:szCs w:val="1"/>
                <w:color w:val="auto"/>
              </w:rPr>
            </w:pPr>
          </w:p>
        </w:tc>
      </w:tr>
      <w:tr>
        <w:trPr>
          <w:trHeight w:val="69"/>
        </w:trPr>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401,425</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559,112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435,831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397,207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5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Issuance of shares for the acquisitions of businesses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Accrued property and equipment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236</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Financed equipment purchase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Purchase of an intangible asset</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Recursion is a clinical stage TechBio company decoding biology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September 30, 2024, the Company had an accumulated deficit of $1.3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September 30, 2024,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2023.</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is management’s opinion that these condensed consolidated financial statements include all normal and recurring adjustments necessary for a fair statement of the financial position, results of operations and cash flows for the periods presented. Revenue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No. 2024-03, </w:t>
      </w:r>
      <w:r>
        <w:rPr>
          <w:rFonts w:ascii="Arial" w:cs="Arial" w:eastAsia="Arial" w:hAnsi="Arial"/>
          <w:sz w:val="18"/>
          <w:szCs w:val="18"/>
          <w:i w:val="1"/>
          <w:iCs w:val="1"/>
          <w:color w:val="auto"/>
        </w:rPr>
        <w:t>Disaggregation of Income Statement Expenses (Topic 220)</w:t>
      </w:r>
      <w:r>
        <w:rPr>
          <w:rFonts w:ascii="Arial" w:cs="Arial" w:eastAsia="Arial" w:hAnsi="Arial"/>
          <w:sz w:val="18"/>
          <w:szCs w:val="18"/>
          <w:color w:val="auto"/>
        </w:rPr>
        <w:t>. The standard requires new disclosures in the notes to the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that are not separately disaggregated. This standard will be effective for Recursion starting the annual period ending December 31, 2027. Early adoption is permitted. The amendments can be applied on a prospective or retrospective basis. Recursion is currently assessing the impact of adopting this guidance on its consolidated financial statements.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March 2024, the SEC issued rule 33-11275, </w:t>
      </w:r>
      <w:r>
        <w:rPr>
          <w:rFonts w:ascii="Arial" w:cs="Arial" w:eastAsia="Arial" w:hAnsi="Arial"/>
          <w:sz w:val="18"/>
          <w:szCs w:val="18"/>
          <w:i w:val="1"/>
          <w:iCs w:val="1"/>
          <w:color w:val="auto"/>
        </w:rPr>
        <w:t>The Enhancement and Standardization of Climate-Related Disclosures for Investors</w:t>
      </w:r>
      <w:r>
        <w:rPr>
          <w:rFonts w:ascii="Arial" w:cs="Arial" w:eastAsia="Arial" w:hAnsi="Arial"/>
          <w:sz w:val="18"/>
          <w:szCs w:val="18"/>
          <w:color w:val="auto"/>
        </w:rPr>
        <w:t>. The new rule requires Recursion to provide certain disclosures in the footnotes to the financial statements of climate-related information. These disclosures include the impact of severe weather and other natural conditions on the Company’s consolidated balance sheet and statement of operations, to the extent they are material. Recursion will also need to disclose a rollforward of the beginning and ending balances of its carbon offsets and renewable energy credits or certificates (RECs), if they are a material component of meeting the Company’s climate-related targets and goals. Additionally, the Company will need to disclose whether and, if so, how severe weather events and other natural conditions and disclosed climate-related targets or transition plans materially affected estimates and assumptions in the financial statements.</w:t>
      </w:r>
    </w:p>
    <w:p>
      <w:pPr>
        <w:spacing w:after="0" w:line="21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final rule’s effective dates, if adopted, will be phased in depending on the disclosure requirement starting the annual period ending December 31, 2025. In April 2024, the SEC voluntarily stayed implementation of the new climate-related disclosure requirements pending judicial review. The Company is currently evaluating the impact this rule will have on its consolidated financial statements and related disclosures.</w:t>
      </w:r>
    </w:p>
    <w:p>
      <w:pPr>
        <w:spacing w:after="0" w:line="20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 xml:space="preserve">In December 2023, the FASB issued ASU No. 2023-9, </w:t>
      </w:r>
      <w:r>
        <w:rPr>
          <w:rFonts w:ascii="Arial" w:cs="Arial" w:eastAsia="Arial" w:hAnsi="Arial"/>
          <w:sz w:val="17"/>
          <w:szCs w:val="17"/>
          <w:i w:val="1"/>
          <w:iCs w:val="1"/>
          <w:color w:val="auto"/>
        </w:rPr>
        <w:t>Income Taxes (Topic 740)</w:t>
      </w:r>
      <w:r>
        <w:rPr>
          <w:rFonts w:ascii="Arial" w:cs="Arial" w:eastAsia="Arial" w:hAnsi="Arial"/>
          <w:sz w:val="17"/>
          <w:szCs w:val="17"/>
          <w:color w:val="auto"/>
        </w:rPr>
        <w:t>. The new standard updates disclosure requirements for Accounting Standards Codification (ASC) 740 primarily by requiring additional information in the income tax rate reconciliation and additional disclosures about income taxes paid. This standard will be effective for Recursion starting the annual period ending December 31, 2025. Early adoption is permitted for annual financial statements that have not yet been issued. The amendments can be applied on a prospective or retrospective basis. The adoption of this standard will not impact Recursion’s consolidated balance sheet and statement of operations.</w:t>
      </w:r>
    </w:p>
    <w:p>
      <w:pPr>
        <w:spacing w:after="0" w:line="19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November 2023, the FASB issued ASU No. 2023-7, </w:t>
      </w:r>
      <w:r>
        <w:rPr>
          <w:rFonts w:ascii="Arial" w:cs="Arial" w:eastAsia="Arial" w:hAnsi="Arial"/>
          <w:sz w:val="18"/>
          <w:szCs w:val="18"/>
          <w:i w:val="1"/>
          <w:iCs w:val="1"/>
          <w:color w:val="auto"/>
        </w:rPr>
        <w:t>Segment Reporting (Topic 280)</w:t>
      </w:r>
      <w:r>
        <w:rPr>
          <w:rFonts w:ascii="Arial" w:cs="Arial" w:eastAsia="Arial" w:hAnsi="Arial"/>
          <w:sz w:val="18"/>
          <w:szCs w:val="18"/>
          <w:color w:val="auto"/>
        </w:rPr>
        <w:t>. The standard requires new disclosures related to ASC 280 including: disclosing significant segment expenses by category; requiring all the ASC 280 disclosures for companies with a single reportable segment and requiring ASC 280 disclosures for interim financial statements. Recursion must apply the amendments retrospectively to each prior reporting period presented. This standard will be effective for Recursion starting the annual period ending December 31, 2024. The adoption of this standard will not impact Recursion’s consolidated balance sheet and statement of operations.</w:t>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November 2023</w:t>
      </w:r>
      <w:r>
        <w:rPr>
          <w:rFonts w:ascii="Arial" w:cs="Arial" w:eastAsia="Arial" w:hAnsi="Arial"/>
          <w:sz w:val="18"/>
          <w:szCs w:val="18"/>
          <w:color w:val="1E1E1E"/>
        </w:rPr>
        <w:t xml:space="preserve">, Recursion entered into a </w:t>
      </w:r>
      <w:r>
        <w:rPr>
          <w:rFonts w:ascii="Arial" w:cs="Arial" w:eastAsia="Arial" w:hAnsi="Arial"/>
          <w:sz w:val="18"/>
          <w:szCs w:val="18"/>
          <w:color w:val="000000"/>
        </w:rPr>
        <w:t>five</w:t>
      </w:r>
      <w:r>
        <w:rPr>
          <w:rFonts w:ascii="Arial" w:cs="Arial" w:eastAsia="Arial" w:hAnsi="Arial"/>
          <w:sz w:val="18"/>
          <w:szCs w:val="18"/>
          <w:color w:val="1E1E1E"/>
        </w:rPr>
        <w:t xml:space="preserve">-year agreement with Tempus Labs, Inc. (Tempus) to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w:t>
      </w:r>
      <w:r>
        <w:rPr>
          <w:rFonts w:ascii="Arial" w:cs="Arial" w:eastAsia="Arial" w:hAnsi="Arial"/>
          <w:sz w:val="18"/>
          <w:szCs w:val="18"/>
          <w:color w:val="000000"/>
        </w:rPr>
        <w:t>$22.0 million</w:t>
      </w:r>
      <w:r>
        <w:rPr>
          <w:rFonts w:ascii="Arial" w:cs="Arial" w:eastAsia="Arial" w:hAnsi="Arial"/>
          <w:sz w:val="18"/>
          <w:szCs w:val="18"/>
          <w:color w:val="1E1E1E"/>
        </w:rPr>
        <w:t xml:space="preserve"> and </w:t>
      </w:r>
      <w:r>
        <w:rPr>
          <w:rFonts w:ascii="Arial" w:cs="Arial" w:eastAsia="Arial" w:hAnsi="Arial"/>
          <w:sz w:val="18"/>
          <w:szCs w:val="18"/>
          <w:color w:val="000000"/>
        </w:rPr>
        <w:t>$42.0 million</w:t>
      </w:r>
      <w:r>
        <w:rPr>
          <w:rFonts w:ascii="Arial" w:cs="Arial" w:eastAsia="Arial" w:hAnsi="Arial"/>
          <w:sz w:val="18"/>
          <w:szCs w:val="18"/>
          <w:color w:val="1E1E1E"/>
        </w:rPr>
        <w:t xml:space="preserve">, up to </w:t>
      </w:r>
      <w:r>
        <w:rPr>
          <w:rFonts w:ascii="Arial" w:cs="Arial" w:eastAsia="Arial" w:hAnsi="Arial"/>
          <w:sz w:val="18"/>
          <w:szCs w:val="18"/>
          <w:color w:val="000000"/>
        </w:rPr>
        <w:t>$160.0 million</w:t>
      </w:r>
      <w:r>
        <w:rPr>
          <w:rFonts w:ascii="Arial" w:cs="Arial" w:eastAsia="Arial" w:hAnsi="Arial"/>
          <w:sz w:val="18"/>
          <w:szCs w:val="18"/>
          <w:color w:val="1E1E1E"/>
        </w:rPr>
        <w:t xml:space="preserve">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Recursion is expensing the record purchases based on a contractually agreed price as “Research and Development” expenses in the Condensed Consolidated Statements of Operations as the records are downloaded. To the extent that the Recursion payments to Tempus are greater than or less than the records purchased amount, Recursion records the applicable amount to “Other Current Assets” or “Accrued Expenses and Other Liabilities” on the Condensed Consolidated Balance Sheet, respectively. As of September 30, 2024, Recursion had recorded $13.1 million within “Other Current Assets” on the Consolidated Balance Sheet related to the Tempus agreement.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8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82"/>
        </w:trPr>
        <w:tc>
          <w:tcPr>
            <w:tcW w:w="5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60,096</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47,041</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45,929</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8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25,370</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2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8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140,877</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131,382</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(56,467)</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(44,872)</w:t>
            </w:r>
          </w:p>
        </w:tc>
      </w:tr>
      <w:tr>
        <w:trPr>
          <w:trHeight w:val="248"/>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86,510</w:t>
            </w: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Depreciation expense on property and equipment was $4.0 million and $12.1 million during the three and nine months ended September 30, 2024, </w:t>
      </w:r>
      <w:r>
        <w:rPr>
          <w:rFonts w:ascii="Arial" w:cs="Arial" w:eastAsia="Arial" w:hAnsi="Arial"/>
          <w:sz w:val="18"/>
          <w:szCs w:val="18"/>
          <w:color w:val="1E1E1E"/>
        </w:rPr>
        <w:t>respectively, and</w:t>
      </w:r>
      <w:r>
        <w:rPr>
          <w:rFonts w:ascii="Arial" w:cs="Arial" w:eastAsia="Arial" w:hAnsi="Arial"/>
          <w:sz w:val="18"/>
          <w:szCs w:val="18"/>
          <w:color w:val="auto"/>
        </w:rPr>
        <w:t xml:space="preserve"> $4.2 million </w:t>
      </w:r>
      <w:r>
        <w:rPr>
          <w:rFonts w:ascii="Arial" w:cs="Arial" w:eastAsia="Arial" w:hAnsi="Arial"/>
          <w:sz w:val="18"/>
          <w:szCs w:val="18"/>
          <w:color w:val="1E1E1E"/>
        </w:rPr>
        <w:t>and</w:t>
      </w:r>
      <w:r>
        <w:rPr>
          <w:rFonts w:ascii="Arial" w:cs="Arial" w:eastAsia="Arial" w:hAnsi="Arial"/>
          <w:sz w:val="18"/>
          <w:szCs w:val="18"/>
          <w:color w:val="auto"/>
        </w:rPr>
        <w:t xml:space="preserve"> $11.7 million </w:t>
      </w:r>
      <w:r>
        <w:rPr>
          <w:rFonts w:ascii="Arial" w:cs="Arial" w:eastAsia="Arial" w:hAnsi="Arial"/>
          <w:sz w:val="18"/>
          <w:szCs w:val="18"/>
          <w:color w:val="1E1E1E"/>
        </w:rPr>
        <w:t>during the three and</w:t>
      </w:r>
      <w:r>
        <w:rPr>
          <w:rFonts w:ascii="Arial" w:cs="Arial" w:eastAsia="Arial" w:hAnsi="Arial"/>
          <w:sz w:val="18"/>
          <w:szCs w:val="18"/>
          <w:color w:val="auto"/>
        </w:rPr>
        <w:t xml:space="preserve"> nine months ended September 30, 2023, respectively</w:t>
      </w:r>
      <w:r>
        <w:rPr>
          <w:rFonts w:ascii="Arial" w:cs="Arial" w:eastAsia="Arial" w:hAnsi="Arial"/>
          <w:sz w:val="18"/>
          <w:szCs w:val="18"/>
          <w:color w:val="1E1E1E"/>
        </w:rPr>
        <w:t>. The</w:t>
      </w:r>
      <w:r>
        <w:rPr>
          <w:rFonts w:ascii="Arial" w:cs="Arial" w:eastAsia="Arial" w:hAnsi="Arial"/>
          <w:sz w:val="18"/>
          <w:szCs w:val="18"/>
          <w:color w:val="auto"/>
        </w:rPr>
        <w:t xml:space="preserve"> </w:t>
      </w:r>
      <w:r>
        <w:rPr>
          <w:rFonts w:ascii="Arial" w:cs="Arial" w:eastAsia="Arial" w:hAnsi="Arial"/>
          <w:sz w:val="18"/>
          <w:szCs w:val="18"/>
          <w:color w:val="1E1E1E"/>
        </w:rPr>
        <w:t xml:space="preserve">Company recorded an insignificant impairment and an impairment of </w:t>
      </w:r>
      <w:r>
        <w:rPr>
          <w:rFonts w:ascii="Arial" w:cs="Arial" w:eastAsia="Arial" w:hAnsi="Arial"/>
          <w:sz w:val="18"/>
          <w:szCs w:val="18"/>
          <w:color w:val="000000"/>
        </w:rPr>
        <w:t>$1.2 million</w:t>
      </w:r>
      <w:r>
        <w:rPr>
          <w:rFonts w:ascii="Arial" w:cs="Arial" w:eastAsia="Arial" w:hAnsi="Arial"/>
          <w:sz w:val="18"/>
          <w:szCs w:val="18"/>
          <w:color w:val="1E1E1E"/>
        </w:rPr>
        <w:t xml:space="preserve"> during the </w:t>
      </w:r>
      <w:r>
        <w:rPr>
          <w:rFonts w:ascii="Arial" w:cs="Arial" w:eastAsia="Arial" w:hAnsi="Arial"/>
          <w:sz w:val="18"/>
          <w:szCs w:val="18"/>
          <w:color w:val="000000"/>
        </w:rPr>
        <w:t>nine months ended September 30, 2024 and</w:t>
      </w:r>
      <w:r>
        <w:rPr>
          <w:rFonts w:ascii="Arial" w:cs="Arial" w:eastAsia="Arial" w:hAnsi="Arial"/>
          <w:sz w:val="18"/>
          <w:szCs w:val="18"/>
          <w:color w:val="1E1E1E"/>
        </w:rPr>
        <w:t xml:space="preserve"> </w:t>
      </w:r>
      <w:r>
        <w:rPr>
          <w:rFonts w:ascii="Arial" w:cs="Arial" w:eastAsia="Arial" w:hAnsi="Arial"/>
          <w:sz w:val="18"/>
          <w:szCs w:val="18"/>
          <w:color w:val="000000"/>
        </w:rPr>
        <w:t xml:space="preserve">2023, respectively, </w:t>
      </w:r>
      <w:r>
        <w:rPr>
          <w:rFonts w:ascii="Arial" w:cs="Arial" w:eastAsia="Arial" w:hAnsi="Arial"/>
          <w:sz w:val="18"/>
          <w:szCs w:val="18"/>
          <w:color w:val="1E1E1E"/>
        </w:rPr>
        <w:t>related to construction projects for leasehold improvements as the Company no longer intended to use them. The</w:t>
      </w:r>
      <w:r>
        <w:rPr>
          <w:rFonts w:ascii="Arial" w:cs="Arial" w:eastAsia="Arial" w:hAnsi="Arial"/>
          <w:sz w:val="18"/>
          <w:szCs w:val="18"/>
          <w:color w:val="000000"/>
        </w:rPr>
        <w:t xml:space="preserve"> </w:t>
      </w:r>
      <w:r>
        <w:rPr>
          <w:rFonts w:ascii="Arial" w:cs="Arial" w:eastAsia="Arial" w:hAnsi="Arial"/>
          <w:sz w:val="18"/>
          <w:szCs w:val="18"/>
          <w:color w:val="1E1E1E"/>
        </w:rPr>
        <w:t>impairments were recorded in “General and Administrative” in the Condensed 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482"/>
        </w:trPr>
        <w:tc>
          <w:tcPr>
            <w:tcW w:w="4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24"/>
                <w:szCs w:val="24"/>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22,888</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3,454</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6,077</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4,682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construction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Materials received not invoiced</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230"/>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r>
      <w:tr>
        <w:trPr>
          <w:trHeight w:val="22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 and other liabilities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46,635</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45"/>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net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2"/>
        </w:trPr>
        <w:tc>
          <w:tcPr>
            <w:tcW w:w="4560" w:type="dxa"/>
            <w:vAlign w:val="bottom"/>
          </w:tcPr>
          <w:p>
            <w:pPr>
              <w:spacing w:after="0"/>
              <w:rPr>
                <w:sz w:val="24"/>
                <w:szCs w:val="24"/>
                <w:color w:val="auto"/>
              </w:rPr>
            </w:pPr>
          </w:p>
        </w:tc>
        <w:tc>
          <w:tcPr>
            <w:tcW w:w="2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4560" w:type="dxa"/>
            <w:vAlign w:val="bottom"/>
          </w:tcPr>
          <w:p>
            <w:pPr>
              <w:spacing w:after="0"/>
              <w:rPr>
                <w:sz w:val="20"/>
                <w:szCs w:val="20"/>
                <w:color w:val="auto"/>
              </w:rPr>
            </w:pPr>
          </w:p>
        </w:tc>
        <w:tc>
          <w:tcPr>
            <w:tcW w:w="26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w:t>
            </w:r>
          </w:p>
        </w:tc>
      </w:t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(967)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8"/>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14,523</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three and nine months ended September 30, 2024 and 2023, interest income primarily related to earnings on cash and cash equivalents in money market funds. Interest expense primarily related to the Company’s supercomputer financing lease. Interest income, net was included in “Other income,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Exscientia Plc</w:t>
      </w: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1E1E1E"/>
        </w:rPr>
        <w:t xml:space="preserve">On </w:t>
      </w:r>
      <w:r>
        <w:rPr>
          <w:rFonts w:ascii="Arial" w:cs="Arial" w:eastAsia="Arial" w:hAnsi="Arial"/>
          <w:sz w:val="18"/>
          <w:szCs w:val="18"/>
          <w:color w:val="000000"/>
        </w:rPr>
        <w:t>August 8, 2024</w:t>
      </w:r>
      <w:r>
        <w:rPr>
          <w:rFonts w:ascii="Arial" w:cs="Arial" w:eastAsia="Arial" w:hAnsi="Arial"/>
          <w:sz w:val="18"/>
          <w:szCs w:val="18"/>
          <w:color w:val="1E1E1E"/>
        </w:rPr>
        <w:t xml:space="preserve">, the Company signed an agreement with Exscientia plc (“Exscientia”) to acquire all of the issued and to be issued share capital of Exscientia in exchange for shares of Class </w:t>
      </w:r>
      <w:r>
        <w:rPr>
          <w:rFonts w:ascii="Arial" w:cs="Arial" w:eastAsia="Arial" w:hAnsi="Arial"/>
          <w:sz w:val="18"/>
          <w:szCs w:val="18"/>
          <w:color w:val="000000"/>
        </w:rPr>
        <w:t>A common stock of the Company (the “Transaction Agreement”). The Transaction</w:t>
      </w:r>
      <w:r>
        <w:rPr>
          <w:rFonts w:ascii="Arial" w:cs="Arial" w:eastAsia="Arial" w:hAnsi="Arial"/>
          <w:sz w:val="18"/>
          <w:szCs w:val="18"/>
          <w:color w:val="1E1E1E"/>
        </w:rPr>
        <w:t xml:space="preserve"> </w:t>
      </w:r>
      <w:r>
        <w:rPr>
          <w:rFonts w:ascii="Arial" w:cs="Arial" w:eastAsia="Arial" w:hAnsi="Arial"/>
          <w:sz w:val="18"/>
          <w:szCs w:val="18"/>
          <w:color w:val="000000"/>
        </w:rPr>
        <w:t>Agreement has a fixed ex</w:t>
      </w:r>
      <w:r>
        <w:rPr>
          <w:rFonts w:ascii="Arial" w:cs="Arial" w:eastAsia="Arial" w:hAnsi="Arial"/>
          <w:sz w:val="18"/>
          <w:szCs w:val="18"/>
          <w:color w:val="1E1E1E"/>
        </w:rPr>
        <w:t>change ratio whereby each ordinary share of Exscientia will be exchanged for</w:t>
      </w:r>
      <w:r>
        <w:rPr>
          <w:rFonts w:ascii="Arial" w:cs="Arial" w:eastAsia="Arial" w:hAnsi="Arial"/>
          <w:sz w:val="18"/>
          <w:szCs w:val="18"/>
          <w:color w:val="000000"/>
        </w:rPr>
        <w:t xml:space="preserve"> 0.7729 </w:t>
      </w:r>
      <w:r>
        <w:rPr>
          <w:rFonts w:ascii="Arial" w:cs="Arial" w:eastAsia="Arial" w:hAnsi="Arial"/>
          <w:sz w:val="18"/>
          <w:szCs w:val="18"/>
          <w:color w:val="1E1E1E"/>
        </w:rPr>
        <w:t>shares of Class A common</w:t>
      </w:r>
      <w:r>
        <w:rPr>
          <w:rFonts w:ascii="Arial" w:cs="Arial" w:eastAsia="Arial" w:hAnsi="Arial"/>
          <w:sz w:val="18"/>
          <w:szCs w:val="18"/>
          <w:color w:val="000000"/>
        </w:rPr>
        <w:t xml:space="preserve"> </w:t>
      </w:r>
      <w:r>
        <w:rPr>
          <w:rFonts w:ascii="Arial" w:cs="Arial" w:eastAsia="Arial" w:hAnsi="Arial"/>
          <w:sz w:val="18"/>
          <w:szCs w:val="18"/>
          <w:color w:val="1E1E1E"/>
        </w:rPr>
        <w:t xml:space="preserve">stock of </w:t>
      </w:r>
      <w:r>
        <w:rPr>
          <w:rFonts w:ascii="Arial" w:cs="Arial" w:eastAsia="Arial" w:hAnsi="Arial"/>
          <w:sz w:val="18"/>
          <w:szCs w:val="18"/>
          <w:color w:val="000000"/>
        </w:rPr>
        <w:t>the</w:t>
      </w:r>
      <w:r>
        <w:rPr>
          <w:rFonts w:ascii="Arial" w:cs="Arial" w:eastAsia="Arial" w:hAnsi="Arial"/>
          <w:sz w:val="18"/>
          <w:szCs w:val="18"/>
          <w:color w:val="1E1E1E"/>
        </w:rPr>
        <w:t xml:space="preserve"> Company on the closing date. Recursion will also assume the outstanding stock-based compensation awards of Exscientia. The closing of the transaction is subject to the satisfaction or waiver of a number of conditions, including the requisite approval of each of the Company’s stockholders and Exscientia’s shareholders, sanction by the High Court of Justice of England and Wales, and other closing conditions that are customary for transactions of this nature.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Discovery Inc.</w:t>
      </w:r>
    </w:p>
    <w:p>
      <w:pPr>
        <w:spacing w:after="0" w:line="25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On May 16, 2023, Recursion acquired all of the outstanding equity interests in Valence Discovery Inc. (Valence), a privately-held machine learning (ML) / artificial intelligence (AI) digital chemistry company. The integration of Valence’s AI-based chemistry engine into Recursion’s operating system will allow Recursion to expand its technology-enabled drug discovery process. This will accelerate Recursion’s digital chemistry capabilities and its drug discovery process.</w:t>
      </w:r>
    </w:p>
    <w:p>
      <w:pPr>
        <w:spacing w:after="0" w:line="2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acquisition of Valence was accounted for as a business combination using the acquisition method of accounting. The aggregate upfront consideration for the acquisition of Valence consisted of 2.2 million shares of Recursion Class A common stock, 4.4 million shares of a subsidiary of Recursion, exchangeable for shares of Recursion’s Class A common stock, 792 thousand shares issuable upon exercise of stock options held by Valence equity award holders and deferred liabilities for additional consideration.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6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Fair value of Exchangeable stock</w:t>
            </w:r>
          </w:p>
        </w:tc>
        <w:tc>
          <w:tcPr>
            <w:tcW w:w="26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22,473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Valance equity award holders</w:t>
            </w:r>
          </w:p>
        </w:tc>
        <w:tc>
          <w:tcPr>
            <w:tcW w:w="2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r>
      <w:tr>
        <w:trPr>
          <w:trHeight w:val="23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48"/>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6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r>
      <w:tr>
        <w:trPr>
          <w:trHeight w:val="20"/>
        </w:trPr>
        <w:tc>
          <w:tcPr>
            <w:tcW w:w="718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5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 technology</w:t>
            </w:r>
          </w:p>
        </w:tc>
        <w:tc>
          <w:tcPr>
            <w:tcW w:w="3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5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15,634</w:t>
            </w: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5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20,264</w:t>
            </w: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35,898</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intangible asset is related to Valence’s ML and AI digital chemistry platform. The estimated fair value of the intangible asset was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 is being amortized on a straight-line basis over its four-year useful life.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Valence’s digital chemistry platform across Recursion’s business; (ii) leverage Valence’s ML and AI capabilities; (iii) integrate Recursion’s data and operating system into Valence’s platform; and (iv) accelerate Recursion’s pipeline. Goodwill was also impacted by the establishment of a deferred tax liability for the acquired identifiable intangible assets which have no tax basis. The goodwill is not deductible for tax purposes.</w:t>
      </w:r>
    </w:p>
    <w:p>
      <w:pPr>
        <w:spacing w:after="0" w:line="20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Recursion’s condensed consolidated statement of operations during the nine months ended September 30, 2024 included immaterial net revenue and a $9.3 million operating loss associated with Valence’s operations. The Company has finalized the amounts recognized disclosed in the above tables.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 Inc</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On May 25, 2023, Recursion acquired all of the outstanding equity interests in Cyclica Inc. (Cyclica), a privately-held Company that has built a digital chemistry software suite which enables mechanism of action deconvolution and generative chemistry suggestions based on desired targets. Cyclica’s platform is expected to enhance the optimization of Recursion’s compounds for efficacy while minimizing liabilities through generative machine learning approaches.</w:t>
      </w:r>
    </w:p>
    <w:p>
      <w:pPr>
        <w:spacing w:after="0" w:line="203"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The acquisition of Cyclica was accounted for as a business combination using the acquisition method of accounting. The aggregate upfront consideration for the acquisition of Cyclica consisted of 5.8 million shares of Recursion Class A common stock, cash payments, 1.0 million shares issuable upon exercise of stock options held by Cyclica equity award holders and deferred liabilities for additional consideration.</w:t>
      </w:r>
    </w:p>
    <w:p>
      <w:pPr>
        <w:spacing w:after="0" w:line="1" w:lineRule="exact"/>
        <w:rPr>
          <w:sz w:val="20"/>
          <w:szCs w:val="20"/>
          <w:color w:val="auto"/>
        </w:rPr>
      </w:pPr>
    </w:p>
    <w:p>
      <w:pPr>
        <w:ind w:right="960"/>
        <w:spacing w:after="0" w:line="266" w:lineRule="auto"/>
        <w:rPr>
          <w:sz w:val="20"/>
          <w:szCs w:val="20"/>
          <w:color w:val="auto"/>
        </w:rPr>
      </w:pPr>
      <w:r>
        <w:rPr>
          <w:rFonts w:ascii="Arial" w:cs="Arial" w:eastAsia="Arial" w:hAnsi="Arial"/>
          <w:sz w:val="18"/>
          <w:szCs w:val="18"/>
          <w:color w:val="auto"/>
        </w:rPr>
        <w:t>Approximately 172 thousand of the aforementioned shares of Class A common stock consideration had not yet been issued as of September 30,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72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49,915</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Cash</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6,505</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Cyclica equity award holders</w:t>
            </w:r>
          </w:p>
        </w:tc>
        <w:tc>
          <w:tcPr>
            <w:tcW w:w="2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r>
      <w:tr>
        <w:trPr>
          <w:trHeight w:val="23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48"/>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72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60,617</w:t>
            </w: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Intangible assets - technology</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Other liabilities, current</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29,627</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30,990</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60,617</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intangible assets are related to Cyclica’s digital chemistry platforms. The estimated fair value of the intangible assets was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assets are being amortized on a straight-line basis over their three-year useful lives.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Cyclica’s digital chemistry platform across Recursion’s business; (ii) leverage Cyclica’s ML and AI capabilities; (iii) integrate Recursion’s data and operating system into Cyclica’s platform; and (iv) accelerate Recursion’s pipeline. Goodwill was also impacted by the establishment of a deferred tax liability for the acquired identifiable intangible assets. The goodwill is not deductible for tax purposes.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Recursion’s condensed consolidated statement of operations during the nine months ended September 30, 2024 included immaterial net revenue and a $11.2 million operating loss associated with Cyclica’s operations. Recursion’s condensed consolidated statement of operations for the nine months ended September 30, 2023 included immaterial net revenue and a $6.0 million operating loss associated with Cyclica’s operations. The Company has finalized the amounts recognized disclosed in the above tables.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presents the unaudited pro forma combined results of operations of Recursion, Valence and Cyclica as if the acquisitions had occurred on January 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September 30, 2023</w:t>
            </w:r>
          </w:p>
        </w:tc>
        <w:tc>
          <w:tcPr>
            <w:tcW w:w="2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September 30, 2023</w:t>
            </w: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33,970</w:t>
            </w: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28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(92,553)</w:t>
            </w:r>
          </w:p>
        </w:tc>
        <w:tc>
          <w:tcPr>
            <w:tcW w:w="2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(245,391)</w:t>
            </w:r>
          </w:p>
        </w:tc>
      </w:tr>
    </w:tbl>
    <w:p>
      <w:pPr>
        <w:spacing w:after="0" w:line="3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unaudited pro forma financial information was prepared using the acquisition method of accounting and was based on the historical financial information of Recursion, Valence and Cyclica. In order to reflect the occurrence of the acquisitions on January 1, 2022 as required, the unaudited pro forma financial information includes adjustments to reflect the incremental amortization expense to be incurred based on the fair values of the identifiable intangible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assets acquired and the additional stock compensation expense associated with the issuance of equity compensation related to the acquisitions. The unaudited pro forma financial information is not necessarily indicative of what the consolidated results of operations would have been had the acquisitions been completed on January 1, 2022. In addition, the unaudited pro forma financial information is not a projection of the future results of operations of the combined company nor does it reflect the expected realization of any cost savings or synergies associated with the acquisitions.</w:t>
      </w: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has entered into various long-term real estate operating leases primarily related to office, research and development, operating activities and an equipment financing lease related to the supercomputer. The Company’s leases have remaining terms from under 1 year to 8 years and some of those leases include options that provide Recursion with the ability to extend the lease term, generally for five years. The options are included in the lease term when it is reasonably certain that the option will be exercised.</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nine months ended September 30, 2024 and 2023, Recursion entered into lease modifications resulting in a decrease to the right-of-use asset and lease liability of $3.1 million and an increase to the right-of-use asset and lease liability of $3.4 million, respectively. The modifications had no impact to the Condensed Consolidated Statements of Operations.</w:t>
      </w:r>
    </w:p>
    <w:p>
      <w:pPr>
        <w:spacing w:after="0" w:line="19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September 2024, the Company entered into an operating lease agreement for office space in New York, New York with approximately 11,655 square feet (the “New York Lease”). The right of use began September 2024 when control of the asset was obtained. The New York Lease term is 4 years with a potential for a 3 or 6 year renewal option. Total fixed payments are expected to be approximately $6.9 million with additional variable expenses, including building expenses.</w:t>
      </w:r>
    </w:p>
    <w:p>
      <w:pPr>
        <w:spacing w:after="0" w:line="20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May 2024, the Company entered into a financing lease agreement for the supercomputer equipment (the “Supercomputer Lease”). The right of use began May 2024 when control of the asset was obtained and the lease term is 3 years with two additional renewal options for a one or two year period. Total fixed payments are expected to be approximately $34.0 million.</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February 2024, the Company entered into an operating lease agreement related to the supercomputer for the exclusive use of physical space in a data center of approximately 1,851 square feet (the “Data Center Lease”). The right of use began in April 2024 and the lease term is 5 years with a five year renewal option. The lease includes provisions for escalating rent payments. Total fixed lease payments are expected to be approximately $13.0 million with additional variable expenses, including utilities and tax expenses.</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January 2024, the Company entered into an operating lease agreement for office space in London, England with approximately 6,792 square feet (the “London Lease”). The right of use began January 2024 when control of the asset was obtained. The London Lease term is 5 years with a five year renewal option. The London Lease includes provisions for escalating rent payments. Total fixed payments are expected to be approximately $7.9 million, additionally there will be variable expenses including building service charges related to the lease.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The components of the lease cost were:</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auto"/>
                <w:w w:val="99"/>
              </w:rPr>
              <w:t>Three months ended September 30,</w:t>
            </w:r>
          </w:p>
        </w:tc>
        <w:tc>
          <w:tcPr>
            <w:tcW w:w="200" w:type="dxa"/>
            <w:vAlign w:val="bottom"/>
          </w:tcPr>
          <w:p>
            <w:pPr>
              <w:spacing w:after="0"/>
              <w:rPr>
                <w:sz w:val="24"/>
                <w:szCs w:val="24"/>
                <w:color w:val="auto"/>
              </w:rPr>
            </w:pPr>
          </w:p>
        </w:tc>
        <w:tc>
          <w:tcPr>
            <w:tcW w:w="31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3"/>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562</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938</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lease cost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September 30, 2024</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47,882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33,663</w:t>
            </w:r>
          </w:p>
        </w:tc>
      </w:tr>
      <w:tr>
        <w:trPr>
          <w:trHeight w:val="229"/>
        </w:trPr>
        <w:tc>
          <w:tcPr>
            <w:tcW w:w="5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Financing lease right-of-use assets</w:t>
            </w:r>
          </w:p>
        </w:tc>
        <w:tc>
          <w:tcPr>
            <w:tcW w:w="1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26,897</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 right-of-use assets</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74,779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33,663</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59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4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Notes payable and financing lease liabilities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8,145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8,233</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6,116</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current lease liabilities</w:t>
            </w:r>
          </w:p>
        </w:tc>
        <w:tc>
          <w:tcPr>
            <w:tcW w:w="1400" w:type="dxa"/>
            <w:vAlign w:val="bottom"/>
          </w:tcPr>
          <w:p>
            <w:pPr>
              <w:spacing w:after="0"/>
              <w:rPr>
                <w:sz w:val="19"/>
                <w:szCs w:val="19"/>
                <w:color w:val="auto"/>
              </w:rPr>
            </w:pP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16,378</w:t>
            </w:r>
          </w:p>
        </w:tc>
        <w:tc>
          <w:tcPr>
            <w:tcW w:w="280" w:type="dxa"/>
            <w:vAlign w:val="bottom"/>
          </w:tcPr>
          <w:p>
            <w:pPr>
              <w:spacing w:after="0"/>
              <w:rPr>
                <w:sz w:val="19"/>
                <w:szCs w:val="19"/>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6,116</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liabilities</w:t>
            </w:r>
          </w:p>
        </w:tc>
        <w:tc>
          <w:tcPr>
            <w:tcW w:w="14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Notes payable and financing lease liabilities, non-current</w:t>
            </w:r>
          </w:p>
        </w:tc>
        <w:tc>
          <w:tcPr>
            <w:tcW w:w="1400" w:type="dxa"/>
            <w:vAlign w:val="bottom"/>
          </w:tcPr>
          <w:p>
            <w:pPr>
              <w:spacing w:after="0"/>
              <w:rPr>
                <w:sz w:val="19"/>
                <w:szCs w:val="19"/>
                <w:color w:val="auto"/>
              </w:rPr>
            </w:pP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19,495</w:t>
            </w:r>
          </w:p>
        </w:tc>
        <w:tc>
          <w:tcPr>
            <w:tcW w:w="280" w:type="dxa"/>
            <w:vAlign w:val="bottom"/>
          </w:tcPr>
          <w:p>
            <w:pPr>
              <w:spacing w:after="0"/>
              <w:rPr>
                <w:sz w:val="19"/>
                <w:szCs w:val="19"/>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1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53,663</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43,414</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non-current lease liabilities</w:t>
            </w:r>
          </w:p>
        </w:tc>
        <w:tc>
          <w:tcPr>
            <w:tcW w:w="1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73,158</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43,414</w:t>
            </w:r>
          </w:p>
        </w:tc>
      </w:tr>
      <w:tr>
        <w:trPr>
          <w:trHeight w:val="248"/>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89,536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49,530</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w:t>
      </w:r>
    </w:p>
    <w:p>
      <w:pPr>
        <w:spacing w:after="0" w:line="29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 included in the measurement of lease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10,742</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7,950</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financing leases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Financing cash flows from financing leases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2,261</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9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Right-of-use assets additions and modifications: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r>
      <w:tr>
        <w:trPr>
          <w:trHeight w:val="230"/>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Financing leases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29,342</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790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58"/>
        </w:trPr>
        <w:tc>
          <w:tcPr>
            <w:tcW w:w="7900" w:type="dxa"/>
            <w:vAlign w:val="bottom"/>
          </w:tcPr>
          <w:p>
            <w:pPr>
              <w:spacing w:after="0"/>
              <w:rPr>
                <w:sz w:val="20"/>
                <w:szCs w:val="20"/>
                <w:color w:val="auto"/>
              </w:rPr>
            </w:pPr>
            <w:r>
              <w:rPr>
                <w:rFonts w:ascii="Arial" w:cs="Arial" w:eastAsia="Arial" w:hAnsi="Arial"/>
                <w:sz w:val="18"/>
                <w:szCs w:val="18"/>
                <w:color w:val="auto"/>
              </w:rPr>
              <w:t>Lease term and discount rates as of September 30, 2024 were:</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September 30, 2024</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4740" w:type="dxa"/>
            <w:vAlign w:val="bottom"/>
            <w:shd w:val="clear" w:color="auto" w:fill="CCEEFF"/>
          </w:tcPr>
          <w:p>
            <w:pPr>
              <w:spacing w:after="0"/>
              <w:rPr>
                <w:sz w:val="19"/>
                <w:szCs w:val="19"/>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740" w:type="dxa"/>
            <w:vAlign w:val="bottom"/>
          </w:tcPr>
          <w:p>
            <w:pPr>
              <w:ind w:left="4260"/>
              <w:spacing w:after="0"/>
              <w:rPr>
                <w:sz w:val="20"/>
                <w:szCs w:val="20"/>
                <w:color w:val="auto"/>
              </w:rPr>
            </w:pPr>
            <w:r>
              <w:rPr>
                <w:rFonts w:ascii="Arial" w:cs="Arial" w:eastAsia="Arial" w:hAnsi="Arial"/>
                <w:sz w:val="18"/>
                <w:szCs w:val="18"/>
                <w:color w:val="auto"/>
              </w:rPr>
              <w:t>5.7</w:t>
            </w:r>
          </w:p>
        </w:tc>
      </w:tr>
      <w:tr>
        <w:trPr>
          <w:trHeight w:val="230"/>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740" w:type="dxa"/>
            <w:vAlign w:val="bottom"/>
            <w:tcBorders>
              <w:bottom w:val="single" w:sz="8" w:color="auto"/>
            </w:tcBorders>
            <w:shd w:val="clear" w:color="auto" w:fill="CCEEFF"/>
          </w:tcPr>
          <w:p>
            <w:pPr>
              <w:ind w:left="4260"/>
              <w:spacing w:after="0"/>
              <w:rPr>
                <w:sz w:val="20"/>
                <w:szCs w:val="20"/>
                <w:color w:val="auto"/>
              </w:rPr>
            </w:pPr>
            <w:r>
              <w:rPr>
                <w:rFonts w:ascii="Arial" w:cs="Arial" w:eastAsia="Arial" w:hAnsi="Arial"/>
                <w:sz w:val="18"/>
                <w:szCs w:val="18"/>
                <w:color w:val="auto"/>
                <w:w w:val="99"/>
              </w:rPr>
              <w:t>7.9 %</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4740" w:type="dxa"/>
            <w:vAlign w:val="bottom"/>
          </w:tcPr>
          <w:p>
            <w:pPr>
              <w:spacing w:after="0"/>
              <w:rPr>
                <w:sz w:val="19"/>
                <w:szCs w:val="19"/>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740" w:type="dxa"/>
            <w:vAlign w:val="bottom"/>
            <w:shd w:val="clear" w:color="auto" w:fill="CCEEFF"/>
          </w:tcPr>
          <w:p>
            <w:pPr>
              <w:ind w:left="4260"/>
              <w:spacing w:after="0"/>
              <w:rPr>
                <w:sz w:val="20"/>
                <w:szCs w:val="20"/>
                <w:color w:val="auto"/>
              </w:rPr>
            </w:pPr>
            <w:r>
              <w:rPr>
                <w:rFonts w:ascii="Arial" w:cs="Arial" w:eastAsia="Arial" w:hAnsi="Arial"/>
                <w:sz w:val="18"/>
                <w:szCs w:val="18"/>
                <w:color w:val="auto"/>
              </w:rPr>
              <w:t>2.8</w:t>
            </w:r>
          </w:p>
        </w:tc>
      </w:tr>
      <w:tr>
        <w:trPr>
          <w:trHeight w:val="23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discount rate</w:t>
            </w:r>
          </w:p>
        </w:tc>
        <w:tc>
          <w:tcPr>
            <w:tcW w:w="4740" w:type="dxa"/>
            <w:vAlign w:val="bottom"/>
            <w:tcBorders>
              <w:bottom w:val="single" w:sz="8" w:color="auto"/>
            </w:tcBorders>
          </w:tcPr>
          <w:p>
            <w:pPr>
              <w:ind w:left="4260"/>
              <w:spacing w:after="0"/>
              <w:rPr>
                <w:sz w:val="20"/>
                <w:szCs w:val="20"/>
                <w:color w:val="auto"/>
              </w:rPr>
            </w:pPr>
            <w:r>
              <w:rPr>
                <w:rFonts w:ascii="Arial" w:cs="Arial" w:eastAsia="Arial" w:hAnsi="Arial"/>
                <w:sz w:val="18"/>
                <w:szCs w:val="18"/>
                <w:color w:val="auto"/>
                <w:w w:val="99"/>
              </w:rPr>
              <w:t>7.6 %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835"/>
        </w:trPr>
        <w:tc>
          <w:tcPr>
            <w:tcW w:w="560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September 30, 2024 were:</w:t>
            </w:r>
          </w:p>
        </w:tc>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529"/>
        </w:trPr>
        <w:tc>
          <w:tcPr>
            <w:tcW w:w="5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Finance leases</w:t>
            </w: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2025</w:t>
            </w:r>
          </w:p>
        </w:tc>
        <w:tc>
          <w:tcPr>
            <w:tcW w:w="4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14,585</w:t>
            </w: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10,046</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w:t>
            </w:r>
          </w:p>
        </w:tc>
        <w:tc>
          <w:tcPr>
            <w:tcW w:w="3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2027</w:t>
            </w:r>
          </w:p>
        </w:tc>
        <w:tc>
          <w:tcPr>
            <w:tcW w:w="4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15,914</w:t>
            </w: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8,736</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3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17,660</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79,120</w:t>
            </w:r>
          </w:p>
        </w:tc>
        <w:tc>
          <w:tcPr>
            <w:tcW w:w="3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31,339</w:t>
            </w:r>
          </w:p>
        </w:tc>
      </w:tr>
      <w:tr>
        <w:trPr>
          <w:trHeight w:val="229"/>
        </w:trPr>
        <w:tc>
          <w:tcPr>
            <w:tcW w:w="5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Less amounts representing interest or imputed interest</w:t>
            </w:r>
          </w:p>
        </w:tc>
        <w:tc>
          <w:tcPr>
            <w:tcW w:w="10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(17,224)</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w:t>
            </w:r>
          </w:p>
        </w:tc>
      </w:tr>
      <w:tr>
        <w:trPr>
          <w:trHeight w:val="248"/>
        </w:trPr>
        <w:tc>
          <w:tcPr>
            <w:tcW w:w="56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27,640</w:t>
            </w:r>
          </w:p>
        </w:tc>
      </w:tr>
      <w:tr>
        <w:trPr>
          <w:trHeight w:val="20"/>
        </w:trPr>
        <w:tc>
          <w:tcPr>
            <w:tcW w:w="1280" w:type="dxa"/>
            <w:vAlign w:val="bottom"/>
            <w:tcBorders>
              <w:top w:val="single" w:sz="8" w:color="CCEEFF"/>
              <w:bottom w:val="single" w:sz="8" w:color="auto"/>
            </w:tcBorders>
          </w:tcPr>
          <w:p>
            <w:pPr>
              <w:spacing w:after="0" w:line="20" w:lineRule="exact"/>
              <w:rPr>
                <w:sz w:val="1"/>
                <w:szCs w:val="1"/>
                <w:color w:val="auto"/>
              </w:rPr>
            </w:pPr>
          </w:p>
        </w:tc>
        <w:tc>
          <w:tcPr>
            <w:tcW w:w="4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6.</w:t>
        <w:tab/>
        <w:t>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There were no changes to the carrying amount of goodwill during the three and nine months ended September 30, 2024. There were additions of $51.3 million to the carrying amount of goodwill related to the acquisition of Cyclica and Valence during the nine months ended September 30, 2023. No goodwill impairment was recorded during the three and nine months ended September 30, 2024 and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left="955"/>
              <w:spacing w:after="0"/>
              <w:rPr>
                <w:sz w:val="20"/>
                <w:szCs w:val="20"/>
                <w:color w:val="auto"/>
              </w:rPr>
            </w:pPr>
            <w:r>
              <w:rPr>
                <w:rFonts w:ascii="Arial" w:cs="Arial" w:eastAsia="Arial" w:hAnsi="Arial"/>
                <w:sz w:val="18"/>
                <w:szCs w:val="18"/>
                <w:b w:val="1"/>
                <w:bCs w:val="1"/>
                <w:color w:val="auto"/>
                <w:w w:val="99"/>
              </w:rPr>
              <w:t>September 30, 2024</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December 31, 2023</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Gross carrying</w:t>
            </w:r>
          </w:p>
        </w:tc>
        <w:tc>
          <w:tcPr>
            <w:tcW w:w="280" w:type="dxa"/>
            <w:vAlign w:val="bottom"/>
          </w:tcPr>
          <w:p>
            <w:pPr>
              <w:spacing w:after="0"/>
              <w:rPr>
                <w:sz w:val="12"/>
                <w:szCs w:val="12"/>
                <w:color w:val="auto"/>
              </w:rPr>
            </w:pPr>
          </w:p>
        </w:tc>
        <w:tc>
          <w:tcPr>
            <w:tcW w:w="1300" w:type="dxa"/>
            <w:vAlign w:val="bottom"/>
          </w:tcPr>
          <w:p>
            <w:pPr>
              <w:jc w:val="center"/>
              <w:ind w:right="116"/>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Definite-lived technology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44,076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2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44,076</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35,194</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Definite-lived licensed</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9,350</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7,750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34,093</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36,443</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Amortization expense was $4.1 million and $11.3 million during the three and nine months ended September 30, 2024, respectively. Amortization expense was $3.4 million and $5.1 million during the three and nine months ended September 30, 2023, respectively. Amortization expense was included in “Research and Development” in the Condensed Consolidated Statements of Operations. No indefinite-lived intangible asset impairment charges were recorded during the three and nine months ended September 30, 2024 and 2023.</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nine months ended September 30, 2024, the Company entered into a 3 year licensing agreement with Helix for access to their patient data and use rights for therapeutics development purposes. This data will be used to improve the training of Recursion’s artificial intelligence and machine learning models and is expected to accelerate Recursion’s drug discovery process. Recursion is making annual payments of $3.0 million for a total of $9.0 million, which was recorded in “Intangible Assets, net” on the Condensed Consolidated Balance Sheet and included as a licensed intangible asset in the above table. Recursion made the first payment during the nine months ended September 30, 2024 and recorded the two remaining $3.0 million payments in “Accrued expenses and other liabilities” and “Other liabilities, non-current” on the Condensed Consolidated Balance Sheet, respectively. The licensed intangible asset is being amortized on a straight-line basis over its three-year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Contract Obligations</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1E1E1E"/>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1E1E1E"/>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September 30, 2024 and December 31, 2023, as no amounts were probable.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1E1E1E"/>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1E1E1E"/>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1E1E1E"/>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On June 23, 2023, the landlord filed a lawsuit against the Company (</w:t>
      </w:r>
      <w:r>
        <w:rPr>
          <w:rFonts w:ascii="Arial" w:cs="Arial" w:eastAsia="Arial" w:hAnsi="Arial"/>
          <w:sz w:val="18"/>
          <w:szCs w:val="18"/>
          <w:i w:val="1"/>
          <w:iCs w:val="1"/>
          <w:color w:val="1E1E1E"/>
        </w:rPr>
        <w:t>Industry Office SLC, LLC v. Recursion Pharmaceuticals, Inc.</w:t>
      </w:r>
      <w:r>
        <w:rPr>
          <w:rFonts w:ascii="Arial" w:cs="Arial" w:eastAsia="Arial" w:hAnsi="Arial"/>
          <w:sz w:val="18"/>
          <w:szCs w:val="18"/>
          <w:color w:val="1E1E1E"/>
        </w:rPr>
        <w:t xml:space="preserve">, Case No. 230904627) in the Third District Court for Salt Lake County, State of Utah (the Court), alleging anticipatory repudiation and breach of contract. The Plaintiff seeks monetary damages and attorney’s fees. </w:t>
      </w:r>
      <w:r>
        <w:rPr>
          <w:rFonts w:ascii="Arial" w:cs="Arial" w:eastAsia="Arial" w:hAnsi="Arial"/>
          <w:sz w:val="18"/>
          <w:szCs w:val="18"/>
          <w:color w:val="000000"/>
        </w:rPr>
        <w:t>As of</w:t>
      </w:r>
      <w:r>
        <w:rPr>
          <w:rFonts w:ascii="Arial" w:cs="Arial" w:eastAsia="Arial" w:hAnsi="Arial"/>
          <w:sz w:val="18"/>
          <w:szCs w:val="18"/>
          <w:color w:val="1E1E1E"/>
        </w:rPr>
        <w:t xml:space="preserve"> September 30, 2024, the Company had no liability recorded for these events as an unfavorable outcome was not probable.</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1E1E1E"/>
        </w:rPr>
        <w:t>In connection with the Industry Lease, in September 2023, the Company filed counterclaims in the Court against the landlord alleging, among other things, breach of contract and fraudulent misrepresentation (the Counterclaims). Also in September 2023, the Court dismissed the landlord’s complaint without prejudice. In October 2023, the landlord filed an amended complaint and also an answer to Recursion’s Counterclaims, denying the Company’s allegations. The Company and the landlord are currently engaged in discovery. In September 2024, the Court granted Recursion’s motion to amend its Counterclaims to assert claims for alter ego and agency liability against several allegedly controlling parent companies associated with the landlord. The Company is presently unable to estimate the possible amount or range of damages associated with the Counterclaims, as expert discovery associated with these issues has not yet occurred.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Pledged Assets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1E1E1E"/>
        </w:rPr>
        <w:t xml:space="preserve">As of September 30, 2024, assets pledged as collateral against finance leases totaled </w:t>
      </w:r>
      <w:r>
        <w:rPr>
          <w:rFonts w:ascii="Arial" w:cs="Arial" w:eastAsia="Arial" w:hAnsi="Arial"/>
          <w:sz w:val="18"/>
          <w:szCs w:val="18"/>
          <w:color w:val="000000"/>
        </w:rPr>
        <w:t>$25.6 million</w:t>
      </w:r>
      <w:r>
        <w:rPr>
          <w:rFonts w:ascii="Arial" w:cs="Arial" w:eastAsia="Arial" w:hAnsi="Arial"/>
          <w:sz w:val="18"/>
          <w:szCs w:val="18"/>
          <w:color w:val="1E1E1E"/>
        </w:rPr>
        <w:t xml:space="preserve">. Assets pledged as collateral are Lab Equipment reported in “Property and Equipment, net” on the Condensed Consolidated Balance Sheet. As of September 30, 2024, the liabilities associated with collateral pledged were solely comprised of a finance lease and had a carrying value of </w:t>
      </w:r>
      <w:r>
        <w:rPr>
          <w:rFonts w:ascii="Arial" w:cs="Arial" w:eastAsia="Arial" w:hAnsi="Arial"/>
          <w:sz w:val="18"/>
          <w:szCs w:val="18"/>
          <w:color w:val="000000"/>
        </w:rPr>
        <w:t>$27.6 million.</w:t>
      </w:r>
      <w:r>
        <w:rPr>
          <w:rFonts w:ascii="Arial" w:cs="Arial" w:eastAsia="Arial" w:hAnsi="Arial"/>
          <w:sz w:val="18"/>
          <w:szCs w:val="18"/>
          <w:color w:val="1E1E1E"/>
        </w:rPr>
        <w:t xml:space="preserve"> The collateral pledged under the lease agreement may only be operated by the Company within the continental United States and must maintain a good title. The assets cannot be sold, disposed of or repledged by the Company.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September 30, 2024 and December 31, 2023,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Public Offering of Common Stock</w:t>
      </w:r>
    </w:p>
    <w:p>
      <w:pPr>
        <w:spacing w:after="0" w:line="2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1E1E1E"/>
        </w:rPr>
        <w:t xml:space="preserve">On </w:t>
      </w:r>
      <w:r>
        <w:rPr>
          <w:rFonts w:ascii="Arial" w:cs="Arial" w:eastAsia="Arial" w:hAnsi="Arial"/>
          <w:sz w:val="18"/>
          <w:szCs w:val="18"/>
          <w:color w:val="000000"/>
        </w:rPr>
        <w:t>June 28, 2024</w:t>
      </w:r>
      <w:r>
        <w:rPr>
          <w:rFonts w:ascii="Arial" w:cs="Arial" w:eastAsia="Arial" w:hAnsi="Arial"/>
          <w:sz w:val="18"/>
          <w:szCs w:val="18"/>
          <w:color w:val="1E1E1E"/>
        </w:rPr>
        <w:t xml:space="preserve">, the Company closed its public offering of Class A common stock and issued </w:t>
      </w:r>
      <w:r>
        <w:rPr>
          <w:rFonts w:ascii="Arial" w:cs="Arial" w:eastAsia="Arial" w:hAnsi="Arial"/>
          <w:sz w:val="18"/>
          <w:szCs w:val="18"/>
          <w:color w:val="000000"/>
        </w:rPr>
        <w:t>35.4 million shares</w:t>
      </w:r>
      <w:r>
        <w:rPr>
          <w:rFonts w:ascii="Arial" w:cs="Arial" w:eastAsia="Arial" w:hAnsi="Arial"/>
          <w:sz w:val="18"/>
          <w:szCs w:val="18"/>
          <w:color w:val="1E1E1E"/>
        </w:rPr>
        <w:t xml:space="preserve"> at a price of </w:t>
      </w:r>
      <w:r>
        <w:rPr>
          <w:rFonts w:ascii="Arial" w:cs="Arial" w:eastAsia="Arial" w:hAnsi="Arial"/>
          <w:sz w:val="18"/>
          <w:szCs w:val="18"/>
          <w:color w:val="000000"/>
        </w:rPr>
        <w:t>$6.50</w:t>
      </w:r>
      <w:r>
        <w:rPr>
          <w:rFonts w:ascii="Arial" w:cs="Arial" w:eastAsia="Arial" w:hAnsi="Arial"/>
          <w:sz w:val="18"/>
          <w:szCs w:val="18"/>
          <w:color w:val="1E1E1E"/>
        </w:rPr>
        <w:t xml:space="preserve"> per share for net proceeds of approximately </w:t>
      </w:r>
      <w:r>
        <w:rPr>
          <w:rFonts w:ascii="Arial" w:cs="Arial" w:eastAsia="Arial" w:hAnsi="Arial"/>
          <w:sz w:val="18"/>
          <w:szCs w:val="18"/>
          <w:color w:val="000000"/>
        </w:rPr>
        <w:t>$216.4 million, after deducting transaction costs of $13.6 million.</w:t>
      </w:r>
      <w:r>
        <w:rPr>
          <w:rFonts w:ascii="Arial" w:cs="Arial" w:eastAsia="Arial" w:hAnsi="Arial"/>
          <w:sz w:val="18"/>
          <w:szCs w:val="18"/>
          <w:color w:val="1E1E1E"/>
        </w:rPr>
        <w:t xml:space="preserve"> In connection with the public offering of Class A common stock, the Company entered into an underwriting agreement for the offering and sale of </w:t>
      </w:r>
      <w:r>
        <w:rPr>
          <w:rFonts w:ascii="Arial" w:cs="Arial" w:eastAsia="Arial" w:hAnsi="Arial"/>
          <w:sz w:val="18"/>
          <w:szCs w:val="18"/>
          <w:color w:val="000000"/>
        </w:rPr>
        <w:t>30.8 million</w:t>
      </w:r>
      <w:r>
        <w:rPr>
          <w:rFonts w:ascii="Arial" w:cs="Arial" w:eastAsia="Arial" w:hAnsi="Arial"/>
          <w:sz w:val="18"/>
          <w:szCs w:val="18"/>
          <w:color w:val="1E1E1E"/>
        </w:rPr>
        <w:t xml:space="preserve"> shares. The Company also granted the Underwriters a 30 day option from the date of the underwriting agreement to purchase up to an additional</w:t>
      </w:r>
    </w:p>
    <w:p>
      <w:pPr>
        <w:spacing w:after="0" w:line="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4.6 million </w:t>
      </w:r>
      <w:r>
        <w:rPr>
          <w:rFonts w:ascii="Arial" w:cs="Arial" w:eastAsia="Arial" w:hAnsi="Arial"/>
          <w:sz w:val="18"/>
          <w:szCs w:val="18"/>
          <w:color w:val="1E1E1E"/>
        </w:rPr>
        <w:t>shares of Class A Common Stock, which was exercised in full. The public offering was made pursuant to the Company's effective</w:t>
      </w:r>
      <w:r>
        <w:rPr>
          <w:rFonts w:ascii="Arial" w:cs="Arial" w:eastAsia="Arial" w:hAnsi="Arial"/>
          <w:sz w:val="18"/>
          <w:szCs w:val="18"/>
          <w:color w:val="auto"/>
        </w:rPr>
        <w:t xml:space="preserve"> </w:t>
      </w:r>
      <w:r>
        <w:rPr>
          <w:rFonts w:ascii="Arial" w:cs="Arial" w:eastAsia="Arial" w:hAnsi="Arial"/>
          <w:sz w:val="18"/>
          <w:szCs w:val="18"/>
          <w:color w:val="1E1E1E"/>
        </w:rPr>
        <w:t xml:space="preserve">registration statement on Form S-3 (File No. 333-264845) and a related prospectus supplement and accompanying prospectus dated </w:t>
      </w:r>
      <w:r>
        <w:rPr>
          <w:rFonts w:ascii="Arial" w:cs="Arial" w:eastAsia="Arial" w:hAnsi="Arial"/>
          <w:sz w:val="18"/>
          <w:szCs w:val="18"/>
          <w:color w:val="000000"/>
        </w:rPr>
        <w:t>June 26, 2024</w:t>
      </w:r>
      <w:r>
        <w:rPr>
          <w:rFonts w:ascii="Arial" w:cs="Arial" w:eastAsia="Arial" w:hAnsi="Arial"/>
          <w:sz w:val="18"/>
          <w:szCs w:val="18"/>
          <w:color w:val="1E1E1E"/>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At-The-Market Offering</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August 2023</w:t>
      </w:r>
      <w:r>
        <w:rPr>
          <w:rFonts w:ascii="Arial" w:cs="Arial" w:eastAsia="Arial" w:hAnsi="Arial"/>
          <w:sz w:val="18"/>
          <w:szCs w:val="18"/>
          <w:color w:val="auto"/>
        </w:rPr>
        <w:t>, the Company entered into an Open Market Sales Agreement (the “Sales Agreement”) with Jefferies LLC (the “Sales Agent”), to provide for the offering, issuance and sale of up to an aggregate amount of $300.0 million of its Class A common stock from time to time in “at-the-market” (ATM) offerings. As of September 30, 2024, an amount of $144.3 million remained available for future sales under the Sales Agreement. For the nine months ended September 30, 2024, the Company has sold 8.4 million shares and received net proceeds of $ 72.9 million under the agreement. Recursion is not required to sell additional shares under the Sales Agreement. The Company will pay the Sales Agent a commission of up to 3% of the aggregate gross proceeds received from all sales of Class A common stock. The Sales Agreement continues until the earlier of selling all shares available under the Sales Agreement or terminated by written notice from either of the parties. The ATM Offering is being made under a prospectus supplement dated August 8, 2023, and related prospectus filed with the Securities and Exchange Commission pursuant to our automatically effective shelf registration statement on Form S-3ASR (Registration No. 333-264845).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NVIDIA Private Placement</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July 2023</w:t>
      </w:r>
      <w:r>
        <w:rPr>
          <w:rFonts w:ascii="Arial" w:cs="Arial" w:eastAsia="Arial" w:hAnsi="Arial"/>
          <w:sz w:val="18"/>
          <w:szCs w:val="18"/>
          <w:color w:val="auto"/>
        </w:rPr>
        <w:t>, Recursion entered into a Stock Purchase Agreement for a private placement with NVIDIA Corporation (2023 Private Placement), pursuant to which the Company sold an aggregate of 7.7 million shares of the Company’s Class A common stock at a price of $6.49 per share for net proceeds of approximately $49.9 million</w:t>
      </w:r>
      <w:r>
        <w:rPr>
          <w:rFonts w:ascii="Arial" w:cs="Arial" w:eastAsia="Arial" w:hAnsi="Arial"/>
          <w:sz w:val="18"/>
          <w:szCs w:val="18"/>
          <w:color w:val="1E1E1E"/>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Valence Acquisition Exchangeable Shares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an agreement to issue up to 5.9 million shares of Class A common stock (the “Exchangeable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September 30, 2024, 4.9 million Exchangeable shares have been redeemed for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2023</w:t>
      </w:r>
      <w:r>
        <w:rPr>
          <w:rFonts w:ascii="Arial" w:cs="Arial" w:eastAsia="Arial" w:hAnsi="Arial"/>
          <w:sz w:val="18"/>
          <w:szCs w:val="18"/>
          <w:color w:val="auto"/>
        </w:rPr>
        <w:t xml:space="preserve">,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w:t>
      </w:r>
      <w:r>
        <w:rPr>
          <w:rFonts w:ascii="Arial" w:cs="Arial" w:eastAsia="Arial" w:hAnsi="Arial"/>
          <w:sz w:val="18"/>
          <w:szCs w:val="18"/>
          <w:color w:val="1E1E1E"/>
        </w:rPr>
        <w:t>December 2023</w:t>
      </w:r>
      <w:r>
        <w:rPr>
          <w:rFonts w:ascii="Arial" w:cs="Arial" w:eastAsia="Arial" w:hAnsi="Arial"/>
          <w:sz w:val="18"/>
          <w:szCs w:val="18"/>
          <w:color w:val="auto"/>
        </w:rPr>
        <w:t xml:space="preserve"> to register shares issued to Tempus for the initial license fee under the Tempus Agreement for resale.</w:t>
      </w:r>
    </w:p>
    <w:p>
      <w:pPr>
        <w:spacing w:after="0" w:line="210"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NVIDIA Private Placement</w:t>
      </w:r>
    </w:p>
    <w:p>
      <w:pPr>
        <w:spacing w:after="0" w:line="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July 2023</w:t>
      </w:r>
      <w:r>
        <w:rPr>
          <w:rFonts w:ascii="Arial" w:cs="Arial" w:eastAsia="Arial" w:hAnsi="Arial"/>
          <w:sz w:val="18"/>
          <w:szCs w:val="18"/>
          <w:color w:val="auto"/>
        </w:rPr>
        <w:t xml:space="preserve">, in connection with the 2023 Private Placement with NVIDIA, the Company entered into a Registration Rights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August 2023</w:t>
      </w:r>
      <w:r>
        <w:rPr>
          <w:rFonts w:ascii="Arial" w:cs="Arial" w:eastAsia="Arial" w:hAnsi="Arial"/>
          <w:sz w:val="18"/>
          <w:szCs w:val="18"/>
          <w:color w:val="auto"/>
        </w:rPr>
        <w:t xml:space="preserve"> to register the resale of the shares of Class A common stock issued to NVIDIA. The Company has agreed to use commercially reasonable efforts to keep the registration statement continuously effective until such date that all registrable securities under the agreement have been sold. In the event the holders cannot sell their shares due to certain circumstances causing the registration statement to be ineffective, the Company must pay each holder of shares outstanding on the date and each month thereafter 1% of the aggregate purchase price with the maximum payable amount of 5% of the aggregate purchase price. As of September 30, 2024, there was no accrued liability related to this agreement, as it was not probable that a payment would be required.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shares for resale by the holders. The registration statement must remain effective for a period of not less than three years.</w:t>
      </w: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xml:space="preserve">, in connection with the acquisition of Cyclica, the Company entered into a Registration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June 2023</w:t>
      </w:r>
      <w:r>
        <w:rPr>
          <w:rFonts w:ascii="Arial" w:cs="Arial" w:eastAsia="Arial" w:hAnsi="Arial"/>
          <w:sz w:val="18"/>
          <w:szCs w:val="18"/>
          <w:color w:val="auto"/>
        </w:rPr>
        <w:t xml:space="preserve"> to register the shares for resale by the holders. The registration agreement must be continuously effective until the earlier of the date that all shares have been sold thereunder or are able to be publicly sold by relying on Rule 144 of the Securities Act without registration.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Private Placement</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1E1E1E"/>
        </w:rPr>
        <w:t>In October 2022, i</w:t>
      </w:r>
      <w:r>
        <w:rPr>
          <w:rFonts w:ascii="Arial" w:cs="Arial" w:eastAsia="Arial" w:hAnsi="Arial"/>
          <w:sz w:val="18"/>
          <w:szCs w:val="18"/>
          <w:color w:val="000000"/>
        </w:rPr>
        <w:t>n connection with the 2022 Private Placement, the Company entered into a Registration Rights Agreement providing for</w:t>
      </w:r>
      <w:r>
        <w:rPr>
          <w:rFonts w:ascii="Arial" w:cs="Arial" w:eastAsia="Arial" w:hAnsi="Arial"/>
          <w:sz w:val="18"/>
          <w:szCs w:val="18"/>
          <w:color w:val="1E1E1E"/>
        </w:rPr>
        <w:t xml:space="preserve"> </w:t>
      </w:r>
      <w:r>
        <w:rPr>
          <w:rFonts w:ascii="Arial" w:cs="Arial" w:eastAsia="Arial" w:hAnsi="Arial"/>
          <w:sz w:val="18"/>
          <w:szCs w:val="18"/>
          <w:color w:val="000000"/>
        </w:rPr>
        <w:t xml:space="preserve">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October 2022</w:t>
      </w:r>
      <w:r>
        <w:rPr>
          <w:rFonts w:ascii="Arial" w:cs="Arial" w:eastAsia="Arial" w:hAnsi="Arial"/>
          <w:sz w:val="18"/>
          <w:szCs w:val="18"/>
          <w:color w:val="000000"/>
        </w:rPr>
        <w:t xml:space="preserve"> to register the resale of the shares of Class A common stock by the Purchasers. The agreement must remain effective until registrable securities covered by the agreement have been publicly sold by the holders or all shares cease to be registrable securities. In the event the holders cannot sell their shares due to certain circumstances causing the agreement to be ineffective, the Company must pay each holder of shares outstanding on the date and each month thereafter 1.0% of the aggregate purchase price paid by the holder without limit until the agreement is cured. As of September 30, 2024, there was no accrued liability related to this agreement, as it was not probable that a payment would be required.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Stock Authorization</w:t>
      </w:r>
    </w:p>
    <w:p>
      <w:pPr>
        <w:spacing w:after="0" w:line="25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The rights of the holders of Class A and B common stock are identical, except with respect to voting and conversion.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10 votes per share and is convertible at any time into one share of Class A common stock.</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 September 30, 2024, Dr. Gibson and his affiliates held outstanding shares of Class B common stock representing approximately 20%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September 30, 2024, Dr. Gibson and his affiliates would hold approximately 20%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 In September 2024, Recursion received a $30.0 million milestone payment (the “acceptance fee”) which was an acceptance fee related to the first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determined the transaction price to be $180.0 million, comprised of the upfront payment and the acceptance fee. Prior to the three months ended September 30, 2024, Recursion had fully constrained the $30.0 million variable consideration acceptance fee. As a result of Roche’s acceptance of the neuroscience Phenomap, Recursion is now recognizing the acceptance fee as part of the transaction price over the completion period of one of the neuroscience performance obligations. Recursion has fully constrained the remaining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acceptance fee was allocated to one of the neuroscience performance obligations as the terms of the variable consideration related specifically to Recursion’s efforts to satisfy this performance obligation.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Of the revenue recognized during the three and nine months ended September 30, 2024, $4.1 million and $29.0 million was included in the unearned revenue balance as of December 31, 2023, respectively, and was related to the upfront payment received by the Company. Primarily all revenue recognized during the three and nine months ended September 30, 2023 was included in the unearned revenue balance as of December 31, 2022. Revenue recognized during the three and nine months ended September 30, 2024 was from the upfront payments and the acceptance fee received. The recognition of a portion of the upfront payment and acceptance fee decreased the unearned revenue recognized. As of September 30, 2024, the Company had $5.5 million of costs incurred to fulfill a contract on its Condensed Consolidated Balance Sheet within “Other Current Assets.”</w:t>
      </w:r>
    </w:p>
    <w:p>
      <w:pPr>
        <w:spacing w:after="0" w:line="21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September 30, 2024, 12.5 million shares of Class A common stock were available for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31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9,194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25,141</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13,590</w:t>
            </w: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21,470</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17,861</w:t>
            </w: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49,211</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nine months ended September 30, 2024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Weighted-Average</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6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Shares</w:t>
            </w:r>
          </w:p>
        </w:tc>
        <w:tc>
          <w:tcPr>
            <w:tcW w:w="320" w:type="dxa"/>
            <w:vAlign w:val="bottom"/>
          </w:tcPr>
          <w:p>
            <w:pPr>
              <w:spacing w:after="0"/>
              <w:rPr>
                <w:sz w:val="14"/>
                <w:szCs w:val="14"/>
                <w:color w:val="auto"/>
              </w:rPr>
            </w:pPr>
          </w:p>
        </w:tc>
        <w:tc>
          <w:tcPr>
            <w:tcW w:w="1280" w:type="dxa"/>
            <w:vAlign w:val="bottom"/>
          </w:tcPr>
          <w:p>
            <w:pPr>
              <w:jc w:val="center"/>
              <w:ind w:right="232"/>
              <w:spacing w:after="0" w:line="162" w:lineRule="exact"/>
              <w:rPr>
                <w:sz w:val="20"/>
                <w:szCs w:val="20"/>
                <w:color w:val="auto"/>
              </w:rPr>
            </w:pPr>
            <w:r>
              <w:rPr>
                <w:rFonts w:ascii="Arial" w:cs="Arial" w:eastAsia="Arial" w:hAnsi="Arial"/>
                <w:sz w:val="16"/>
                <w:szCs w:val="16"/>
                <w:b w:val="1"/>
                <w:bCs w:val="1"/>
                <w:color w:val="auto"/>
              </w:rPr>
              <w:t>Exercise</w:t>
            </w:r>
          </w:p>
        </w:tc>
        <w:tc>
          <w:tcPr>
            <w:tcW w:w="2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 Life</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share data and per share amounts)</w:t>
            </w:r>
          </w:p>
        </w:tc>
        <w:tc>
          <w:tcPr>
            <w:tcW w:w="14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rPr>
              <w:t>Price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14,957,617</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72,416</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3,683,011</w:t>
            </w:r>
          </w:p>
        </w:tc>
        <w:tc>
          <w:tcPr>
            <w:tcW w:w="32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7.31</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538,803</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11.91</w:t>
            </w: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2,542,832</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w:t>
            </w:r>
          </w:p>
        </w:tc>
        <w:tc>
          <w:tcPr>
            <w:tcW w:w="2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15,558,993</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7.33</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September 30, 2024</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9,409,685</w:t>
            </w:r>
          </w:p>
        </w:tc>
        <w:tc>
          <w:tcPr>
            <w:tcW w:w="32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6.28</w:t>
            </w:r>
          </w:p>
        </w:tc>
        <w:tc>
          <w:tcPr>
            <w:tcW w:w="2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w:t>
            </w:r>
          </w:p>
        </w:tc>
        <w:tc>
          <w:tcPr>
            <w:tcW w:w="3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26,068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nine months ended September 30, 2024 and 2023 were $5.88 and $5.64,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1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2023</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65 %</w:t>
            </w:r>
          </w:p>
        </w:tc>
        <w:tc>
          <w:tcPr>
            <w:tcW w:w="180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4.2 %</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r>
    </w:tbl>
    <w:p>
      <w:pPr>
        <w:spacing w:after="0" w:line="30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September 30, 2024, $ 38.2 million of unrecognized compensation cost related to stock options is expected to be recognized as expense over approximately the next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nine months ended September 30,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37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Stock units</w:t>
            </w:r>
          </w:p>
        </w:tc>
        <w:tc>
          <w:tcPr>
            <w:tcW w:w="2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15,223,764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3720" w:type="dxa"/>
            <w:vAlign w:val="bottom"/>
          </w:tcPr>
          <w:p>
            <w:pPr>
              <w:jc w:val="right"/>
              <w:spacing w:after="0"/>
              <w:rPr>
                <w:sz w:val="20"/>
                <w:szCs w:val="20"/>
                <w:color w:val="auto"/>
              </w:rPr>
            </w:pPr>
            <w:r>
              <w:rPr>
                <w:rFonts w:ascii="Arial" w:cs="Arial" w:eastAsia="Arial" w:hAnsi="Arial"/>
                <w:sz w:val="18"/>
                <w:szCs w:val="18"/>
                <w:color w:val="auto"/>
              </w:rPr>
              <w:t>8,782,890</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4,252,052</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1,659,896</w:t>
            </w: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2024</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18,094,706</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fair market value of RSUs vested was $39.3 million during the nine months ended September 30, 2024. As of September 30, 2024, $146.4 million of unrecognized compensation cost related to RSUs is expected to be recognized as expense over approximately the next three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did not record any U.S. income tax expense during the three and nine months ended September 30, 2024 and 2023. The Company has historically incurred operating losses and maintains a full valuation allowance against its U.S. net deferred tax assets. Foreign taxes were insignificant during the three and nine months ended September 30, 2024 and 2023.</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occur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September 30, 2024, the Company was not limited on its NOLs and tax credit carry-forwards. The Company will continue to monitor future ownership changes for potential Section 382 limitations.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12. Net Loss Per Share</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For the three and nine months ended September 30, 2024 and 2023, Recursion calculated net loss per share of Class A, Class B and the Exchangeable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w:t>
      </w:r>
      <w:r>
        <w:rPr>
          <w:rFonts w:ascii="Arial" w:cs="Arial" w:eastAsia="Arial" w:hAnsi="Arial"/>
          <w:sz w:val="18"/>
          <w:szCs w:val="18"/>
          <w:color w:val="1E1E1E"/>
        </w:rPr>
        <w:t>For the three and</w:t>
      </w:r>
      <w:r>
        <w:rPr>
          <w:rFonts w:ascii="Arial" w:cs="Arial" w:eastAsia="Arial" w:hAnsi="Arial"/>
          <w:sz w:val="18"/>
          <w:szCs w:val="18"/>
          <w:color w:val="auto"/>
        </w:rPr>
        <w:t xml:space="preserve"> nine months ended September 30, 2024 and 2023</w:t>
      </w:r>
      <w:r>
        <w:rPr>
          <w:rFonts w:ascii="Arial" w:cs="Arial" w:eastAsia="Arial" w:hAnsi="Arial"/>
          <w:sz w:val="18"/>
          <w:szCs w:val="18"/>
          <w:color w:val="1E1E1E"/>
        </w:rPr>
        <w:t>, the Company reported a net loss</w:t>
      </w:r>
      <w:r>
        <w:rPr>
          <w:rFonts w:ascii="Arial" w:cs="Arial" w:eastAsia="Arial" w:hAnsi="Arial"/>
          <w:sz w:val="18"/>
          <w:szCs w:val="18"/>
          <w:color w:val="auto"/>
        </w:rPr>
        <w:t xml:space="preserve"> </w:t>
      </w:r>
      <w:r>
        <w:rPr>
          <w:rFonts w:ascii="Arial" w:cs="Arial" w:eastAsia="Arial" w:hAnsi="Arial"/>
          <w:sz w:val="18"/>
          <w:szCs w:val="18"/>
          <w:color w:val="1E1E1E"/>
        </w:rPr>
        <w:t>and therefore basic and diluted loss per share were the same.</w:t>
      </w:r>
    </w:p>
    <w:p>
      <w:pPr>
        <w:spacing w:after="0" w:line="21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Class B and the Exchangeable common stock was the same during the three and nine months ended September 30, 2024 and 2023.</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64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14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17"/>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2023</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(93,017)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(284,755)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(235,070)</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282,583,048</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214,327,186</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253,447,099</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203,090,637</w:t>
            </w:r>
          </w:p>
        </w:tc>
      </w:tr>
      <w:tr>
        <w:trPr>
          <w:trHeight w:val="22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
        </w:trPr>
        <w:tc>
          <w:tcPr>
            <w:tcW w:w="4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1E1E1E"/>
        </w:rPr>
        <w:t>The Company excluded the following potential common shares from the computation of diluted net loss per share for the periods indicated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4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 September 30,</w:t>
            </w:r>
          </w:p>
        </w:tc>
        <w:tc>
          <w:tcPr>
            <w:tcW w:w="3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Nine months ended September 30,</w:t>
            </w:r>
          </w:p>
        </w:tc>
      </w:tr>
      <w:tr>
        <w:trPr>
          <w:trHeight w:val="235"/>
        </w:trPr>
        <w:tc>
          <w:tcPr>
            <w:tcW w:w="3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2024</w:t>
            </w: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2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5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2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5,869,795</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12,162,449</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8,098,979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9,022,502</w:t>
            </w:r>
          </w:p>
        </w:tc>
      </w:tr>
      <w:tr>
        <w:trPr>
          <w:trHeight w:val="257"/>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Tempus agreement</w:t>
            </w:r>
          </w:p>
        </w:tc>
        <w:tc>
          <w:tcPr>
            <w:tcW w:w="2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6,694,934</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6,694,934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12,564,729</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12,162,449</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14,793,913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9,022,502</w:t>
            </w:r>
          </w:p>
        </w:tc>
      </w:tr>
      <w:tr>
        <w:trPr>
          <w:trHeight w:val="20"/>
        </w:trPr>
        <w:tc>
          <w:tcPr>
            <w:tcW w:w="336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September 30, 2024</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18"/>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8,184</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8,184</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241,199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241,199</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83"/>
        </w:trPr>
        <w:tc>
          <w:tcPr>
            <w:tcW w:w="3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jc w:val="right"/>
              <w:ind w:right="1292"/>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35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18"/>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332,513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332,513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4"/>
          </w:tcPr>
          <w:p>
            <w:pPr>
              <w:ind w:left="1320"/>
              <w:spacing w:after="0"/>
              <w:rPr>
                <w:sz w:val="20"/>
                <w:szCs w:val="20"/>
                <w:color w:val="auto"/>
              </w:rPr>
            </w:pPr>
            <w:r>
              <w:rPr>
                <w:rFonts w:ascii="Arial" w:cs="Arial" w:eastAsia="Arial" w:hAnsi="Arial"/>
                <w:sz w:val="16"/>
                <w:szCs w:val="16"/>
                <w:b w:val="1"/>
                <w:bCs w:val="1"/>
                <w:color w:val="auto"/>
              </w:rPr>
              <w:t>Book values</w:t>
            </w:r>
          </w:p>
        </w:tc>
        <w:tc>
          <w:tcPr>
            <w:tcW w:w="180" w:type="dxa"/>
            <w:vAlign w:val="bottom"/>
          </w:tcPr>
          <w:p>
            <w:pPr>
              <w:spacing w:after="0"/>
              <w:rPr>
                <w:sz w:val="18"/>
                <w:szCs w:val="18"/>
                <w:color w:val="auto"/>
              </w:rPr>
            </w:pPr>
          </w:p>
        </w:tc>
        <w:tc>
          <w:tcPr>
            <w:tcW w:w="378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2024</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2024</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current</w:t>
            </w:r>
          </w:p>
        </w:tc>
        <w:tc>
          <w:tcPr>
            <w:tcW w:w="16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16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20,510</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20,510</w:t>
            </w:r>
          </w:p>
        </w:tc>
        <w:tc>
          <w:tcPr>
            <w:tcW w:w="2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 non-current</w:t>
            </w: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2. Management’s Discussion and Analysis of Financial Condition and Results of Operations.</w:t>
      </w:r>
    </w:p>
    <w:p>
      <w:pPr>
        <w:spacing w:after="0" w:line="2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1E1E1E"/>
        </w:rPr>
        <w:t xml:space="preserve">The following is a discussion and analysis of the financial condition of </w:t>
      </w:r>
      <w:r>
        <w:rPr>
          <w:rFonts w:ascii="Arial" w:cs="Arial" w:eastAsia="Arial" w:hAnsi="Arial"/>
          <w:sz w:val="18"/>
          <w:szCs w:val="18"/>
          <w:i w:val="1"/>
          <w:iCs w:val="1"/>
          <w:color w:val="000000"/>
        </w:rPr>
        <w:t>Recursion Pharmaceuticals, Inc. (Recursion, the Company, we, us or</w:t>
      </w:r>
      <w:r>
        <w:rPr>
          <w:rFonts w:ascii="Arial" w:cs="Arial" w:eastAsia="Arial" w:hAnsi="Arial"/>
          <w:sz w:val="18"/>
          <w:szCs w:val="18"/>
          <w:i w:val="1"/>
          <w:iCs w:val="1"/>
          <w:color w:val="1E1E1E"/>
        </w:rPr>
        <w:t xml:space="preserve"> </w:t>
      </w:r>
      <w:r>
        <w:rPr>
          <w:rFonts w:ascii="Arial" w:cs="Arial" w:eastAsia="Arial" w:hAnsi="Arial"/>
          <w:sz w:val="18"/>
          <w:szCs w:val="18"/>
          <w:i w:val="1"/>
          <w:iCs w:val="1"/>
          <w:color w:val="000000"/>
        </w:rPr>
        <w:t xml:space="preserve">our) </w:t>
      </w:r>
      <w:r>
        <w:rPr>
          <w:rFonts w:ascii="Arial" w:cs="Arial" w:eastAsia="Arial" w:hAnsi="Arial"/>
          <w:sz w:val="18"/>
          <w:szCs w:val="18"/>
          <w:i w:val="1"/>
          <w:iCs w:val="1"/>
          <w:color w:val="1E1E1E"/>
        </w:rPr>
        <w:t>and the results of operations. This commentary should be read in conjunction with the unaudited Condensed Consolidated Financial</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1E1E1E"/>
        </w:rPr>
        <w:t>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2023 (the 2023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2023 Annual Report and our Quarterly Reports on Form 10-Q for the quarters ended March 31, 2024 and June 30, 2024, and the risk factors disclosed under Item 8.01 in our Current Report on Form 8-K filed with the SEC on September 3, 2024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2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1E1E1E"/>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Overview</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Recursion is a leading clinical stage TechBio company decoding biology to industrialize drug discovery. Central to our mission is the Recursion Operating System (OS), a platform built across diverse technologies that enables us to map and navigate trillions of biological, chemical and patient-centric relationships across over 50 petabytes of proprietary data. We frame this integration of the physical and digital components as iterative loops, where scaled ‘wet-lab’ biology, chemistry and patient-centric experimental data are organized by ‘dry-lab’ computational tools in order to identify, validate and translate therapeutic insights. We believe Recursion’s unbiased, data-driven approach to understanding biology will bring more, new and better medicines at higher scale and lower cost to patients.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key value-drivers at Recursion:</w:t>
      </w:r>
    </w:p>
    <w:p>
      <w:pPr>
        <w:spacing w:after="0" w:line="24" w:lineRule="exact"/>
        <w:rPr>
          <w:sz w:val="20"/>
          <w:szCs w:val="20"/>
          <w:color w:val="auto"/>
        </w:rPr>
      </w:pPr>
    </w:p>
    <w:p>
      <w:pPr>
        <w:ind w:left="660" w:right="40" w:hanging="328"/>
        <w:spacing w:after="0" w:line="25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 xml:space="preserve">An expansive </w:t>
      </w:r>
      <w:r>
        <w:rPr>
          <w:rFonts w:ascii="Arial" w:cs="Arial" w:eastAsia="Arial" w:hAnsi="Arial"/>
          <w:sz w:val="18"/>
          <w:szCs w:val="18"/>
          <w:b w:val="1"/>
          <w:bCs w:val="1"/>
          <w:color w:val="auto"/>
        </w:rPr>
        <w:t>pipeline</w:t>
      </w:r>
      <w:r>
        <w:rPr>
          <w:rFonts w:ascii="Arial" w:cs="Arial" w:eastAsia="Arial" w:hAnsi="Arial"/>
          <w:sz w:val="18"/>
          <w:szCs w:val="18"/>
          <w:color w:val="auto"/>
        </w:rPr>
        <w:t xml:space="preserve"> of internally developed clinical and preclinical programs focused on precision oncology and genetically driven rare diseases with significant unmet need and market opportunities that could potentially exceed $1 billion in annual sales in some cases</w:t>
      </w:r>
    </w:p>
    <w:p>
      <w:pPr>
        <w:spacing w:after="0" w:line="1" w:lineRule="exact"/>
        <w:rPr>
          <w:rFonts w:ascii="Arial" w:cs="Arial" w:eastAsia="Arial" w:hAnsi="Arial"/>
          <w:sz w:val="20"/>
          <w:szCs w:val="20"/>
          <w:color w:val="auto"/>
        </w:rPr>
      </w:pPr>
    </w:p>
    <w:p>
      <w:pPr>
        <w:ind w:left="660" w:right="60" w:hanging="328"/>
        <w:spacing w:after="0" w:line="24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 xml:space="preserve">Transformational </w:t>
      </w:r>
      <w:r>
        <w:rPr>
          <w:rFonts w:ascii="Arial" w:cs="Arial" w:eastAsia="Arial" w:hAnsi="Arial"/>
          <w:sz w:val="18"/>
          <w:szCs w:val="18"/>
          <w:b w:val="1"/>
          <w:bCs w:val="1"/>
          <w:color w:val="auto"/>
        </w:rPr>
        <w:t>partnerships</w:t>
      </w:r>
      <w:r>
        <w:rPr>
          <w:rFonts w:ascii="Arial" w:cs="Arial" w:eastAsia="Arial" w:hAnsi="Arial"/>
          <w:sz w:val="18"/>
          <w:szCs w:val="18"/>
          <w:color w:val="auto"/>
        </w:rPr>
        <w:t xml:space="preserve"> with leading biopharma and technology companies to map and navigate intractable areas of biology, identify novel targets, and develop potential new medicines by using advanced computational and data resources</w:t>
      </w:r>
    </w:p>
    <w:p>
      <w:pPr>
        <w:spacing w:after="0" w:line="1" w:lineRule="exact"/>
        <w:rPr>
          <w:rFonts w:ascii="Arial" w:cs="Arial" w:eastAsia="Arial" w:hAnsi="Arial"/>
          <w:sz w:val="20"/>
          <w:szCs w:val="20"/>
          <w:color w:val="auto"/>
        </w:rPr>
      </w:pPr>
    </w:p>
    <w:p>
      <w:pPr>
        <w:ind w:left="660" w:right="380" w:hanging="328"/>
        <w:spacing w:after="0" w:line="26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 xml:space="preserve">An industry-leading </w:t>
      </w:r>
      <w:r>
        <w:rPr>
          <w:rFonts w:ascii="Arial" w:cs="Arial" w:eastAsia="Arial" w:hAnsi="Arial"/>
          <w:sz w:val="18"/>
          <w:szCs w:val="18"/>
          <w:b w:val="1"/>
          <w:bCs w:val="1"/>
          <w:color w:val="auto"/>
        </w:rPr>
        <w:t>dataset</w:t>
      </w:r>
      <w:r>
        <w:rPr>
          <w:rFonts w:ascii="Arial" w:cs="Arial" w:eastAsia="Arial" w:hAnsi="Arial"/>
          <w:sz w:val="18"/>
          <w:szCs w:val="18"/>
          <w:color w:val="auto"/>
        </w:rPr>
        <w:t xml:space="preserve"> intentionally designed to capitalize on computational tools and accelerate value created through our pipeline, partnerships and technology products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863590" cy="267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drive value by scaling and leveraging the Recursion OS to generate, aggregate and integrate over 50 petabytes of data spanning large language model derived disease relevance and target-compound relationships, predicted protein-ligand binding interactions for ~36 billion compounds, over 300 million total staining and multi-timepoint live-cell (brightfield) phenomics experiments, over 1 million whole transcriptomics experiments, tens of thousands of ADME experiments using our automated DMPK module, InVivomics and multimodal precision oncology patient data. This dataset has been curated using over 50 human cell types, our cell manufacturing facility which has produced over 1 trillion hiPSC-derived neuronal cells since 2022, our in-house chemical library of over 1.7 million compounds, a vast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library of small molecules and other capabilities. We have built proprietary software applications and AI/ML models within the Recursion OS which predict and navigate over 7 trillion biological and chemical relationships. With our approach and our team of over 500 Recursionauts that is balanced between life scientists and computational and technical experts, we endeavor to turn drug discovery into a search problem, where we map and navigate biology in an unbiased manner in order to translate insights into more, new, and better medicines at higher scale and lower cost to patients.</w:t>
      </w:r>
    </w:p>
    <w:p>
      <w:pPr>
        <w:spacing w:after="0" w:line="209"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On August 8, 2024, Recursion signed an agreement with Exscientia plc (Exscientia) to acquire all of the issued and to be issued share capital of Exscientia in exchange for shares of Class A common stock of Recursion (the Transaction Agreement). The Transaction Agreement has a fixed exchange ratio whereby each ordinary share of Exscientia will be exchanged for 0.7729 shares of Class A common stock of Recursion on the closing date. The closing of the transaction is subject to the satisfaction or waiver of a number of conditions, including the requisite approval of each of Recursion’s stockholders and Exscientia’s shareholders, sanction by the High Court of Justice of England and Wales, and other closing conditions that are customary for transactions of this nature. The following graphic depicts our combined pipeline with Exscientia, assuming the completion of the transactions contemplated by the Transaction Agreement, with Exscientia’s programs in shaded rows.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863590" cy="267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22" w:lineRule="exact"/>
        <w:rPr>
          <w:sz w:val="20"/>
          <w:szCs w:val="20"/>
          <w:color w:val="auto"/>
        </w:rPr>
      </w:pPr>
    </w:p>
    <w:p>
      <w:pPr>
        <w:ind w:left="660" w:right="20" w:hanging="328"/>
        <w:spacing w:after="0" w:line="24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Cerebral Cavernous Malformation (CCM) (REC-994): </w:t>
      </w:r>
      <w:r>
        <w:rPr>
          <w:rFonts w:ascii="Arial" w:cs="Arial" w:eastAsia="Arial" w:hAnsi="Arial"/>
          <w:sz w:val="18"/>
          <w:szCs w:val="18"/>
          <w:color w:val="auto"/>
        </w:rPr>
        <w:t>In September, we announced that our Phase 2 SYCAMORE clinical trial,</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randomized, double-blind, placebo-controlled, study of two doses of REC-994 in participants with CCM, met its primary endpoint of safety and demonstrated encouraging trends in objective MRI-based exploratory efficacy measures at the highest dose, seeing reductions in lesion volume and hemosiderin ring size. We plan to meet with the FDA and advance the development of REC-994 for the potential treatment of symptomatic CCM in subsequent studies. We also plan to present the Phase 2 data at a medical conference and publish results in a peer reviewed scientific journal.</w:t>
      </w:r>
    </w:p>
    <w:p>
      <w:pPr>
        <w:spacing w:after="0" w:line="4" w:lineRule="exact"/>
        <w:rPr>
          <w:rFonts w:ascii="Arial" w:cs="Arial" w:eastAsia="Arial" w:hAnsi="Arial"/>
          <w:sz w:val="20"/>
          <w:szCs w:val="20"/>
          <w:color w:val="auto"/>
        </w:rPr>
      </w:pPr>
    </w:p>
    <w:p>
      <w:pPr>
        <w:ind w:left="660" w:right="20" w:hanging="328"/>
        <w:spacing w:after="0" w:line="25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Neurofibromatosis Type 2 (NF2) (REC-2282): </w:t>
      </w:r>
      <w:r>
        <w:rPr>
          <w:rFonts w:ascii="Arial" w:cs="Arial" w:eastAsia="Arial" w:hAnsi="Arial"/>
          <w:sz w:val="18"/>
          <w:szCs w:val="18"/>
          <w:color w:val="auto"/>
        </w:rPr>
        <w:t>Our adaptive Phase 2/3 POPLAR clinical trial is an open label, two part study of</w:t>
      </w:r>
      <w:r>
        <w:rPr>
          <w:rFonts w:ascii="Arial" w:cs="Arial" w:eastAsia="Arial" w:hAnsi="Arial"/>
          <w:sz w:val="18"/>
          <w:szCs w:val="18"/>
          <w:b w:val="1"/>
          <w:bCs w:val="1"/>
          <w:color w:val="auto"/>
        </w:rPr>
        <w:t xml:space="preserve"> </w:t>
      </w:r>
      <w:r>
        <w:rPr>
          <w:rFonts w:ascii="Arial" w:cs="Arial" w:eastAsia="Arial" w:hAnsi="Arial"/>
          <w:sz w:val="18"/>
          <w:szCs w:val="18"/>
          <w:color w:val="auto"/>
        </w:rPr>
        <w:t>REC-2282 in participants with progressive NF2-mutated meningiomas. Part 1 of the study explores two doses of REC-2282 in adult and pediatric participants. Enrollment of adult patients in Part 1 of the study is complete (n=24). We expect to share an update in Q4 2024.</w:t>
      </w:r>
    </w:p>
    <w:p>
      <w:pPr>
        <w:spacing w:after="0" w:line="18"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Familial Adenomatous Polyposis (FAP) (REC-4881): </w:t>
      </w:r>
      <w:r>
        <w:rPr>
          <w:rFonts w:ascii="Arial" w:cs="Arial" w:eastAsia="Arial" w:hAnsi="Arial"/>
          <w:sz w:val="18"/>
          <w:szCs w:val="18"/>
          <w:color w:val="auto"/>
        </w:rPr>
        <w:t>Our Phase 1b/2 TUPELO clinical trial is an open label, multicenter, two part</w:t>
      </w:r>
      <w:r>
        <w:rPr>
          <w:rFonts w:ascii="Arial" w:cs="Arial" w:eastAsia="Arial" w:hAnsi="Arial"/>
          <w:sz w:val="18"/>
          <w:szCs w:val="18"/>
          <w:b w:val="1"/>
          <w:bCs w:val="1"/>
          <w:color w:val="auto"/>
        </w:rPr>
        <w:t xml:space="preserve"> </w:t>
      </w:r>
      <w:r>
        <w:rPr>
          <w:rFonts w:ascii="Arial" w:cs="Arial" w:eastAsia="Arial" w:hAnsi="Arial"/>
          <w:sz w:val="18"/>
          <w:szCs w:val="18"/>
          <w:color w:val="auto"/>
        </w:rPr>
        <w:t>study of REC-4881 in participants with FAP. Part 1 is complete and enrollment in Part 2 has commenced. We expect to share Phase 2 safety and preliminary efficacy data in H1 2025.</w:t>
      </w:r>
    </w:p>
    <w:p>
      <w:pPr>
        <w:jc w:val="both"/>
        <w:ind w:left="660" w:right="260" w:hanging="328"/>
        <w:spacing w:after="0" w:line="25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APC or AXIN1 Mutant Cancers (REC-4881): </w:t>
      </w:r>
      <w:r>
        <w:rPr>
          <w:rFonts w:ascii="Arial" w:cs="Arial" w:eastAsia="Arial" w:hAnsi="Arial"/>
          <w:sz w:val="18"/>
          <w:szCs w:val="18"/>
          <w:color w:val="auto"/>
        </w:rPr>
        <w:t>Our Phase 2 LILAC clinical trial is an open label, multicenter study of REC-4881 in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with unresectable, locally advanced or metastatic cancer with AXIN1 or APC mutations. We expect to share Phase 2 safety and preliminary efficacy data in H1 2025.</w:t>
      </w:r>
    </w:p>
    <w:p>
      <w:pPr>
        <w:spacing w:after="0" w:line="1" w:lineRule="exact"/>
        <w:rPr>
          <w:rFonts w:ascii="Arial" w:cs="Arial" w:eastAsia="Arial" w:hAnsi="Arial"/>
          <w:sz w:val="20"/>
          <w:szCs w:val="20"/>
          <w:color w:val="auto"/>
        </w:rPr>
      </w:pPr>
    </w:p>
    <w:p>
      <w:pPr>
        <w:ind w:left="660" w:right="140" w:hanging="328"/>
        <w:spacing w:after="0" w:line="25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i w:val="1"/>
          <w:iCs w:val="1"/>
          <w:color w:val="auto"/>
        </w:rPr>
        <w:t xml:space="preserve">Clostridioides difficile </w:t>
      </w:r>
      <w:r>
        <w:rPr>
          <w:rFonts w:ascii="Arial" w:cs="Arial" w:eastAsia="Arial" w:hAnsi="Arial"/>
          <w:sz w:val="18"/>
          <w:szCs w:val="18"/>
          <w:b w:val="1"/>
          <w:bCs w:val="1"/>
          <w:color w:val="auto"/>
        </w:rPr>
        <w:t>Infection (REC-3964):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we announced the first patient dosed in our Phase 2 clinical study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REC-3964, a potential first-in-class, oral, non-antibiotic small molecule for recurrent </w:t>
      </w:r>
      <w:r>
        <w:rPr>
          <w:rFonts w:ascii="Arial" w:cs="Arial" w:eastAsia="Arial" w:hAnsi="Arial"/>
          <w:sz w:val="18"/>
          <w:szCs w:val="18"/>
          <w:i w:val="1"/>
          <w:iCs w:val="1"/>
          <w:color w:val="auto"/>
        </w:rPr>
        <w:t>Clostridioides difficile</w:t>
      </w:r>
      <w:r>
        <w:rPr>
          <w:rFonts w:ascii="Arial" w:cs="Arial" w:eastAsia="Arial" w:hAnsi="Arial"/>
          <w:sz w:val="18"/>
          <w:szCs w:val="18"/>
          <w:color w:val="auto"/>
        </w:rPr>
        <w:t xml:space="preserve"> infection. Our Phase 2 ALDER clinical trial is an open-label, multicenter randomized study designed to evaluate rates of recurrence with REC-3964 at two doses compared with an observational cohort after patients have achieved initial cure with vancomycin. We expect a preliminary readout by the end of 2025.</w:t>
      </w:r>
    </w:p>
    <w:p>
      <w:pPr>
        <w:jc w:val="both"/>
        <w:ind w:left="660" w:right="20" w:hanging="328"/>
        <w:spacing w:after="0" w:line="258"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7"/>
          <w:szCs w:val="17"/>
          <w:b w:val="1"/>
          <w:bCs w:val="1"/>
          <w:color w:val="auto"/>
        </w:rPr>
        <w:t xml:space="preserve">Biomarker-Enriched Solid Tumors and Lymphoma, Target RBM39 (REC-1245): </w:t>
      </w:r>
      <w:r>
        <w:rPr>
          <w:rFonts w:ascii="Arial" w:cs="Arial" w:eastAsia="Arial" w:hAnsi="Arial"/>
          <w:sz w:val="17"/>
          <w:szCs w:val="17"/>
          <w:color w:val="auto"/>
        </w:rPr>
        <w:t>In October, we announced FDA clearance of an</w:t>
      </w:r>
      <w:r>
        <w:rPr>
          <w:rFonts w:ascii="Arial" w:cs="Arial" w:eastAsia="Arial" w:hAnsi="Arial"/>
          <w:sz w:val="17"/>
          <w:szCs w:val="17"/>
          <w:b w:val="1"/>
          <w:bCs w:val="1"/>
          <w:color w:val="auto"/>
        </w:rPr>
        <w:t xml:space="preserve"> </w:t>
      </w:r>
      <w:r>
        <w:rPr>
          <w:rFonts w:ascii="Arial" w:cs="Arial" w:eastAsia="Arial" w:hAnsi="Arial"/>
          <w:sz w:val="17"/>
          <w:szCs w:val="17"/>
          <w:color w:val="auto"/>
        </w:rPr>
        <w:t>IND for REC-1245, a potential first-in-class RBM39 degrader for biomarker-enriched solid tumors and lymphoma. RBM39 is a novel CDK12-adjacent target identified by the Recursion OS. We plan to initiate dosing of Phase 1/2 in Q4 2024 to evaluate REC-1245.</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8"/>
          <w:szCs w:val="18"/>
          <w:color w:val="auto"/>
        </w:rPr>
        <w:t>Phase 1 data from the dose-escalation portion of the study is expected by the end of 2025.</w:t>
      </w:r>
    </w:p>
    <w:p>
      <w:pPr>
        <w:spacing w:after="0" w:line="13" w:lineRule="exact"/>
        <w:rPr>
          <w:rFonts w:ascii="Arial" w:cs="Arial" w:eastAsia="Arial" w:hAnsi="Arial"/>
          <w:sz w:val="19"/>
          <w:szCs w:val="19"/>
          <w:color w:val="auto"/>
        </w:rPr>
      </w:pPr>
    </w:p>
    <w:p>
      <w:pPr>
        <w:ind w:left="660" w:right="40" w:hanging="328"/>
        <w:spacing w:after="0" w:line="26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Undisclosed Indication in Fibrosis, Target Epsilon: </w:t>
      </w:r>
      <w:r>
        <w:rPr>
          <w:rFonts w:ascii="Arial" w:cs="Arial" w:eastAsia="Arial" w:hAnsi="Arial"/>
          <w:sz w:val="18"/>
          <w:szCs w:val="18"/>
          <w:color w:val="auto"/>
        </w:rPr>
        <w:t>We are advancing our lead candidate and expect an IND submission in early</w:t>
      </w:r>
      <w:r>
        <w:rPr>
          <w:rFonts w:ascii="Arial" w:cs="Arial" w:eastAsia="Arial" w:hAnsi="Arial"/>
          <w:sz w:val="18"/>
          <w:szCs w:val="18"/>
          <w:b w:val="1"/>
          <w:bCs w:val="1"/>
          <w:color w:val="auto"/>
        </w:rPr>
        <w:t xml:space="preserve"> </w:t>
      </w:r>
      <w:r>
        <w:rPr>
          <w:rFonts w:ascii="Arial" w:cs="Arial" w:eastAsia="Arial" w:hAnsi="Arial"/>
          <w:sz w:val="18"/>
          <w:szCs w:val="18"/>
          <w:color w:val="auto"/>
        </w:rPr>
        <w:t>2025.</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22" w:lineRule="exact"/>
        <w:rPr>
          <w:sz w:val="20"/>
          <w:szCs w:val="20"/>
          <w:color w:val="auto"/>
        </w:rPr>
      </w:pPr>
    </w:p>
    <w:p>
      <w:pPr>
        <w:ind w:left="660" w:right="40" w:hanging="328"/>
        <w:spacing w:after="0" w:line="255"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Transformational Collaborations: </w:t>
      </w:r>
      <w:r>
        <w:rPr>
          <w:rFonts w:ascii="Arial" w:cs="Arial" w:eastAsia="Arial" w:hAnsi="Arial"/>
          <w:sz w:val="18"/>
          <w:szCs w:val="18"/>
          <w:color w:val="auto"/>
        </w:rPr>
        <w:t>We continue to advance efforts to discover potential new therapeutics with our strategic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areas of undruggable oncology (Bayer) as well as neuroscience and a single indication in gastrointestinal oncology (Roche-Genentech). In August, our first neuroscience phenomap was optioned by Roche-Genentech for $30 million as part of a fee structure that could exceed a total of $500 million across multiple maps. In the near-term, there is the potential for option exercises associated with partnership programs and map building initiatives or data sharing.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22" w:lineRule="exact"/>
        <w:rPr>
          <w:sz w:val="20"/>
          <w:szCs w:val="20"/>
          <w:color w:val="auto"/>
        </w:rPr>
      </w:pPr>
    </w:p>
    <w:p>
      <w:pPr>
        <w:ind w:left="660" w:right="20" w:hanging="328"/>
        <w:spacing w:after="0" w:line="252"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b w:val="1"/>
          <w:bCs w:val="1"/>
          <w:color w:val="auto"/>
        </w:rPr>
        <w:t xml:space="preserve">Google Cloud Collaboration: </w:t>
      </w:r>
      <w:r>
        <w:rPr>
          <w:rFonts w:ascii="Arial" w:cs="Arial" w:eastAsia="Arial" w:hAnsi="Arial"/>
          <w:sz w:val="18"/>
          <w:szCs w:val="18"/>
          <w:color w:val="auto"/>
        </w:rPr>
        <w:t>We entered into an expanded collaboration with Google Cloud in order to leverage Google Cloud's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to support our drug discovery platform. This strategic partnership includes exploring generative AI capabilities, including Gemini models, to support the RecursionOS, drive improved search and access with BigQuery, and help scale compute resources. In addition, we will also explore making some of our AI models available on Google Cloud.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were incorporated in November 2013. In April 2021, we closed our Initial Public Offering (IPO) and issued 27.9 million shares of Class A common stock at a price of $18.00 per share, raising net proceeds of </w:t>
      </w:r>
      <w:r>
        <w:rPr>
          <w:rFonts w:ascii="Arial" w:cs="Arial" w:eastAsia="Arial" w:hAnsi="Arial"/>
          <w:sz w:val="18"/>
          <w:szCs w:val="18"/>
          <w:color w:val="1E1E1E"/>
        </w:rPr>
        <w:t>$462.4 million.</w:t>
      </w:r>
      <w:r>
        <w:rPr>
          <w:rFonts w:ascii="Arial" w:cs="Arial" w:eastAsia="Arial" w:hAnsi="Arial"/>
          <w:sz w:val="18"/>
          <w:szCs w:val="18"/>
          <w:color w:val="auto"/>
        </w:rPr>
        <w:t xml:space="preserve"> Prior to our IPO, we had raised </w:t>
      </w:r>
      <w:r>
        <w:rPr>
          <w:rFonts w:ascii="Arial" w:cs="Arial" w:eastAsia="Arial" w:hAnsi="Arial"/>
          <w:sz w:val="18"/>
          <w:szCs w:val="18"/>
          <w:color w:val="1E1E1E"/>
        </w:rPr>
        <w:t>$448.9 million</w:t>
      </w:r>
      <w:r>
        <w:rPr>
          <w:rFonts w:ascii="Arial" w:cs="Arial" w:eastAsia="Arial" w:hAnsi="Arial"/>
          <w:sz w:val="18"/>
          <w:szCs w:val="18"/>
          <w:color w:val="auto"/>
        </w:rPr>
        <w:t xml:space="preserve"> in equity financing from investors in addition to </w:t>
      </w:r>
      <w:r>
        <w:rPr>
          <w:rFonts w:ascii="Arial" w:cs="Arial" w:eastAsia="Arial" w:hAnsi="Arial"/>
          <w:sz w:val="18"/>
          <w:szCs w:val="18"/>
          <w:color w:val="1E1E1E"/>
        </w:rPr>
        <w:t>$ 30.0 million</w:t>
      </w:r>
      <w:r>
        <w:rPr>
          <w:rFonts w:ascii="Arial" w:cs="Arial" w:eastAsia="Arial" w:hAnsi="Arial"/>
          <w:sz w:val="18"/>
          <w:szCs w:val="18"/>
          <w:color w:val="auto"/>
        </w:rPr>
        <w:t xml:space="preserve"> in an upfront payment from our collaboration with Bayer AG (Bayer). In </w:t>
      </w:r>
      <w:r>
        <w:rPr>
          <w:rFonts w:ascii="Arial" w:cs="Arial" w:eastAsia="Arial" w:hAnsi="Arial"/>
          <w:sz w:val="18"/>
          <w:szCs w:val="18"/>
          <w:color w:val="1E1E1E"/>
        </w:rPr>
        <w:t>January 2022</w:t>
      </w:r>
      <w:r>
        <w:rPr>
          <w:rFonts w:ascii="Arial" w:cs="Arial" w:eastAsia="Arial" w:hAnsi="Arial"/>
          <w:sz w:val="18"/>
          <w:szCs w:val="18"/>
          <w:color w:val="auto"/>
        </w:rPr>
        <w:t xml:space="preserve">, we received an upfront payment of </w:t>
      </w:r>
      <w:r>
        <w:rPr>
          <w:rFonts w:ascii="Arial" w:cs="Arial" w:eastAsia="Arial" w:hAnsi="Arial"/>
          <w:sz w:val="18"/>
          <w:szCs w:val="18"/>
          <w:color w:val="1E1E1E"/>
        </w:rPr>
        <w:t>$150.0 million</w:t>
      </w:r>
      <w:r>
        <w:rPr>
          <w:rFonts w:ascii="Arial" w:cs="Arial" w:eastAsia="Arial" w:hAnsi="Arial"/>
          <w:sz w:val="18"/>
          <w:szCs w:val="18"/>
          <w:color w:val="auto"/>
        </w:rPr>
        <w:t xml:space="preserve"> from our collaboration with Roche. </w:t>
      </w:r>
      <w:r>
        <w:rPr>
          <w:rFonts w:ascii="Arial" w:cs="Arial" w:eastAsia="Arial" w:hAnsi="Arial"/>
          <w:sz w:val="18"/>
          <w:szCs w:val="18"/>
          <w:color w:val="1E1E1E"/>
        </w:rPr>
        <w:t>See Note 9, “Collaborative Development Contracts” to the</w:t>
      </w:r>
      <w:r>
        <w:rPr>
          <w:rFonts w:ascii="Arial" w:cs="Arial" w:eastAsia="Arial" w:hAnsi="Arial"/>
          <w:sz w:val="18"/>
          <w:szCs w:val="18"/>
          <w:color w:val="auto"/>
        </w:rPr>
        <w:t xml:space="preserve"> </w:t>
      </w:r>
      <w:r>
        <w:rPr>
          <w:rFonts w:ascii="Arial" w:cs="Arial" w:eastAsia="Arial" w:hAnsi="Arial"/>
          <w:sz w:val="18"/>
          <w:szCs w:val="18"/>
          <w:color w:val="1E1E1E"/>
        </w:rPr>
        <w:t xml:space="preserve">Condensed Consolidated Financial Statements for additional information on the collaboration with Roche. </w:t>
      </w:r>
      <w:r>
        <w:rPr>
          <w:rFonts w:ascii="Arial" w:cs="Arial" w:eastAsia="Arial" w:hAnsi="Arial"/>
          <w:sz w:val="18"/>
          <w:szCs w:val="18"/>
          <w:color w:val="000000"/>
        </w:rPr>
        <w:t>In October 2022, we issued</w:t>
      </w:r>
      <w:r>
        <w:rPr>
          <w:rFonts w:ascii="Arial" w:cs="Arial" w:eastAsia="Arial" w:hAnsi="Arial"/>
          <w:sz w:val="18"/>
          <w:szCs w:val="18"/>
          <w:color w:val="1E1E1E"/>
        </w:rPr>
        <w:t xml:space="preserve"> </w:t>
      </w:r>
      <w:r>
        <w:rPr>
          <w:rFonts w:ascii="Arial" w:cs="Arial" w:eastAsia="Arial" w:hAnsi="Arial"/>
          <w:sz w:val="18"/>
          <w:szCs w:val="18"/>
          <w:color w:val="000000"/>
        </w:rPr>
        <w:t xml:space="preserve">15.3 million shares of our Class A common stock at a purchase price of </w:t>
      </w:r>
      <w:r>
        <w:rPr>
          <w:rFonts w:ascii="Arial" w:cs="Arial" w:eastAsia="Arial" w:hAnsi="Arial"/>
          <w:sz w:val="18"/>
          <w:szCs w:val="18"/>
          <w:color w:val="1E1E1E"/>
        </w:rPr>
        <w:t>$ 9.80</w:t>
      </w:r>
      <w:r>
        <w:rPr>
          <w:rFonts w:ascii="Arial" w:cs="Arial" w:eastAsia="Arial" w:hAnsi="Arial"/>
          <w:sz w:val="18"/>
          <w:szCs w:val="18"/>
          <w:color w:val="000000"/>
        </w:rPr>
        <w:t xml:space="preserve"> per share in the 2022 private placement to qualified institutional buyers and </w:t>
      </w:r>
      <w:r>
        <w:rPr>
          <w:rFonts w:ascii="Arial" w:cs="Arial" w:eastAsia="Arial" w:hAnsi="Arial"/>
          <w:sz w:val="18"/>
          <w:szCs w:val="18"/>
          <w:color w:val="1E1E1E"/>
        </w:rPr>
        <w:t>institutional accredited investors for net proceeds of $143.7 million, after deducting fees and offering costs of $6.6</w:t>
      </w:r>
      <w:r>
        <w:rPr>
          <w:rFonts w:ascii="Arial" w:cs="Arial" w:eastAsia="Arial" w:hAnsi="Arial"/>
          <w:sz w:val="18"/>
          <w:szCs w:val="18"/>
          <w:color w:val="000000"/>
        </w:rPr>
        <w:t xml:space="preserve"> </w:t>
      </w:r>
      <w:r>
        <w:rPr>
          <w:rFonts w:ascii="Arial" w:cs="Arial" w:eastAsia="Arial" w:hAnsi="Arial"/>
          <w:sz w:val="18"/>
          <w:szCs w:val="18"/>
          <w:color w:val="1E1E1E"/>
        </w:rPr>
        <w:t xml:space="preserve">million. In </w:t>
      </w:r>
      <w:r>
        <w:rPr>
          <w:rFonts w:ascii="Arial" w:cs="Arial" w:eastAsia="Arial" w:hAnsi="Arial"/>
          <w:sz w:val="18"/>
          <w:szCs w:val="18"/>
          <w:color w:val="000000"/>
        </w:rPr>
        <w:t>July 2023</w:t>
      </w:r>
      <w:r>
        <w:rPr>
          <w:rFonts w:ascii="Arial" w:cs="Arial" w:eastAsia="Arial" w:hAnsi="Arial"/>
          <w:sz w:val="18"/>
          <w:szCs w:val="18"/>
          <w:color w:val="1E1E1E"/>
        </w:rPr>
        <w:t xml:space="preserve">, we issued an aggregate of </w:t>
      </w:r>
      <w:r>
        <w:rPr>
          <w:rFonts w:ascii="Arial" w:cs="Arial" w:eastAsia="Arial" w:hAnsi="Arial"/>
          <w:sz w:val="18"/>
          <w:szCs w:val="18"/>
          <w:color w:val="000000"/>
        </w:rPr>
        <w:t>7.7 million</w:t>
      </w:r>
      <w:r>
        <w:rPr>
          <w:rFonts w:ascii="Arial" w:cs="Arial" w:eastAsia="Arial" w:hAnsi="Arial"/>
          <w:sz w:val="18"/>
          <w:szCs w:val="18"/>
          <w:color w:val="1E1E1E"/>
        </w:rPr>
        <w:t xml:space="preserve"> shares of our Class A common stock at a purchase price of $6.49 per share in the 2023 Private Placement with NVIDIA Corporation for net proceeds of approximately $49.9 million. In </w:t>
      </w:r>
      <w:r>
        <w:rPr>
          <w:rFonts w:ascii="Arial" w:cs="Arial" w:eastAsia="Arial" w:hAnsi="Arial"/>
          <w:sz w:val="18"/>
          <w:szCs w:val="18"/>
          <w:color w:val="000000"/>
        </w:rPr>
        <w:t>August 2023</w:t>
      </w:r>
      <w:r>
        <w:rPr>
          <w:rFonts w:ascii="Arial" w:cs="Arial" w:eastAsia="Arial" w:hAnsi="Arial"/>
          <w:sz w:val="18"/>
          <w:szCs w:val="18"/>
          <w:color w:val="1E1E1E"/>
        </w:rPr>
        <w:t>, we entered into an O</w:t>
      </w:r>
      <w:r>
        <w:rPr>
          <w:rFonts w:ascii="Arial" w:cs="Arial" w:eastAsia="Arial" w:hAnsi="Arial"/>
          <w:sz w:val="18"/>
          <w:szCs w:val="18"/>
          <w:color w:val="000000"/>
        </w:rPr>
        <w:t>pen</w:t>
      </w:r>
      <w:r>
        <w:rPr>
          <w:rFonts w:ascii="Arial" w:cs="Arial" w:eastAsia="Arial" w:hAnsi="Arial"/>
          <w:sz w:val="18"/>
          <w:szCs w:val="18"/>
          <w:color w:val="1E1E1E"/>
        </w:rPr>
        <w:t xml:space="preserve"> </w:t>
      </w:r>
      <w:r>
        <w:rPr>
          <w:rFonts w:ascii="Arial" w:cs="Arial" w:eastAsia="Arial" w:hAnsi="Arial"/>
          <w:sz w:val="18"/>
          <w:szCs w:val="18"/>
          <w:color w:val="000000"/>
        </w:rPr>
        <w:t xml:space="preserve">Market Sales Agreement with Jefferies LLC to provide for the offering, issuance and sale of up to an aggregate amount of </w:t>
      </w:r>
      <w:r>
        <w:rPr>
          <w:rFonts w:ascii="Arial" w:cs="Arial" w:eastAsia="Arial" w:hAnsi="Arial"/>
          <w:sz w:val="18"/>
          <w:szCs w:val="18"/>
          <w:color w:val="1E1E1E"/>
        </w:rPr>
        <w:t>$300.0 million</w:t>
      </w:r>
      <w:r>
        <w:rPr>
          <w:rFonts w:ascii="Arial" w:cs="Arial" w:eastAsia="Arial" w:hAnsi="Arial"/>
          <w:sz w:val="18"/>
          <w:szCs w:val="18"/>
          <w:color w:val="000000"/>
        </w:rPr>
        <w:t xml:space="preserve"> of its Class A common stock of which </w:t>
      </w:r>
      <w:r>
        <w:rPr>
          <w:rFonts w:ascii="Arial" w:cs="Arial" w:eastAsia="Arial" w:hAnsi="Arial"/>
          <w:sz w:val="18"/>
          <w:szCs w:val="18"/>
          <w:color w:val="1E1E1E"/>
        </w:rPr>
        <w:t>$ 144.3 million</w:t>
      </w:r>
      <w:r>
        <w:rPr>
          <w:rFonts w:ascii="Arial" w:cs="Arial" w:eastAsia="Arial" w:hAnsi="Arial"/>
          <w:sz w:val="18"/>
          <w:szCs w:val="18"/>
          <w:color w:val="000000"/>
        </w:rPr>
        <w:t xml:space="preserve"> remain available for future sales. The Company has sold </w:t>
      </w:r>
      <w:r>
        <w:rPr>
          <w:rFonts w:ascii="Arial" w:cs="Arial" w:eastAsia="Arial" w:hAnsi="Arial"/>
          <w:sz w:val="18"/>
          <w:szCs w:val="18"/>
          <w:color w:val="1E1E1E"/>
        </w:rPr>
        <w:t>$20.4 million</w:t>
      </w:r>
      <w:r>
        <w:rPr>
          <w:rFonts w:ascii="Arial" w:cs="Arial" w:eastAsia="Arial" w:hAnsi="Arial"/>
          <w:sz w:val="18"/>
          <w:szCs w:val="18"/>
          <w:color w:val="000000"/>
        </w:rPr>
        <w:t xml:space="preserve"> shares and received net proceeds of </w:t>
      </w:r>
      <w:r>
        <w:rPr>
          <w:rFonts w:ascii="Arial" w:cs="Arial" w:eastAsia="Arial" w:hAnsi="Arial"/>
          <w:sz w:val="18"/>
          <w:szCs w:val="18"/>
          <w:color w:val="1E1E1E"/>
        </w:rPr>
        <w:t>$151.1 million</w:t>
      </w:r>
      <w:r>
        <w:rPr>
          <w:rFonts w:ascii="Arial" w:cs="Arial" w:eastAsia="Arial" w:hAnsi="Arial"/>
          <w:sz w:val="18"/>
          <w:szCs w:val="18"/>
          <w:color w:val="000000"/>
        </w:rPr>
        <w:t xml:space="preserve"> under the agreement. In June 2024, we issued an aggregate of 35.4 million shares of our Class A common stock at a purchase price of </w:t>
      </w:r>
      <w:r>
        <w:rPr>
          <w:rFonts w:ascii="Arial" w:cs="Arial" w:eastAsia="Arial" w:hAnsi="Arial"/>
          <w:sz w:val="18"/>
          <w:szCs w:val="18"/>
          <w:color w:val="1E1E1E"/>
        </w:rPr>
        <w:t>$ 6.50</w:t>
      </w:r>
      <w:r>
        <w:rPr>
          <w:rFonts w:ascii="Arial" w:cs="Arial" w:eastAsia="Arial" w:hAnsi="Arial"/>
          <w:sz w:val="18"/>
          <w:szCs w:val="18"/>
          <w:color w:val="000000"/>
        </w:rPr>
        <w:t xml:space="preserve"> per share and received net proceeds of </w:t>
      </w:r>
      <w:r>
        <w:rPr>
          <w:rFonts w:ascii="Arial" w:cs="Arial" w:eastAsia="Arial" w:hAnsi="Arial"/>
          <w:sz w:val="18"/>
          <w:szCs w:val="18"/>
          <w:color w:val="1E1E1E"/>
        </w:rPr>
        <w:t>$216.4 million, after deducting</w:t>
      </w:r>
      <w:r>
        <w:rPr>
          <w:rFonts w:ascii="Arial" w:cs="Arial" w:eastAsia="Arial" w:hAnsi="Arial"/>
          <w:sz w:val="18"/>
          <w:szCs w:val="18"/>
          <w:color w:val="000000"/>
        </w:rPr>
        <w:t xml:space="preserve"> transaction costs of $13.6 million. </w:t>
      </w:r>
      <w:r>
        <w:rPr>
          <w:rFonts w:ascii="Arial" w:cs="Arial" w:eastAsia="Arial" w:hAnsi="Arial"/>
          <w:sz w:val="18"/>
          <w:szCs w:val="18"/>
          <w:color w:val="1E1E1E"/>
        </w:rPr>
        <w:t>See Note 8, “Common Stock” to the Condensed Consolidated Financial Statements for additional information on the public offering. In September 2024</w:t>
      </w:r>
      <w:r>
        <w:rPr>
          <w:rFonts w:ascii="Arial" w:cs="Arial" w:eastAsia="Arial" w:hAnsi="Arial"/>
          <w:sz w:val="18"/>
          <w:szCs w:val="18"/>
          <w:color w:val="000000"/>
        </w:rPr>
        <w:t>, we received a Phenomap acceptance fee of</w:t>
      </w:r>
      <w:r>
        <w:rPr>
          <w:rFonts w:ascii="Arial" w:cs="Arial" w:eastAsia="Arial" w:hAnsi="Arial"/>
          <w:sz w:val="18"/>
          <w:szCs w:val="18"/>
          <w:color w:val="1E1E1E"/>
        </w:rPr>
        <w:t xml:space="preserve"> $30.0 million </w:t>
      </w:r>
      <w:r>
        <w:rPr>
          <w:rFonts w:ascii="Arial" w:cs="Arial" w:eastAsia="Arial" w:hAnsi="Arial"/>
          <w:sz w:val="18"/>
          <w:szCs w:val="18"/>
          <w:color w:val="000000"/>
        </w:rPr>
        <w:t>from our collaboration with Roche.</w:t>
      </w:r>
    </w:p>
    <w:p>
      <w:pPr>
        <w:spacing w:after="0" w:line="2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use the capital we have raised to fund operating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t>
      </w:r>
      <w:r>
        <w:rPr>
          <w:rFonts w:ascii="Arial" w:cs="Arial" w:eastAsia="Arial" w:hAnsi="Arial"/>
          <w:sz w:val="18"/>
          <w:szCs w:val="18"/>
          <w:color w:val="1E1E1E"/>
        </w:rPr>
        <w:t>We had cash and cash equivalents of</w:t>
      </w:r>
      <w:r>
        <w:rPr>
          <w:rFonts w:ascii="Arial" w:cs="Arial" w:eastAsia="Arial" w:hAnsi="Arial"/>
          <w:sz w:val="18"/>
          <w:szCs w:val="18"/>
          <w:color w:val="auto"/>
        </w:rPr>
        <w:t xml:space="preserve"> </w:t>
      </w:r>
      <w:r>
        <w:rPr>
          <w:rFonts w:ascii="Arial" w:cs="Arial" w:eastAsia="Arial" w:hAnsi="Arial"/>
          <w:sz w:val="18"/>
          <w:szCs w:val="18"/>
          <w:color w:val="1E1E1E"/>
        </w:rPr>
        <w:t xml:space="preserve">$427.6 million as of September 30, 2024. </w:t>
      </w:r>
      <w:r>
        <w:rPr>
          <w:rFonts w:ascii="Arial" w:cs="Arial" w:eastAsia="Arial" w:hAnsi="Arial"/>
          <w:sz w:val="18"/>
          <w:szCs w:val="18"/>
          <w:color w:val="000000"/>
        </w:rPr>
        <w:t>Based on our current operating plan, we believe that our cash and cash equivalents will be</w:t>
      </w:r>
      <w:r>
        <w:rPr>
          <w:rFonts w:ascii="Arial" w:cs="Arial" w:eastAsia="Arial" w:hAnsi="Arial"/>
          <w:sz w:val="18"/>
          <w:szCs w:val="18"/>
          <w:color w:val="1E1E1E"/>
        </w:rPr>
        <w:t xml:space="preserve"> </w:t>
      </w:r>
      <w:r>
        <w:rPr>
          <w:rFonts w:ascii="Arial" w:cs="Arial" w:eastAsia="Arial" w:hAnsi="Arial"/>
          <w:sz w:val="18"/>
          <w:szCs w:val="18"/>
          <w:color w:val="000000"/>
        </w:rPr>
        <w:t>sufficient to fund our operations for at least the next twelve months.</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Since inception, we have incurred significant operating losses. Our net losses were $95.8 million and $ 284.8 million during the three and nine months ended September 30, 2024, respectively. Our net losses were $93.0 million and $235.1 million during the three and nine months ended September 30, 2023, respectively. As of September 30, 2024, our accumulated deficit was $1.3 billion.</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5"/>
        </w:trPr>
        <w:tc>
          <w:tcPr>
            <w:tcW w:w="3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7"/>
                <w:szCs w:val="17"/>
                <w:color w:val="auto"/>
              </w:rPr>
            </w:pPr>
          </w:p>
        </w:tc>
      </w:tr>
      <w:tr>
        <w:trPr>
          <w:trHeight w:val="228"/>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15,980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20,725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5"/>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(431)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(116)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10,533</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15,549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20,609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57"/>
        </w:trPr>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5"/>
        </w:trPr>
        <w:tc>
          <w:tcPr>
            <w:tcW w:w="322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12,079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10,877</w:t>
            </w:r>
          </w:p>
        </w:tc>
        <w:tc>
          <w:tcPr>
            <w:tcW w:w="240" w:type="dxa"/>
            <w:vAlign w:val="bottom"/>
          </w:tcPr>
          <w:p>
            <w:pPr>
              <w:spacing w:after="0"/>
              <w:rPr>
                <w:sz w:val="18"/>
                <w:szCs w:val="18"/>
                <w:color w:val="auto"/>
              </w:rPr>
            </w:pP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1,202</w:t>
            </w:r>
          </w:p>
        </w:tc>
        <w:tc>
          <w:tcPr>
            <w:tcW w:w="620" w:type="dxa"/>
            <w:vAlign w:val="bottom"/>
          </w:tcPr>
          <w:p>
            <w:pPr>
              <w:jc w:val="right"/>
              <w:spacing w:after="0"/>
              <w:rPr>
                <w:sz w:val="20"/>
                <w:szCs w:val="20"/>
                <w:color w:val="auto"/>
              </w:rPr>
            </w:pPr>
            <w:r>
              <w:rPr>
                <w:rFonts w:ascii="Arial" w:cs="Arial" w:eastAsia="Arial" w:hAnsi="Arial"/>
                <w:sz w:val="16"/>
                <w:szCs w:val="16"/>
                <w:color w:val="auto"/>
              </w:rPr>
              <w:t>11 %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32,444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32,706</w:t>
            </w:r>
          </w:p>
        </w:tc>
        <w:tc>
          <w:tcPr>
            <w:tcW w:w="200" w:type="dxa"/>
            <w:vAlign w:val="bottom"/>
          </w:tcPr>
          <w:p>
            <w:pPr>
              <w:spacing w:after="0"/>
              <w:rPr>
                <w:sz w:val="18"/>
                <w:szCs w:val="18"/>
                <w:color w:val="auto"/>
              </w:rPr>
            </w:pPr>
          </w:p>
        </w:tc>
        <w:tc>
          <w:tcPr>
            <w:tcW w:w="1080" w:type="dxa"/>
            <w:vAlign w:val="bottom"/>
          </w:tcPr>
          <w:p>
            <w:pPr>
              <w:jc w:val="right"/>
              <w:ind w:right="300"/>
              <w:spacing w:after="0"/>
              <w:rPr>
                <w:sz w:val="20"/>
                <w:szCs w:val="20"/>
                <w:color w:val="auto"/>
              </w:rPr>
            </w:pPr>
            <w:r>
              <w:rPr>
                <w:rFonts w:ascii="Arial" w:cs="Arial" w:eastAsia="Arial" w:hAnsi="Arial"/>
                <w:sz w:val="16"/>
                <w:szCs w:val="16"/>
                <w:color w:val="auto"/>
              </w:rPr>
              <w:t>(262)</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70,007</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4,593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216,087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171,744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44,344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5"/>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37,757</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29,199</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8,558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100,998</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80,364</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20,634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costs and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124,436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110,083</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14,353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349,529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284,814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64,716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57"/>
        </w:trPr>
        <w:tc>
          <w:tcPr>
            <w:tcW w:w="3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(98,354)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(99,550)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1,196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(295,236)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(251,130)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(44,107)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5"/>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(3,854)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9,347</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16,060</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(6,713)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 benefit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(95,675)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(93,017)</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(2,658)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(285,889)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(235,070)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(50,820)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5"/>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(167)</w:t>
            </w:r>
          </w:p>
        </w:tc>
        <w:tc>
          <w:tcPr>
            <w:tcW w:w="8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1,134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5"/>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(95,842)</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(93,017)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(2,825)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2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(284,755)</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(49,686)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revenue: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9"/>
        </w:trPr>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r>
      <w:tr>
        <w:trPr>
          <w:trHeight w:val="228"/>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r>
      <w:tr>
        <w:trPr>
          <w:trHeight w:val="210"/>
        </w:trPr>
        <w:tc>
          <w:tcPr>
            <w:tcW w:w="308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7"/>
        </w:trPr>
        <w:tc>
          <w:tcPr>
            <w:tcW w:w="3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15,980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53,977</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20,725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5"/>
        </w:trPr>
        <w:tc>
          <w:tcPr>
            <w:tcW w:w="30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(431)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(116)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4"/>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10,533</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15,549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54,293</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33,684</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20,609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three and nine months ended September 30, 2024, the increase in revenue compared to prior period was due to revenue recognized from our strategic partnership with Roche. During the three months ended September 30, 2024, we recognized revenue related to the acceptance fee for the completion of a Phenomap for one of our neuroscience performance obligations. Prior to the three months ended September 30, 2024, we had fully constrained the $30.0 million acceptance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cost of revenue: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center"/>
              <w:ind w:right="144"/>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5"/>
        </w:trPr>
        <w:tc>
          <w:tcPr>
            <w:tcW w:w="3540" w:type="dxa"/>
            <w:vAlign w:val="bottom"/>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right="14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7"/>
                <w:szCs w:val="17"/>
                <w:color w:val="auto"/>
              </w:rPr>
            </w:pPr>
          </w:p>
        </w:tc>
      </w:tr>
      <w:tr>
        <w:trPr>
          <w:trHeight w:val="24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r>
      <w:tr>
        <w:trPr>
          <w:trHeight w:val="235"/>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   12,079 $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10,877</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1,202</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11 %   $</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32,444 $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color w:val="auto"/>
              </w:rPr>
              <w:t>(262)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1E1E1E"/>
        </w:rPr>
        <w:t xml:space="preserve">Cost of revenue consists of the Company’s costs to </w:t>
      </w:r>
      <w:r>
        <w:rPr>
          <w:rFonts w:ascii="Arial" w:cs="Arial" w:eastAsia="Arial" w:hAnsi="Arial"/>
          <w:sz w:val="18"/>
          <w:szCs w:val="18"/>
          <w:color w:val="000000"/>
        </w:rPr>
        <w:t>provide services for drug discovery required under performance obligations with</w:t>
      </w:r>
      <w:r>
        <w:rPr>
          <w:rFonts w:ascii="Arial" w:cs="Arial" w:eastAsia="Arial" w:hAnsi="Arial"/>
          <w:sz w:val="18"/>
          <w:szCs w:val="18"/>
          <w:color w:val="1E1E1E"/>
        </w:rPr>
        <w:t xml:space="preserve"> </w:t>
      </w:r>
      <w:r>
        <w:rPr>
          <w:rFonts w:ascii="Arial" w:cs="Arial" w:eastAsia="Arial" w:hAnsi="Arial"/>
          <w:sz w:val="18"/>
          <w:szCs w:val="18"/>
          <w:color w:val="000000"/>
        </w:rPr>
        <w:t>partnership customers. These primarily include materials costs, service hours performed by our employees and depreciation of property and equipment.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2024</w:t>
      </w:r>
      <w:r>
        <w:rPr>
          <w:rFonts w:ascii="Arial" w:cs="Arial" w:eastAsia="Arial" w:hAnsi="Arial"/>
          <w:sz w:val="18"/>
          <w:szCs w:val="18"/>
          <w:color w:val="1E1E1E"/>
        </w:rPr>
        <w:t>, the change in cost of revenue compared to prior period was insignificant.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research and development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9"/>
        </w:trPr>
        <w:tc>
          <w:tcPr>
            <w:tcW w:w="3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28"/>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r>
      <w:tr>
        <w:trPr>
          <w:trHeight w:val="210"/>
        </w:trPr>
        <w:tc>
          <w:tcPr>
            <w:tcW w:w="35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7"/>
        </w:trPr>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37,227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w w:val="99"/>
              </w:rPr>
              <w:t>8,319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95,961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68,914</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27,047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5"/>
        </w:trPr>
        <w:tc>
          <w:tcPr>
            <w:tcW w:w="352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16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16,584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15,513</w:t>
            </w:r>
          </w:p>
        </w:tc>
        <w:tc>
          <w:tcPr>
            <w:tcW w:w="280" w:type="dxa"/>
            <w:vAlign w:val="bottom"/>
          </w:tcPr>
          <w:p>
            <w:pPr>
              <w:spacing w:after="0"/>
              <w:rPr>
                <w:sz w:val="18"/>
                <w:szCs w:val="18"/>
                <w:color w:val="auto"/>
              </w:rPr>
            </w:pPr>
          </w:p>
        </w:tc>
        <w:tc>
          <w:tcPr>
            <w:tcW w:w="980" w:type="dxa"/>
            <w:vAlign w:val="bottom"/>
          </w:tcPr>
          <w:p>
            <w:pPr>
              <w:jc w:val="center"/>
              <w:ind w:right="141"/>
              <w:spacing w:after="0"/>
              <w:rPr>
                <w:sz w:val="20"/>
                <w:szCs w:val="20"/>
                <w:color w:val="auto"/>
              </w:rPr>
            </w:pPr>
            <w:r>
              <w:rPr>
                <w:rFonts w:ascii="Arial" w:cs="Arial" w:eastAsia="Arial" w:hAnsi="Arial"/>
                <w:sz w:val="16"/>
                <w:szCs w:val="16"/>
                <w:color w:val="auto"/>
                <w:w w:val="99"/>
              </w:rPr>
              <w:t>1,071</w:t>
            </w:r>
          </w:p>
        </w:tc>
        <w:tc>
          <w:tcPr>
            <w:tcW w:w="560" w:type="dxa"/>
            <w:vAlign w:val="bottom"/>
          </w:tcPr>
          <w:p>
            <w:pPr>
              <w:jc w:val="right"/>
              <w:spacing w:after="0"/>
              <w:rPr>
                <w:sz w:val="20"/>
                <w:szCs w:val="20"/>
                <w:color w:val="auto"/>
              </w:rPr>
            </w:pPr>
            <w:r>
              <w:rPr>
                <w:rFonts w:ascii="Arial" w:cs="Arial" w:eastAsia="Arial" w:hAnsi="Arial"/>
                <w:sz w:val="16"/>
                <w:szCs w:val="16"/>
                <w:color w:val="auto"/>
              </w:rPr>
              <w:t>7 %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48,767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45,467</w:t>
            </w:r>
          </w:p>
        </w:tc>
        <w:tc>
          <w:tcPr>
            <w:tcW w:w="300" w:type="dxa"/>
            <w:vAlign w:val="bottom"/>
          </w:tcPr>
          <w:p>
            <w:pPr>
              <w:spacing w:after="0"/>
              <w:rPr>
                <w:sz w:val="18"/>
                <w:szCs w:val="18"/>
                <w:color w:val="auto"/>
              </w:rPr>
            </w:pPr>
          </w:p>
        </w:tc>
        <w:tc>
          <w:tcPr>
            <w:tcW w:w="1060" w:type="dxa"/>
            <w:vAlign w:val="bottom"/>
          </w:tcPr>
          <w:p>
            <w:pPr>
              <w:jc w:val="right"/>
              <w:ind w:right="341"/>
              <w:spacing w:after="0"/>
              <w:rPr>
                <w:sz w:val="20"/>
                <w:szCs w:val="20"/>
                <w:color w:val="auto"/>
              </w:rPr>
            </w:pPr>
            <w:r>
              <w:rPr>
                <w:rFonts w:ascii="Arial" w:cs="Arial" w:eastAsia="Arial" w:hAnsi="Arial"/>
                <w:sz w:val="16"/>
                <w:szCs w:val="16"/>
                <w:color w:val="auto"/>
              </w:rPr>
              <w:t>3,300</w:t>
            </w:r>
          </w:p>
        </w:tc>
        <w:tc>
          <w:tcPr>
            <w:tcW w:w="6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7"/>
        </w:trPr>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13,004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rPr>
              <w:t>(5,586)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42,591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1,719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5"/>
        </w:trPr>
        <w:tc>
          <w:tcPr>
            <w:tcW w:w="352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6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9,457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6,748</w:t>
            </w:r>
          </w:p>
        </w:tc>
        <w:tc>
          <w:tcPr>
            <w:tcW w:w="280" w:type="dxa"/>
            <w:vAlign w:val="bottom"/>
          </w:tcPr>
          <w:p>
            <w:pPr>
              <w:spacing w:after="0"/>
              <w:rPr>
                <w:sz w:val="18"/>
                <w:szCs w:val="18"/>
                <w:color w:val="auto"/>
              </w:rPr>
            </w:pPr>
          </w:p>
        </w:tc>
        <w:tc>
          <w:tcPr>
            <w:tcW w:w="980" w:type="dxa"/>
            <w:vAlign w:val="bottom"/>
          </w:tcPr>
          <w:p>
            <w:pPr>
              <w:jc w:val="center"/>
              <w:ind w:right="141"/>
              <w:spacing w:after="0"/>
              <w:rPr>
                <w:sz w:val="20"/>
                <w:szCs w:val="20"/>
                <w:color w:val="auto"/>
              </w:rPr>
            </w:pPr>
            <w:r>
              <w:rPr>
                <w:rFonts w:ascii="Arial" w:cs="Arial" w:eastAsia="Arial" w:hAnsi="Arial"/>
                <w:sz w:val="16"/>
                <w:szCs w:val="16"/>
                <w:color w:val="auto"/>
                <w:w w:val="99"/>
              </w:rPr>
              <w:t>2,709</w:t>
            </w:r>
          </w:p>
        </w:tc>
        <w:tc>
          <w:tcPr>
            <w:tcW w:w="560" w:type="dxa"/>
            <w:vAlign w:val="bottom"/>
          </w:tcPr>
          <w:p>
            <w:pPr>
              <w:jc w:val="right"/>
              <w:spacing w:after="0"/>
              <w:rPr>
                <w:sz w:val="20"/>
                <w:szCs w:val="20"/>
                <w:color w:val="auto"/>
              </w:rPr>
            </w:pPr>
            <w:r>
              <w:rPr>
                <w:rFonts w:ascii="Arial" w:cs="Arial" w:eastAsia="Arial" w:hAnsi="Arial"/>
                <w:sz w:val="16"/>
                <w:szCs w:val="16"/>
                <w:color w:val="auto"/>
              </w:rPr>
              <w:t>40 %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26,031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14,063</w:t>
            </w:r>
          </w:p>
        </w:tc>
        <w:tc>
          <w:tcPr>
            <w:tcW w:w="300" w:type="dxa"/>
            <w:vAlign w:val="bottom"/>
          </w:tcPr>
          <w:p>
            <w:pPr>
              <w:spacing w:after="0"/>
              <w:rPr>
                <w:sz w:val="18"/>
                <w:szCs w:val="18"/>
                <w:color w:val="auto"/>
              </w:rPr>
            </w:pPr>
          </w:p>
        </w:tc>
        <w:tc>
          <w:tcPr>
            <w:tcW w:w="1060" w:type="dxa"/>
            <w:vAlign w:val="bottom"/>
          </w:tcPr>
          <w:p>
            <w:pPr>
              <w:jc w:val="right"/>
              <w:ind w:right="341"/>
              <w:spacing w:after="0"/>
              <w:rPr>
                <w:sz w:val="20"/>
                <w:szCs w:val="20"/>
                <w:color w:val="auto"/>
              </w:rPr>
            </w:pPr>
            <w:r>
              <w:rPr>
                <w:rFonts w:ascii="Arial" w:cs="Arial" w:eastAsia="Arial" w:hAnsi="Arial"/>
                <w:sz w:val="16"/>
                <w:szCs w:val="16"/>
                <w:color w:val="auto"/>
              </w:rPr>
              <w:t>11,968</w:t>
            </w:r>
          </w:p>
        </w:tc>
        <w:tc>
          <w:tcPr>
            <w:tcW w:w="62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6"/>
        </w:trPr>
        <w:tc>
          <w:tcPr>
            <w:tcW w:w="3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right="141"/>
              <w:spacing w:after="0"/>
              <w:rPr>
                <w:sz w:val="20"/>
                <w:szCs w:val="20"/>
                <w:color w:val="auto"/>
              </w:rPr>
            </w:pPr>
            <w:r>
              <w:rPr>
                <w:rFonts w:ascii="Arial" w:cs="Arial" w:eastAsia="Arial" w:hAnsi="Arial"/>
                <w:sz w:val="16"/>
                <w:szCs w:val="16"/>
                <w:color w:val="auto"/>
              </w:rPr>
              <w:t>(1,920)</w:t>
            </w:r>
          </w:p>
        </w:tc>
        <w:tc>
          <w:tcPr>
            <w:tcW w:w="7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309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74,600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70,007</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color w:val="auto"/>
                <w:w w:val="99"/>
              </w:rPr>
              <w:t>4,593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216,087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171,744</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44,343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3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1E1E1E"/>
        </w:rPr>
      </w:pPr>
      <w:r>
        <w:rPr>
          <w:rFonts w:ascii="Arial" w:cs="Arial" w:eastAsia="Arial" w:hAnsi="Arial"/>
          <w:sz w:val="18"/>
          <w:szCs w:val="18"/>
          <w:color w:val="1E1E1E"/>
        </w:rPr>
        <w:t>costs to develop and operate our platform;</w:t>
      </w:r>
    </w:p>
    <w:p>
      <w:pPr>
        <w:spacing w:after="0" w:line="27" w:lineRule="exact"/>
        <w:rPr>
          <w:rFonts w:ascii="Arial" w:cs="Arial" w:eastAsia="Arial" w:hAnsi="Arial"/>
          <w:sz w:val="18"/>
          <w:szCs w:val="18"/>
          <w:color w:val="1E1E1E"/>
        </w:rPr>
      </w:pPr>
    </w:p>
    <w:p>
      <w:pPr>
        <w:ind w:left="980" w:hanging="324"/>
        <w:spacing w:after="0"/>
        <w:tabs>
          <w:tab w:leader="none" w:pos="980" w:val="left"/>
        </w:tabs>
        <w:numPr>
          <w:ilvl w:val="0"/>
          <w:numId w:val="10"/>
        </w:numPr>
        <w:rPr>
          <w:rFonts w:ascii="Arial" w:cs="Arial" w:eastAsia="Arial" w:hAnsi="Arial"/>
          <w:sz w:val="18"/>
          <w:szCs w:val="18"/>
          <w:color w:val="1E1E1E"/>
        </w:rPr>
      </w:pPr>
      <w:r>
        <w:rPr>
          <w:rFonts w:ascii="Arial" w:cs="Arial" w:eastAsia="Arial" w:hAnsi="Arial"/>
          <w:sz w:val="18"/>
          <w:szCs w:val="18"/>
          <w:color w:val="1E1E1E"/>
        </w:rPr>
        <w:t>costs of discovery efforts which may lead to development candidates, including research materials and external research;</w:t>
      </w:r>
    </w:p>
    <w:p>
      <w:pPr>
        <w:spacing w:after="0" w:line="9" w:lineRule="exact"/>
        <w:rPr>
          <w:rFonts w:ascii="Arial" w:cs="Arial" w:eastAsia="Arial" w:hAnsi="Arial"/>
          <w:sz w:val="18"/>
          <w:szCs w:val="18"/>
          <w:color w:val="1E1E1E"/>
        </w:rPr>
      </w:pPr>
    </w:p>
    <w:p>
      <w:pPr>
        <w:ind w:left="980" w:hanging="324"/>
        <w:spacing w:after="0"/>
        <w:tabs>
          <w:tab w:leader="none" w:pos="980" w:val="left"/>
        </w:tabs>
        <w:numPr>
          <w:ilvl w:val="0"/>
          <w:numId w:val="10"/>
        </w:numPr>
        <w:rPr>
          <w:rFonts w:ascii="Arial" w:cs="Arial" w:eastAsia="Arial" w:hAnsi="Arial"/>
          <w:sz w:val="18"/>
          <w:szCs w:val="18"/>
          <w:color w:val="1E1E1E"/>
        </w:rPr>
      </w:pPr>
      <w:r>
        <w:rPr>
          <w:rFonts w:ascii="Arial" w:cs="Arial" w:eastAsia="Arial" w:hAnsi="Arial"/>
          <w:sz w:val="18"/>
          <w:szCs w:val="18"/>
          <w:color w:val="1E1E1E"/>
        </w:rPr>
        <w:t>costs for clinical development of our investigational products;</w:t>
      </w:r>
    </w:p>
    <w:p>
      <w:pPr>
        <w:spacing w:after="0" w:line="9" w:lineRule="exact"/>
        <w:rPr>
          <w:rFonts w:ascii="Arial" w:cs="Arial" w:eastAsia="Arial" w:hAnsi="Arial"/>
          <w:sz w:val="18"/>
          <w:szCs w:val="18"/>
          <w:color w:val="1E1E1E"/>
        </w:rPr>
      </w:pPr>
    </w:p>
    <w:p>
      <w:pPr>
        <w:ind w:left="980" w:right="220" w:hanging="324"/>
        <w:spacing w:after="0" w:line="250" w:lineRule="auto"/>
        <w:tabs>
          <w:tab w:leader="none" w:pos="975" w:val="left"/>
        </w:tabs>
        <w:numPr>
          <w:ilvl w:val="0"/>
          <w:numId w:val="10"/>
        </w:numPr>
        <w:rPr>
          <w:rFonts w:ascii="Arial" w:cs="Arial" w:eastAsia="Arial" w:hAnsi="Arial"/>
          <w:sz w:val="18"/>
          <w:szCs w:val="18"/>
          <w:color w:val="1E1E1E"/>
        </w:rPr>
      </w:pPr>
      <w:r>
        <w:rPr>
          <w:rFonts w:ascii="Arial" w:cs="Arial" w:eastAsia="Arial" w:hAnsi="Arial"/>
          <w:sz w:val="18"/>
          <w:szCs w:val="18"/>
          <w:color w:val="1E1E1E"/>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5" w:val="left"/>
        </w:tabs>
        <w:numPr>
          <w:ilvl w:val="0"/>
          <w:numId w:val="10"/>
        </w:numPr>
        <w:rPr>
          <w:rFonts w:ascii="Arial" w:cs="Arial" w:eastAsia="Arial" w:hAnsi="Arial"/>
          <w:sz w:val="18"/>
          <w:szCs w:val="18"/>
          <w:color w:val="1E1E1E"/>
        </w:rPr>
      </w:pPr>
      <w:r>
        <w:rPr>
          <w:rFonts w:ascii="Arial" w:cs="Arial" w:eastAsia="Arial" w:hAnsi="Arial"/>
          <w:sz w:val="18"/>
          <w:szCs w:val="18"/>
          <w:color w:val="1E1E1E"/>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0"/>
        </w:numPr>
        <w:rPr>
          <w:rFonts w:ascii="Arial" w:cs="Arial" w:eastAsia="Arial" w:hAnsi="Arial"/>
          <w:sz w:val="18"/>
          <w:szCs w:val="18"/>
          <w:color w:val="1E1E1E"/>
        </w:rPr>
      </w:pPr>
      <w:r>
        <w:rPr>
          <w:rFonts w:ascii="Arial" w:cs="Arial" w:eastAsia="Arial" w:hAnsi="Arial"/>
          <w:sz w:val="18"/>
          <w:szCs w:val="18"/>
          <w:color w:val="1E1E1E"/>
        </w:rPr>
        <w:t>costs associated with operating our digital infrastructure; and</w:t>
      </w:r>
    </w:p>
    <w:p>
      <w:pPr>
        <w:spacing w:after="0" w:line="9" w:lineRule="exact"/>
        <w:rPr>
          <w:rFonts w:ascii="Arial" w:cs="Arial" w:eastAsia="Arial" w:hAnsi="Arial"/>
          <w:sz w:val="18"/>
          <w:szCs w:val="18"/>
          <w:color w:val="1E1E1E"/>
        </w:rPr>
      </w:pPr>
    </w:p>
    <w:p>
      <w:pPr>
        <w:ind w:left="980" w:right="420" w:hanging="324"/>
        <w:spacing w:after="0" w:line="266" w:lineRule="auto"/>
        <w:tabs>
          <w:tab w:leader="none" w:pos="975" w:val="left"/>
        </w:tabs>
        <w:numPr>
          <w:ilvl w:val="0"/>
          <w:numId w:val="10"/>
        </w:numPr>
        <w:rPr>
          <w:rFonts w:ascii="Arial" w:cs="Arial" w:eastAsia="Arial" w:hAnsi="Arial"/>
          <w:sz w:val="18"/>
          <w:szCs w:val="18"/>
          <w:color w:val="1E1E1E"/>
        </w:rPr>
      </w:pPr>
      <w:r>
        <w:rPr>
          <w:rFonts w:ascii="Arial" w:cs="Arial" w:eastAsia="Arial" w:hAnsi="Arial"/>
          <w:sz w:val="18"/>
          <w:szCs w:val="18"/>
          <w:color w:val="1E1E1E"/>
        </w:rPr>
        <w:t>other direct and allocated expenses incurred as a result of research and development activities, including those for facilities, depreciation, amortization and insurance.</w:t>
      </w:r>
    </w:p>
    <w:p>
      <w:pPr>
        <w:spacing w:after="0" w:line="19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three and nine months ended September 30, 2024, the increase in research and development expenses compared to the prior period was driven by our platform and personnel costs as we continue to expand and upgrade our platform, including our chemical technology, machine learning and transcriptomics platform.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 Expense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general and administrative expense: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center"/>
              <w:ind w:right="6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5"/>
        </w:trPr>
        <w:tc>
          <w:tcPr>
            <w:tcW w:w="3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6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7"/>
                <w:szCs w:val="17"/>
                <w:color w:val="auto"/>
              </w:rPr>
            </w:pPr>
          </w:p>
        </w:tc>
      </w:tr>
      <w:tr>
        <w:trPr>
          <w:trHeight w:val="22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r>
      <w:tr>
        <w:trPr>
          <w:trHeight w:val="235"/>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37,757 $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29,199</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8,558</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29 %  $   100,998 $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80,364</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6"/>
                <w:szCs w:val="16"/>
                <w:color w:val="auto"/>
              </w:rPr>
              <w:t>20,634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0"/>
        </w:trPr>
        <w:tc>
          <w:tcPr>
            <w:tcW w:w="3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1E1E1E"/>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2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nine months ended September 30, 2024, the</w:t>
      </w:r>
      <w:r>
        <w:rPr>
          <w:rFonts w:ascii="Arial" w:cs="Arial" w:eastAsia="Arial" w:hAnsi="Arial"/>
          <w:sz w:val="18"/>
          <w:szCs w:val="18"/>
          <w:color w:val="1E1E1E"/>
        </w:rPr>
        <w:t xml:space="preserve"> increase in general and administrative expense compared to prior period was primarily driven by an increase in salaries and wages of $6.0 million and increases in software and lease expense. For the </w:t>
      </w:r>
      <w:r>
        <w:rPr>
          <w:rFonts w:ascii="Arial" w:cs="Arial" w:eastAsia="Arial" w:hAnsi="Arial"/>
          <w:sz w:val="18"/>
          <w:szCs w:val="18"/>
          <w:color w:val="000000"/>
        </w:rPr>
        <w:t>three months ended</w:t>
      </w:r>
      <w:r>
        <w:rPr>
          <w:rFonts w:ascii="Arial" w:cs="Arial" w:eastAsia="Arial" w:hAnsi="Arial"/>
          <w:sz w:val="18"/>
          <w:szCs w:val="18"/>
          <w:color w:val="1E1E1E"/>
        </w:rPr>
        <w:t xml:space="preserve"> </w:t>
      </w:r>
      <w:r>
        <w:rPr>
          <w:rFonts w:ascii="Arial" w:cs="Arial" w:eastAsia="Arial" w:hAnsi="Arial"/>
          <w:sz w:val="18"/>
          <w:szCs w:val="18"/>
          <w:color w:val="000000"/>
        </w:rPr>
        <w:t xml:space="preserve">September 30, 2024, the increase </w:t>
      </w:r>
      <w:r>
        <w:rPr>
          <w:rFonts w:ascii="Arial" w:cs="Arial" w:eastAsia="Arial" w:hAnsi="Arial"/>
          <w:sz w:val="18"/>
          <w:szCs w:val="18"/>
          <w:color w:val="1E1E1E"/>
        </w:rPr>
        <w:t>in general and administrative expense compared to prior period was primarily driven by an increase in</w:t>
      </w:r>
      <w:r>
        <w:rPr>
          <w:rFonts w:ascii="Arial" w:cs="Arial" w:eastAsia="Arial" w:hAnsi="Arial"/>
          <w:sz w:val="18"/>
          <w:szCs w:val="18"/>
          <w:color w:val="000000"/>
        </w:rPr>
        <w:t xml:space="preserve"> </w:t>
      </w:r>
      <w:r>
        <w:rPr>
          <w:rFonts w:ascii="Arial" w:cs="Arial" w:eastAsia="Arial" w:hAnsi="Arial"/>
          <w:sz w:val="18"/>
          <w:szCs w:val="18"/>
          <w:color w:val="1E1E1E"/>
        </w:rPr>
        <w:t>software and lease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other income,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9"/>
        </w:trPr>
        <w:tc>
          <w:tcPr>
            <w:tcW w:w="2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229"/>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3,826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(1,151)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11,138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14,594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(3,456)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8"/>
                <w:szCs w:val="18"/>
                <w:color w:val="auto"/>
              </w:rPr>
            </w:pPr>
          </w:p>
        </w:tc>
        <w:tc>
          <w:tcPr>
            <w:tcW w:w="1080" w:type="dxa"/>
            <w:vAlign w:val="bottom"/>
          </w:tcPr>
          <w:p>
            <w:pPr>
              <w:jc w:val="right"/>
              <w:ind w:right="342"/>
              <w:spacing w:after="0"/>
              <w:rPr>
                <w:sz w:val="20"/>
                <w:szCs w:val="20"/>
                <w:color w:val="auto"/>
              </w:rPr>
            </w:pPr>
            <w:r>
              <w:rPr>
                <w:rFonts w:ascii="Arial" w:cs="Arial" w:eastAsia="Arial" w:hAnsi="Arial"/>
                <w:sz w:val="16"/>
                <w:szCs w:val="16"/>
                <w:color w:val="auto"/>
              </w:rPr>
              <w:t>(528)</w:t>
            </w:r>
          </w:p>
        </w:tc>
        <w:tc>
          <w:tcPr>
            <w:tcW w:w="660" w:type="dxa"/>
            <w:vAlign w:val="bottom"/>
          </w:tcPr>
          <w:p>
            <w:pPr>
              <w:jc w:val="right"/>
              <w:spacing w:after="0"/>
              <w:rPr>
                <w:sz w:val="20"/>
                <w:szCs w:val="20"/>
                <w:color w:val="auto"/>
              </w:rPr>
            </w:pPr>
            <w:r>
              <w:rPr>
                <w:rFonts w:ascii="Arial" w:cs="Arial" w:eastAsia="Arial" w:hAnsi="Arial"/>
                <w:sz w:val="16"/>
                <w:szCs w:val="16"/>
                <w:color w:val="auto"/>
              </w:rPr>
              <w:t>&gt;100%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18"/>
                <w:szCs w:val="18"/>
                <w:color w:val="auto"/>
              </w:rPr>
            </w:pPr>
          </w:p>
        </w:tc>
        <w:tc>
          <w:tcPr>
            <w:tcW w:w="1120" w:type="dxa"/>
            <w:vAlign w:val="bottom"/>
          </w:tcPr>
          <w:p>
            <w:pPr>
              <w:jc w:val="right"/>
              <w:ind w:right="382"/>
              <w:spacing w:after="0"/>
              <w:rPr>
                <w:sz w:val="20"/>
                <w:szCs w:val="20"/>
                <w:color w:val="auto"/>
              </w:rPr>
            </w:pPr>
            <w:r>
              <w:rPr>
                <w:rFonts w:ascii="Arial" w:cs="Arial" w:eastAsia="Arial" w:hAnsi="Arial"/>
                <w:sz w:val="16"/>
                <w:szCs w:val="16"/>
                <w:color w:val="auto"/>
              </w:rPr>
              <w:t>(896)</w:t>
            </w:r>
          </w:p>
        </w:tc>
        <w:tc>
          <w:tcPr>
            <w:tcW w:w="72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(2,175)</w:t>
            </w:r>
          </w:p>
        </w:tc>
        <w:tc>
          <w:tcPr>
            <w:tcW w:w="84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1,537</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(2,361)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2,679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(3,854)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9,347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16,060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(6,713)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36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2024</w:t>
      </w:r>
      <w:r>
        <w:rPr>
          <w:rFonts w:ascii="Arial" w:cs="Arial" w:eastAsia="Arial" w:hAnsi="Arial"/>
          <w:sz w:val="18"/>
          <w:szCs w:val="18"/>
          <w:color w:val="1E1E1E"/>
        </w:rPr>
        <w:t xml:space="preserve">, the </w:t>
      </w:r>
      <w:r>
        <w:rPr>
          <w:rFonts w:ascii="Arial" w:cs="Arial" w:eastAsia="Arial" w:hAnsi="Arial"/>
          <w:sz w:val="18"/>
          <w:szCs w:val="18"/>
          <w:color w:val="000000"/>
        </w:rPr>
        <w:t>decrease in interest income compared to prior period related to a decrease in</w:t>
      </w:r>
      <w:r>
        <w:rPr>
          <w:rFonts w:ascii="Arial" w:cs="Arial" w:eastAsia="Arial" w:hAnsi="Arial"/>
          <w:sz w:val="18"/>
          <w:szCs w:val="18"/>
          <w:color w:val="1E1E1E"/>
        </w:rPr>
        <w:t xml:space="preserve"> </w:t>
      </w:r>
      <w:r>
        <w:rPr>
          <w:rFonts w:ascii="Arial" w:cs="Arial" w:eastAsia="Arial" w:hAnsi="Arial"/>
          <w:sz w:val="18"/>
          <w:szCs w:val="18"/>
          <w:color w:val="000000"/>
        </w:rPr>
        <w:t>earnings on cash and cash equivalents in money market funds.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Liquidity and Capital Resources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Sources of Liquidity</w:t>
      </w:r>
    </w:p>
    <w:p>
      <w:pPr>
        <w:spacing w:after="0" w:line="25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1E1E1E"/>
        </w:rPr>
        <w:t>We have not yet commercialized any products and do not expect to generate revenue from the sales of any product candidates for at least several years. Cash and cash equivalents totaled $427.6 million and $391.6 million as of September 30, 2024 and December 31, 2023, respectively.</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E1E1E"/>
        </w:rPr>
        <w:t>We have incurred operating losses and experienced negative operating cash flows and we anticipate that the Company will continue to incur losses for at least the foreseeable future. Our net loss was $95.8 million and $284.8 million during the three and nine months ended September 30, 2024, respectively. Our net loss was $93.0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1E1E1E"/>
        </w:rPr>
        <w:t>and $ 235.1 million during the three and nine months ended September 30, 2023, respectively. As of September 30, 2024 and December 31, 2023, we had an accumulated deficit of $1.3 billion and $967.6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1E1E1E"/>
        </w:rPr>
        <w:t>We have financed our operations through the private placements of preferred stock and Class A common stock issuances. As of</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1E1E1E"/>
        </w:rPr>
        <w:t xml:space="preserve">September 30, 2024, we have received net proceeds of $448.9 million from the sale of preferred stock and $1.0 billion from Class A common stock issuances. See Note 8, “Common Stock” to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Financial Statements for additional details on Class A common stock issuances. Additionally, as of September 30, 2024, we have received proceeds of $213.0 million from our strategic partnerships. See Note 9, “Collaborative Development Contracts” to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Financial Statements for additional details on the Roche partnership.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The following table is a summary of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Statements of Cash Flows for each of the periods presented below:</w:t>
      </w:r>
    </w:p>
    <w:p>
      <w:pPr>
        <w:spacing w:after="0" w:line="6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34925</wp:posOffset>
            </wp:positionV>
            <wp:extent cx="23660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(213,703)</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(15,397)</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(7,740)</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7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293,481</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59,474</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Operating Activities</w:t>
      </w:r>
    </w:p>
    <w:p>
      <w:pPr>
        <w:spacing w:after="0" w:line="25"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color w:val="auto"/>
        </w:rPr>
        <w:t>Cash used by operating activities increased during the nine months ended September 30, 2024 as a result of higher costs incurred for research and development and general and administrative due to the Company’s expansion and upgraded capabilities.</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Cash used by operating activities increased during the nine months ended September 30, 2023 as a result of an upfront payment of $150.0 million from our strategic partnership with Roche received in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Investing Activities</w:t>
      </w:r>
    </w:p>
    <w:p>
      <w:pPr>
        <w:spacing w:after="0" w:line="25" w:lineRule="exact"/>
        <w:rPr>
          <w:sz w:val="20"/>
          <w:szCs w:val="20"/>
          <w:color w:val="auto"/>
        </w:rPr>
      </w:pPr>
    </w:p>
    <w:p>
      <w:pPr>
        <w:jc w:val="both"/>
        <w:ind w:right="460"/>
        <w:spacing w:after="0" w:line="258" w:lineRule="auto"/>
        <w:rPr>
          <w:sz w:val="20"/>
          <w:szCs w:val="20"/>
          <w:color w:val="auto"/>
        </w:rPr>
      </w:pPr>
      <w:r>
        <w:rPr>
          <w:rFonts w:ascii="Arial" w:cs="Arial" w:eastAsia="Arial" w:hAnsi="Arial"/>
          <w:sz w:val="18"/>
          <w:szCs w:val="18"/>
          <w:color w:val="auto"/>
        </w:rPr>
        <w:t>Cash used by investing activities during the nine months ended September 30, 2024 consisted of property and equipment purchases of $12.4 million, which included $2.9 million to upgrade the BioHive-2 supercomputer and lab equipment purchases. Additionally, investing activities included the purchase of an intangible asset of $3.0 million from Helix.</w:t>
      </w:r>
    </w:p>
    <w:p>
      <w:pPr>
        <w:spacing w:after="0" w:line="2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used by investing activities during the nine months ended September 30, 2023 consisted primarily of purchases of property and equipment of $ 9.9 million, which included $1.7 million for a project to upgrade the BioHive -1 supercomputer and lab equipment purchases. The cash used was partially offset by $1.9 million of net cash acquired in the acquisition of a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Financing Activities</w:t>
      </w:r>
    </w:p>
    <w:p>
      <w:pPr>
        <w:spacing w:after="0" w:line="25"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1E1E1E"/>
        </w:rPr>
        <w:t xml:space="preserve">Cash provided by financing activities during the </w:t>
      </w:r>
      <w:r>
        <w:rPr>
          <w:rFonts w:ascii="Arial" w:cs="Arial" w:eastAsia="Arial" w:hAnsi="Arial"/>
          <w:sz w:val="18"/>
          <w:szCs w:val="18"/>
          <w:color w:val="000000"/>
        </w:rPr>
        <w:t>nine months ended September 30, 2024</w:t>
      </w:r>
      <w:r>
        <w:rPr>
          <w:rFonts w:ascii="Arial" w:cs="Arial" w:eastAsia="Arial" w:hAnsi="Arial"/>
          <w:sz w:val="18"/>
          <w:szCs w:val="18"/>
          <w:color w:val="1E1E1E"/>
        </w:rPr>
        <w:t xml:space="preserve"> primarily included p</w:t>
      </w:r>
      <w:r>
        <w:rPr>
          <w:rFonts w:ascii="Arial" w:cs="Arial" w:eastAsia="Arial" w:hAnsi="Arial"/>
          <w:sz w:val="18"/>
          <w:szCs w:val="18"/>
          <w:color w:val="000000"/>
        </w:rPr>
        <w:t>roceeds of $289.4 million</w:t>
      </w:r>
      <w:r>
        <w:rPr>
          <w:rFonts w:ascii="Arial" w:cs="Arial" w:eastAsia="Arial" w:hAnsi="Arial"/>
          <w:sz w:val="18"/>
          <w:szCs w:val="18"/>
          <w:color w:val="1E1E1E"/>
        </w:rPr>
        <w:t xml:space="preserve"> from Class A common stock issuances related to our </w:t>
      </w:r>
      <w:r>
        <w:rPr>
          <w:rFonts w:ascii="Arial" w:cs="Arial" w:eastAsia="Arial" w:hAnsi="Arial"/>
          <w:sz w:val="18"/>
          <w:szCs w:val="18"/>
          <w:color w:val="000000"/>
        </w:rPr>
        <w:t>June 2024</w:t>
      </w:r>
      <w:r>
        <w:rPr>
          <w:rFonts w:ascii="Arial" w:cs="Arial" w:eastAsia="Arial" w:hAnsi="Arial"/>
          <w:sz w:val="18"/>
          <w:szCs w:val="18"/>
          <w:color w:val="1E1E1E"/>
        </w:rPr>
        <w:t xml:space="preserve"> public offering of Class A common stock and our at-the-market offering (ATM). Financing inflows also included proceeds from equity incentive plans of $6.4 million.</w:t>
      </w:r>
    </w:p>
    <w:p>
      <w:pPr>
        <w:spacing w:after="0" w:line="20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1E1E1E"/>
        </w:rPr>
        <w:t xml:space="preserve">Cash </w:t>
      </w:r>
      <w:r>
        <w:rPr>
          <w:rFonts w:ascii="Arial" w:cs="Arial" w:eastAsia="Arial" w:hAnsi="Arial"/>
          <w:sz w:val="18"/>
          <w:szCs w:val="18"/>
          <w:color w:val="000000"/>
        </w:rPr>
        <w:t>provided by</w:t>
      </w:r>
      <w:r>
        <w:rPr>
          <w:rFonts w:ascii="Arial" w:cs="Arial" w:eastAsia="Arial" w:hAnsi="Arial"/>
          <w:sz w:val="18"/>
          <w:szCs w:val="18"/>
          <w:color w:val="1E1E1E"/>
        </w:rPr>
        <w:t xml:space="preserve"> financing activities during the </w:t>
      </w:r>
      <w:r>
        <w:rPr>
          <w:rFonts w:ascii="Arial" w:cs="Arial" w:eastAsia="Arial" w:hAnsi="Arial"/>
          <w:sz w:val="18"/>
          <w:szCs w:val="18"/>
          <w:color w:val="000000"/>
        </w:rPr>
        <w:t>nine months ended September 30, 2023 primarily included proceeds of</w:t>
      </w:r>
      <w:r>
        <w:rPr>
          <w:rFonts w:ascii="Arial" w:cs="Arial" w:eastAsia="Arial" w:hAnsi="Arial"/>
          <w:sz w:val="18"/>
          <w:szCs w:val="18"/>
          <w:color w:val="1E1E1E"/>
        </w:rPr>
        <w:t xml:space="preserve"> $50.0 million </w:t>
      </w:r>
      <w:r>
        <w:rPr>
          <w:rFonts w:ascii="Arial" w:cs="Arial" w:eastAsia="Arial" w:hAnsi="Arial"/>
          <w:sz w:val="18"/>
          <w:szCs w:val="18"/>
          <w:color w:val="000000"/>
        </w:rPr>
        <w:t>from</w:t>
      </w:r>
      <w:r>
        <w:rPr>
          <w:rFonts w:ascii="Arial" w:cs="Arial" w:eastAsia="Arial" w:hAnsi="Arial"/>
          <w:sz w:val="18"/>
          <w:szCs w:val="18"/>
          <w:color w:val="1E1E1E"/>
        </w:rPr>
        <w:t xml:space="preserve"> </w:t>
      </w:r>
      <w:r>
        <w:rPr>
          <w:rFonts w:ascii="Arial" w:cs="Arial" w:eastAsia="Arial" w:hAnsi="Arial"/>
          <w:sz w:val="18"/>
          <w:szCs w:val="18"/>
          <w:color w:val="000000"/>
        </w:rPr>
        <w:t xml:space="preserve">the NVIDIA private placement. Financing cash inflows also included </w:t>
      </w:r>
      <w:r>
        <w:rPr>
          <w:rFonts w:ascii="Arial" w:cs="Arial" w:eastAsia="Arial" w:hAnsi="Arial"/>
          <w:sz w:val="18"/>
          <w:szCs w:val="18"/>
          <w:color w:val="1E1E1E"/>
        </w:rPr>
        <w:t>proceeds</w:t>
      </w:r>
      <w:r>
        <w:rPr>
          <w:rFonts w:ascii="Arial" w:cs="Arial" w:eastAsia="Arial" w:hAnsi="Arial"/>
          <w:sz w:val="18"/>
          <w:szCs w:val="18"/>
          <w:color w:val="000000"/>
        </w:rPr>
        <w:t xml:space="preserve"> from equity incentive plans of </w:t>
      </w:r>
      <w:r>
        <w:rPr>
          <w:rFonts w:ascii="Arial" w:cs="Arial" w:eastAsia="Arial" w:hAnsi="Arial"/>
          <w:sz w:val="18"/>
          <w:szCs w:val="18"/>
          <w:color w:val="1E1E1E"/>
        </w:rPr>
        <w:t>$9.5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2023 Annual Report. There were no significant changes in the Company’s application of its critical accounting policies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Recently Issued and Adopted Accounting Pronouncements</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We are exposed to market risk related to changes in interest rates of our cash and cash equivalents. As of September 30, 2024, our cash and cash equivalents primarily consisted of money market funds. Our primary exposure to market risk is interest income sensitivity, which is affected by changes in U.S. interest rates. A hypothetical 100 basis point decrease in interest rates as of </w:t>
      </w:r>
      <w:r>
        <w:rPr>
          <w:rFonts w:ascii="Arial" w:cs="Arial" w:eastAsia="Arial" w:hAnsi="Arial"/>
          <w:sz w:val="18"/>
          <w:szCs w:val="18"/>
          <w:color w:val="1E1E1E"/>
        </w:rPr>
        <w:t>as of</w:t>
      </w:r>
      <w:r>
        <w:rPr>
          <w:rFonts w:ascii="Arial" w:cs="Arial" w:eastAsia="Arial" w:hAnsi="Arial"/>
          <w:sz w:val="18"/>
          <w:szCs w:val="18"/>
          <w:color w:val="auto"/>
        </w:rPr>
        <w:t xml:space="preserve"> September 30, 2024</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ensuing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employees and our operations are primarily located in the United States and Canada and our expenses are generally denominated in U.S.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three and nine months ended September 30, 2024 and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2024, our disclosure controls and procedures were ineffective due to the material weakness in internal control over financial reporting disclosed in Part II, Item 9A of our Annual Report on Form 10-K for the year ended December 31,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remediation actions have been taken as of September 30, 2024:</w:t>
      </w:r>
    </w:p>
    <w:p>
      <w:pPr>
        <w:spacing w:after="0" w:line="252" w:lineRule="exact"/>
        <w:rPr>
          <w:sz w:val="20"/>
          <w:szCs w:val="20"/>
          <w:color w:val="auto"/>
        </w:rPr>
      </w:pPr>
    </w:p>
    <w:p>
      <w:pPr>
        <w:ind w:left="660" w:right="2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Improvement of documentation procedures regarding specific inquiries related to the cost model used for revenue recognition and the resulting responses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Improvement of documentation for the review of changes in cost model due to responses from inquiries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Provided additional documentation for internal reports to validate and support completeness and accuracy of reports</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Improvement of documentation of these processes was done with the input of our third-party consultants who continue to be involved in the design and enhancement of the revenue recognition policies and procedures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significant progress has been made to enhance our internal control over financial reporting, we are still testing these remediated processes, procedures and controls. We believe the above actions will be effective in remediating the material weakness described above. However, the material weakness cannot be considered remediated until controls operate for a sufficient period of time and management has concluded, through testing, that these controls are operating effectively. As such, we were unable to conclude that the material weakness has been remediated as of September 30,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the exception of the steps taken to remediate the material weakness as described above, there were no other changes in internal control over financial reporting (as defined in Rules 13a-15(f) and 15d-15(f) under the Exchange Act)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1. Legal Proceedings.</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sections titled Part I, Item 1A. “Risk Factors” of our 2023 Annual Report; Part II, Item 1A. “Risk Factors” of our Quarterly Reports on Form 10-Q for the quarters ended March 31, 2024 and June 30, 2024, and the risk factors disclosed under Item 8.01 in our Current Report on Form 8-K filed with the SEC on September 3,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 Sales of Unregistered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nine months ended September 30, 2024, we issued 112 thousand shares of our Class A common stock to our employees, directors, advisors and consultants upon the exercise of stock options under our Key Personnel Incentive Stock Plan for aggregate consideration of approximately $38 thousand. The shares of Class A common stock issued upon the exercise of stock options were issued pursuant to written compensatory plans or arrangements with our employees, directors, advisors and consultants, in reliance on the exemption provided by Rule 701 promulgated under the Securities Act of 1933, as amended, or pursuant to Section 4(a)(2) of the Securities Act of 1933, as amended,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14"/>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4"/>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5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4660" w:type="dxa"/>
            <w:vAlign w:val="bottom"/>
            <w:gridSpan w:val="19"/>
          </w:tcPr>
          <w:p>
            <w:pPr>
              <w:spacing w:after="0" w:line="169" w:lineRule="exact"/>
              <w:rPr>
                <w:rFonts w:ascii="Arial" w:cs="Arial" w:eastAsia="Arial" w:hAnsi="Arial"/>
                <w:sz w:val="16"/>
                <w:szCs w:val="16"/>
                <w:color w:val="0000FF"/>
              </w:rPr>
            </w:pPr>
            <w:hyperlink r:id="rId52">
              <w:r>
                <w:rPr>
                  <w:rFonts w:ascii="Arial" w:cs="Arial" w:eastAsia="Arial" w:hAnsi="Arial"/>
                  <w:sz w:val="16"/>
                  <w:szCs w:val="16"/>
                  <w:color w:val="0000FF"/>
                </w:rPr>
                <w:t>Transaction Agreement by and between Recursion</w:t>
              </w:r>
            </w:hyperlink>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580" w:type="dxa"/>
            <w:vAlign w:val="bottom"/>
          </w:tcPr>
          <w:p>
            <w:pPr>
              <w:jc w:val="center"/>
              <w:spacing w:after="0" w:line="169" w:lineRule="exact"/>
              <w:rPr>
                <w:sz w:val="20"/>
                <w:szCs w:val="20"/>
                <w:color w:val="auto"/>
              </w:rPr>
            </w:pPr>
            <w:r>
              <w:rPr>
                <w:rFonts w:ascii="Arial" w:cs="Arial" w:eastAsia="Arial" w:hAnsi="Arial"/>
                <w:sz w:val="16"/>
                <w:szCs w:val="16"/>
                <w:color w:val="auto"/>
              </w:rPr>
              <w:t>August 8, 2024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6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Pharmaceuticals, Inc. and Exscientia plc dated as</w:t>
              </w:r>
            </w:hyperlink>
          </w:p>
        </w:tc>
        <w:tc>
          <w:tcPr>
            <w:tcW w:w="1020" w:type="dxa"/>
            <w:vAlign w:val="bottom"/>
            <w:gridSpan w:val="11"/>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of August 8,</w:t>
              </w:r>
            </w:hyperlink>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52">
              <w:r>
                <w:rPr>
                  <w:rFonts w:ascii="Arial" w:cs="Arial" w:eastAsia="Arial" w:hAnsi="Arial"/>
                  <w:sz w:val="16"/>
                  <w:szCs w:val="16"/>
                  <w:color w:val="0000FF"/>
                  <w:w w:val="94"/>
                </w:rPr>
                <w:t>2024.</w:t>
              </w:r>
            </w:hyperlink>
          </w:p>
        </w:tc>
        <w:tc>
          <w:tcPr>
            <w:tcW w:w="4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660" w:type="dxa"/>
            <w:vAlign w:val="bottom"/>
            <w:gridSpan w:val="19"/>
          </w:tcPr>
          <w:p>
            <w:pPr>
              <w:spacing w:after="0"/>
              <w:rPr>
                <w:rFonts w:ascii="Arial" w:cs="Arial" w:eastAsia="Arial" w:hAnsi="Arial"/>
                <w:sz w:val="16"/>
                <w:szCs w:val="16"/>
                <w:color w:val="0000FF"/>
              </w:rPr>
            </w:pPr>
            <w:hyperlink r:id="rId53">
              <w:r>
                <w:rPr>
                  <w:rFonts w:ascii="Arial" w:cs="Arial" w:eastAsia="Arial" w:hAnsi="Arial"/>
                  <w:sz w:val="16"/>
                  <w:szCs w:val="16"/>
                  <w:color w:val="0000FF"/>
                </w:rPr>
                <w:t>Amended and Restated Certificate of Incorporation of Recursion</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660" w:type="dxa"/>
            <w:vAlign w:val="bottom"/>
            <w:gridSpan w:val="19"/>
          </w:tcPr>
          <w:p>
            <w:pPr>
              <w:spacing w:after="0"/>
              <w:rPr>
                <w:rFonts w:ascii="Arial" w:cs="Arial" w:eastAsia="Arial" w:hAnsi="Arial"/>
                <w:sz w:val="16"/>
                <w:szCs w:val="16"/>
                <w:color w:val="0000FF"/>
              </w:rPr>
            </w:pPr>
            <w:hyperlink r:id="rId54">
              <w:r>
                <w:rPr>
                  <w:rFonts w:ascii="Arial" w:cs="Arial" w:eastAsia="Arial" w:hAnsi="Arial"/>
                  <w:sz w:val="16"/>
                  <w:szCs w:val="16"/>
                  <w:color w:val="0000FF"/>
                </w:rPr>
                <w:t>Amended and Restated Bylaws of Recursion Pharmaceuticals,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660" w:type="dxa"/>
            <w:vAlign w:val="bottom"/>
            <w:gridSpan w:val="19"/>
          </w:tcPr>
          <w:p>
            <w:pPr>
              <w:spacing w:after="0"/>
              <w:rPr>
                <w:rFonts w:ascii="Arial" w:cs="Arial" w:eastAsia="Arial" w:hAnsi="Arial"/>
                <w:sz w:val="16"/>
                <w:szCs w:val="16"/>
                <w:color w:val="0000FF"/>
              </w:rPr>
            </w:pPr>
            <w:hyperlink r:id="rId55">
              <w:r>
                <w:rPr>
                  <w:rFonts w:ascii="Arial" w:cs="Arial" w:eastAsia="Arial" w:hAnsi="Arial"/>
                  <w:sz w:val="16"/>
                  <w:szCs w:val="16"/>
                  <w:color w:val="0000FF"/>
                </w:rPr>
                <w:t>Specimen Class A common stock certificate of the Registrant.</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440" w:type="dxa"/>
            <w:vAlign w:val="bottom"/>
            <w:tcBorders>
              <w:bottom w:val="single" w:sz="8" w:color="0000FF"/>
            </w:tcBorders>
            <w:gridSpan w:val="11"/>
          </w:tcPr>
          <w:p>
            <w:pPr>
              <w:spacing w:after="0"/>
              <w:rPr>
                <w:rFonts w:ascii="Arial" w:cs="Arial" w:eastAsia="Arial" w:hAnsi="Arial"/>
                <w:sz w:val="16"/>
                <w:szCs w:val="16"/>
                <w:color w:val="0000FF"/>
              </w:rPr>
            </w:pPr>
            <w:hyperlink r:id="rId56">
              <w:r>
                <w:rPr>
                  <w:rFonts w:ascii="Arial" w:cs="Arial" w:eastAsia="Arial" w:hAnsi="Arial"/>
                  <w:sz w:val="16"/>
                  <w:szCs w:val="16"/>
                  <w:color w:val="0000FF"/>
                </w:rPr>
                <w:t>Exchangeable Share Support Agreement, dated May 8, 2023.</w:t>
              </w:r>
            </w:hyperlink>
          </w:p>
        </w:tc>
        <w:tc>
          <w:tcPr>
            <w:tcW w:w="220" w:type="dxa"/>
            <w:vAlign w:val="bottom"/>
            <w:gridSpan w:val="8"/>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660" w:type="dxa"/>
            <w:vAlign w:val="bottom"/>
            <w:gridSpan w:val="19"/>
          </w:tcPr>
          <w:p>
            <w:pPr>
              <w:spacing w:after="0"/>
              <w:rPr>
                <w:rFonts w:ascii="Arial" w:cs="Arial" w:eastAsia="Arial" w:hAnsi="Arial"/>
                <w:sz w:val="16"/>
                <w:szCs w:val="16"/>
                <w:color w:val="0000FF"/>
              </w:rPr>
            </w:pPr>
            <w:hyperlink r:id="rId57">
              <w:r>
                <w:rPr>
                  <w:rFonts w:ascii="Arial" w:cs="Arial" w:eastAsia="Arial" w:hAnsi="Arial"/>
                  <w:sz w:val="16"/>
                  <w:szCs w:val="16"/>
                  <w:color w:val="0000FF"/>
                </w:rPr>
                <w:t>Registration Rights Agreement, dated October 24, 2022,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October 25, 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among the Company and the Purchasers.</w:t>
              </w:r>
            </w:hyperlink>
          </w:p>
        </w:tc>
        <w:tc>
          <w:tcPr>
            <w:tcW w:w="158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660" w:type="dxa"/>
            <w:vAlign w:val="bottom"/>
            <w:gridSpan w:val="19"/>
          </w:tcPr>
          <w:p>
            <w:pPr>
              <w:spacing w:after="0"/>
              <w:rPr>
                <w:rFonts w:ascii="Arial" w:cs="Arial" w:eastAsia="Arial" w:hAnsi="Arial"/>
                <w:sz w:val="16"/>
                <w:szCs w:val="16"/>
                <w:color w:val="0000FF"/>
              </w:rPr>
            </w:pPr>
            <w:hyperlink r:id="rId58">
              <w:r>
                <w:rPr>
                  <w:rFonts w:ascii="Arial" w:cs="Arial" w:eastAsia="Arial" w:hAnsi="Arial"/>
                  <w:sz w:val="16"/>
                  <w:szCs w:val="16"/>
                  <w:color w:val="0000FF"/>
                </w:rPr>
                <w:t>Registration Agreement, dated May 16,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Registrant, Valence Discovery, Inc., and certain shareholders of</w:t>
              </w:r>
            </w:hyperlink>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Valence Discovery, Inc.</w:t>
              </w:r>
            </w:hyperlink>
          </w:p>
        </w:tc>
        <w:tc>
          <w:tcPr>
            <w:tcW w:w="12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660" w:type="dxa"/>
            <w:vAlign w:val="bottom"/>
            <w:gridSpan w:val="19"/>
          </w:tcPr>
          <w:p>
            <w:pPr>
              <w:spacing w:after="0"/>
              <w:rPr>
                <w:rFonts w:ascii="Arial" w:cs="Arial" w:eastAsia="Arial" w:hAnsi="Arial"/>
                <w:sz w:val="16"/>
                <w:szCs w:val="16"/>
                <w:color w:val="0000FF"/>
              </w:rPr>
            </w:pPr>
            <w:hyperlink r:id="rId59">
              <w:r>
                <w:rPr>
                  <w:rFonts w:ascii="Arial" w:cs="Arial" w:eastAsia="Arial" w:hAnsi="Arial"/>
                  <w:sz w:val="16"/>
                  <w:szCs w:val="16"/>
                  <w:color w:val="0000FF"/>
                </w:rPr>
                <w:t>Registration Agreement, dated May 25,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Registrant, Recursion Canada Inc., and certain shareholders of</w:t>
              </w:r>
            </w:hyperlink>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Cyclica Inc.</w:t>
              </w:r>
            </w:hyperlink>
          </w:p>
        </w:tc>
        <w:tc>
          <w:tcPr>
            <w:tcW w:w="140" w:type="dxa"/>
            <w:vAlign w:val="bottom"/>
            <w:gridSpan w:val="5"/>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4660" w:type="dxa"/>
            <w:vAlign w:val="bottom"/>
            <w:gridSpan w:val="19"/>
          </w:tcPr>
          <w:p>
            <w:pPr>
              <w:spacing w:after="0"/>
              <w:rPr>
                <w:rFonts w:ascii="Arial" w:cs="Arial" w:eastAsia="Arial" w:hAnsi="Arial"/>
                <w:sz w:val="16"/>
                <w:szCs w:val="16"/>
                <w:color w:val="0000FF"/>
              </w:rPr>
            </w:pPr>
            <w:hyperlink r:id="rId60">
              <w:r>
                <w:rPr>
                  <w:rFonts w:ascii="Arial" w:cs="Arial" w:eastAsia="Arial" w:hAnsi="Arial"/>
                  <w:sz w:val="16"/>
                  <w:szCs w:val="16"/>
                  <w:color w:val="0000FF"/>
                </w:rPr>
                <w:t>Registration Rights Agreement, dated July 11, 2023,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3"/>
          </w:tcPr>
          <w:p>
            <w:pPr>
              <w:spacing w:after="0"/>
              <w:rPr>
                <w:sz w:val="12"/>
                <w:szCs w:val="12"/>
                <w:color w:val="auto"/>
              </w:rPr>
            </w:pPr>
          </w:p>
        </w:tc>
        <w:tc>
          <w:tcPr>
            <w:tcW w:w="380" w:type="dxa"/>
            <w:vAlign w:val="bottom"/>
            <w:gridSpan w:val="10"/>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w:t>
            </w:r>
          </w:p>
        </w:tc>
        <w:tc>
          <w:tcPr>
            <w:tcW w:w="4780" w:type="dxa"/>
            <w:vAlign w:val="bottom"/>
            <w:gridSpan w:val="17"/>
          </w:tcPr>
          <w:p>
            <w:pPr>
              <w:spacing w:after="0"/>
              <w:rPr>
                <w:rFonts w:ascii="Arial" w:cs="Arial" w:eastAsia="Arial" w:hAnsi="Arial"/>
                <w:sz w:val="16"/>
                <w:szCs w:val="16"/>
                <w:color w:val="0000FF"/>
              </w:rPr>
            </w:pPr>
            <w:hyperlink r:id="rId62">
              <w:r>
                <w:rPr>
                  <w:rFonts w:ascii="Arial" w:cs="Arial" w:eastAsia="Arial" w:hAnsi="Arial"/>
                  <w:sz w:val="16"/>
                  <w:szCs w:val="16"/>
                  <w:color w:val="0000FF"/>
                </w:rPr>
                <w:t>Form of Voting and Support Agreement.</w:t>
              </w:r>
            </w:hyperlink>
          </w:p>
        </w:tc>
        <w:tc>
          <w:tcPr>
            <w:tcW w:w="680" w:type="dxa"/>
            <w:vAlign w:val="bottom"/>
          </w:tcPr>
          <w:p>
            <w:pPr>
              <w:ind w:left="160"/>
              <w:spacing w:after="0"/>
              <w:rPr>
                <w:sz w:val="20"/>
                <w:szCs w:val="20"/>
                <w:color w:val="auto"/>
              </w:rPr>
            </w:pPr>
            <w:r>
              <w:rPr>
                <w:rFonts w:ascii="Arial" w:cs="Arial" w:eastAsia="Arial" w:hAnsi="Arial"/>
                <w:sz w:val="16"/>
                <w:szCs w:val="16"/>
                <w:color w:val="auto"/>
              </w:rPr>
              <w:t>8-K</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001-40323</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10.1</w:t>
            </w:r>
          </w:p>
        </w:tc>
        <w:tc>
          <w:tcPr>
            <w:tcW w:w="2160" w:type="dxa"/>
            <w:vAlign w:val="bottom"/>
          </w:tcPr>
          <w:p>
            <w:pPr>
              <w:jc w:val="center"/>
              <w:ind w:right="499"/>
              <w:spacing w:after="0"/>
              <w:rPr>
                <w:sz w:val="20"/>
                <w:szCs w:val="20"/>
                <w:color w:val="auto"/>
              </w:rPr>
            </w:pPr>
            <w:r>
              <w:rPr>
                <w:rFonts w:ascii="Arial" w:cs="Arial" w:eastAsia="Arial" w:hAnsi="Arial"/>
                <w:sz w:val="16"/>
                <w:szCs w:val="16"/>
                <w:color w:val="auto"/>
              </w:rPr>
              <w:t>August 8, 2024</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10.2</w:t>
            </w:r>
          </w:p>
        </w:tc>
        <w:tc>
          <w:tcPr>
            <w:tcW w:w="3340" w:type="dxa"/>
            <w:vAlign w:val="bottom"/>
            <w:tcBorders>
              <w:bottom w:val="single" w:sz="8" w:color="0000FF"/>
            </w:tcBorders>
            <w:gridSpan w:val="6"/>
          </w:tcPr>
          <w:p>
            <w:pPr>
              <w:spacing w:after="0"/>
              <w:rPr>
                <w:rFonts w:ascii="Arial" w:cs="Arial" w:eastAsia="Arial" w:hAnsi="Arial"/>
                <w:sz w:val="16"/>
                <w:szCs w:val="16"/>
                <w:color w:val="0000FF"/>
              </w:rPr>
            </w:pPr>
            <w:hyperlink r:id="rId63">
              <w:r>
                <w:rPr>
                  <w:rFonts w:ascii="Arial" w:cs="Arial" w:eastAsia="Arial" w:hAnsi="Arial"/>
                  <w:sz w:val="16"/>
                  <w:szCs w:val="16"/>
                  <w:color w:val="0000FF"/>
                </w:rPr>
                <w:t>Form of Irrevocable Undertaking (Institutional).</w:t>
              </w:r>
            </w:hyperlink>
          </w:p>
        </w:tc>
        <w:tc>
          <w:tcPr>
            <w:tcW w:w="1440" w:type="dxa"/>
            <w:vAlign w:val="bottom"/>
            <w:gridSpan w:val="11"/>
          </w:tcPr>
          <w:p>
            <w:pPr>
              <w:spacing w:after="0"/>
              <w:rPr>
                <w:sz w:val="17"/>
                <w:szCs w:val="17"/>
                <w:color w:val="auto"/>
              </w:rPr>
            </w:pPr>
          </w:p>
        </w:tc>
        <w:tc>
          <w:tcPr>
            <w:tcW w:w="680" w:type="dxa"/>
            <w:vAlign w:val="bottom"/>
          </w:tcPr>
          <w:p>
            <w:pPr>
              <w:ind w:left="160"/>
              <w:spacing w:after="0"/>
              <w:rPr>
                <w:sz w:val="20"/>
                <w:szCs w:val="20"/>
                <w:color w:val="auto"/>
              </w:rPr>
            </w:pPr>
            <w:r>
              <w:rPr>
                <w:rFonts w:ascii="Arial" w:cs="Arial" w:eastAsia="Arial" w:hAnsi="Arial"/>
                <w:sz w:val="16"/>
                <w:szCs w:val="16"/>
                <w:color w:val="auto"/>
              </w:rPr>
              <w:t>8-K</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001-40323</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10.2</w:t>
            </w:r>
          </w:p>
        </w:tc>
        <w:tc>
          <w:tcPr>
            <w:tcW w:w="2160" w:type="dxa"/>
            <w:vAlign w:val="bottom"/>
          </w:tcPr>
          <w:p>
            <w:pPr>
              <w:jc w:val="center"/>
              <w:ind w:right="499"/>
              <w:spacing w:after="0"/>
              <w:rPr>
                <w:sz w:val="20"/>
                <w:szCs w:val="20"/>
                <w:color w:val="auto"/>
              </w:rPr>
            </w:pPr>
            <w:r>
              <w:rPr>
                <w:rFonts w:ascii="Arial" w:cs="Arial" w:eastAsia="Arial" w:hAnsi="Arial"/>
                <w:sz w:val="16"/>
                <w:szCs w:val="16"/>
                <w:color w:val="auto"/>
              </w:rPr>
              <w:t>August 8, 2024</w:t>
            </w: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10.3</w:t>
            </w:r>
          </w:p>
        </w:tc>
        <w:tc>
          <w:tcPr>
            <w:tcW w:w="4780" w:type="dxa"/>
            <w:vAlign w:val="bottom"/>
            <w:gridSpan w:val="17"/>
          </w:tcPr>
          <w:p>
            <w:pPr>
              <w:spacing w:after="0"/>
              <w:rPr>
                <w:rFonts w:ascii="Arial" w:cs="Arial" w:eastAsia="Arial" w:hAnsi="Arial"/>
                <w:sz w:val="16"/>
                <w:szCs w:val="16"/>
                <w:color w:val="0000FF"/>
              </w:rPr>
            </w:pPr>
            <w:hyperlink r:id="rId64">
              <w:r>
                <w:rPr>
                  <w:rFonts w:ascii="Arial" w:cs="Arial" w:eastAsia="Arial" w:hAnsi="Arial"/>
                  <w:sz w:val="16"/>
                  <w:szCs w:val="16"/>
                  <w:color w:val="0000FF"/>
                </w:rPr>
                <w:t>Form of Irrevocable Undertaking (Individual).</w:t>
              </w:r>
            </w:hyperlink>
          </w:p>
        </w:tc>
        <w:tc>
          <w:tcPr>
            <w:tcW w:w="680" w:type="dxa"/>
            <w:vAlign w:val="bottom"/>
          </w:tcPr>
          <w:p>
            <w:pPr>
              <w:ind w:left="160"/>
              <w:spacing w:after="0"/>
              <w:rPr>
                <w:sz w:val="20"/>
                <w:szCs w:val="20"/>
                <w:color w:val="auto"/>
              </w:rPr>
            </w:pPr>
            <w:r>
              <w:rPr>
                <w:rFonts w:ascii="Arial" w:cs="Arial" w:eastAsia="Arial" w:hAnsi="Arial"/>
                <w:sz w:val="16"/>
                <w:szCs w:val="16"/>
                <w:color w:val="auto"/>
              </w:rPr>
              <w:t>8-K</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001-40323</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10.3</w:t>
            </w:r>
          </w:p>
        </w:tc>
        <w:tc>
          <w:tcPr>
            <w:tcW w:w="2160" w:type="dxa"/>
            <w:vAlign w:val="bottom"/>
          </w:tcPr>
          <w:p>
            <w:pPr>
              <w:jc w:val="center"/>
              <w:ind w:right="499"/>
              <w:spacing w:after="0"/>
              <w:rPr>
                <w:sz w:val="20"/>
                <w:szCs w:val="20"/>
                <w:color w:val="auto"/>
              </w:rPr>
            </w:pPr>
            <w:r>
              <w:rPr>
                <w:rFonts w:ascii="Arial" w:cs="Arial" w:eastAsia="Arial" w:hAnsi="Arial"/>
                <w:sz w:val="16"/>
                <w:szCs w:val="16"/>
                <w:color w:val="auto"/>
              </w:rPr>
              <w:t>August 8, 2024</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10.4</w:t>
            </w:r>
          </w:p>
        </w:tc>
        <w:tc>
          <w:tcPr>
            <w:tcW w:w="4780" w:type="dxa"/>
            <w:vAlign w:val="bottom"/>
            <w:gridSpan w:val="17"/>
          </w:tcPr>
          <w:p>
            <w:pPr>
              <w:spacing w:after="0"/>
              <w:rPr>
                <w:rFonts w:ascii="Arial" w:cs="Arial" w:eastAsia="Arial" w:hAnsi="Arial"/>
                <w:sz w:val="16"/>
                <w:szCs w:val="16"/>
                <w:color w:val="0000FF"/>
              </w:rPr>
            </w:pPr>
            <w:hyperlink r:id="rId65">
              <w:r>
                <w:rPr>
                  <w:rFonts w:ascii="Arial" w:cs="Arial" w:eastAsia="Arial" w:hAnsi="Arial"/>
                  <w:sz w:val="16"/>
                  <w:szCs w:val="16"/>
                  <w:color w:val="0000FF"/>
                </w:rPr>
                <w:t>Irrevocable Undertaking of Evotec SE dated August 28, 2024.</w:t>
              </w:r>
            </w:hyperlink>
          </w:p>
        </w:tc>
        <w:tc>
          <w:tcPr>
            <w:tcW w:w="680" w:type="dxa"/>
            <w:vAlign w:val="bottom"/>
          </w:tcPr>
          <w:p>
            <w:pPr>
              <w:ind w:left="160"/>
              <w:spacing w:after="0"/>
              <w:rPr>
                <w:sz w:val="20"/>
                <w:szCs w:val="20"/>
                <w:color w:val="auto"/>
              </w:rPr>
            </w:pPr>
            <w:r>
              <w:rPr>
                <w:rFonts w:ascii="Arial" w:cs="Arial" w:eastAsia="Arial" w:hAnsi="Arial"/>
                <w:sz w:val="16"/>
                <w:szCs w:val="16"/>
                <w:color w:val="auto"/>
              </w:rPr>
              <w:t>8-K</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001-40323</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10.1</w:t>
            </w:r>
          </w:p>
        </w:tc>
        <w:tc>
          <w:tcPr>
            <w:tcW w:w="2160" w:type="dxa"/>
            <w:vAlign w:val="bottom"/>
          </w:tcPr>
          <w:p>
            <w:pPr>
              <w:jc w:val="center"/>
              <w:ind w:right="499"/>
              <w:spacing w:after="0"/>
              <w:rPr>
                <w:sz w:val="20"/>
                <w:szCs w:val="20"/>
                <w:color w:val="auto"/>
              </w:rPr>
            </w:pPr>
            <w:r>
              <w:rPr>
                <w:rFonts w:ascii="Arial" w:cs="Arial" w:eastAsia="Arial" w:hAnsi="Arial"/>
                <w:sz w:val="16"/>
                <w:szCs w:val="16"/>
                <w:color w:val="auto"/>
              </w:rPr>
              <w:t>August 28, 2024</w:t>
            </w: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31.1</w:t>
            </w:r>
          </w:p>
        </w:tc>
        <w:tc>
          <w:tcPr>
            <w:tcW w:w="442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36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3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480" w:type="dxa"/>
            <w:vAlign w:val="bottom"/>
            <w:gridSpan w:val="7"/>
          </w:tcPr>
          <w:p>
            <w:pPr>
              <w:ind w:left="40"/>
              <w:spacing w:after="0" w:line="142" w:lineRule="exact"/>
              <w:rPr>
                <w:sz w:val="20"/>
                <w:szCs w:val="20"/>
                <w:color w:val="auto"/>
              </w:rPr>
            </w:pPr>
            <w:r>
              <w:rPr>
                <w:rFonts w:ascii="Arial" w:cs="Arial" w:eastAsia="Arial" w:hAnsi="Arial"/>
                <w:sz w:val="16"/>
                <w:szCs w:val="16"/>
                <w:color w:val="0000FF"/>
              </w:rPr>
              <w:t>of</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8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28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Oxley Act of 2002.</w:t>
            </w:r>
          </w:p>
        </w:tc>
        <w:tc>
          <w:tcPr>
            <w:tcW w:w="2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31.2</w:t>
            </w:r>
          </w:p>
        </w:tc>
        <w:tc>
          <w:tcPr>
            <w:tcW w:w="4780" w:type="dxa"/>
            <w:vAlign w:val="bottom"/>
            <w:gridSpan w:val="17"/>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6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60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52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of 2002.</w:t>
            </w:r>
          </w:p>
        </w:tc>
        <w:tc>
          <w:tcPr>
            <w:tcW w:w="26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32.1**</w:t>
            </w:r>
          </w:p>
        </w:tc>
        <w:tc>
          <w:tcPr>
            <w:tcW w:w="4780" w:type="dxa"/>
            <w:vAlign w:val="bottom"/>
            <w:gridSpan w:val="17"/>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42"/>
        </w:trPr>
        <w:tc>
          <w:tcPr>
            <w:tcW w:w="900" w:type="dxa"/>
            <w:vAlign w:val="bottom"/>
          </w:tcPr>
          <w:p>
            <w:pPr>
              <w:spacing w:after="0"/>
              <w:rPr>
                <w:sz w:val="12"/>
                <w:szCs w:val="12"/>
                <w:color w:val="auto"/>
              </w:rPr>
            </w:pPr>
          </w:p>
        </w:tc>
        <w:tc>
          <w:tcPr>
            <w:tcW w:w="4780" w:type="dxa"/>
            <w:vAlign w:val="bottom"/>
            <w:gridSpan w:val="17"/>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0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740" w:type="dxa"/>
            <w:vAlign w:val="bottom"/>
            <w:gridSpan w:val="9"/>
          </w:tcPr>
          <w:p>
            <w:pPr>
              <w:ind w:left="40"/>
              <w:spacing w:after="0" w:line="142" w:lineRule="exact"/>
              <w:rPr>
                <w:sz w:val="20"/>
                <w:szCs w:val="20"/>
                <w:color w:val="auto"/>
              </w:rPr>
            </w:pPr>
            <w:r>
              <w:rPr>
                <w:rFonts w:ascii="Arial" w:cs="Arial" w:eastAsia="Arial" w:hAnsi="Arial"/>
                <w:sz w:val="16"/>
                <w:szCs w:val="16"/>
                <w:color w:val="0000FF"/>
              </w:rPr>
              <w:t>Act of</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1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34"/>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101.INS</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Instance Document</w:t>
            </w: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101.SCH</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101.CAL</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101.DEF</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101.LAB</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Label Linkbase Document</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99"/>
              </w:rPr>
              <w:t>101.PRE</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64"/>
        </w:trPr>
        <w:tc>
          <w:tcPr>
            <w:tcW w:w="90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7"/>
              </w:rPr>
              <w:t>104</w:t>
            </w:r>
          </w:p>
        </w:tc>
        <w:tc>
          <w:tcPr>
            <w:tcW w:w="4780" w:type="dxa"/>
            <w:vAlign w:val="bottom"/>
            <w:gridSpan w:val="17"/>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ind w:left="2060"/>
              <w:spacing w:after="0" w:line="164" w:lineRule="exact"/>
              <w:rPr>
                <w:sz w:val="20"/>
                <w:szCs w:val="20"/>
                <w:color w:val="auto"/>
              </w:rPr>
            </w:pPr>
            <w:r>
              <w:rPr>
                <w:rFonts w:ascii="Arial" w:cs="Arial" w:eastAsia="Arial" w:hAnsi="Arial"/>
                <w:sz w:val="16"/>
                <w:szCs w:val="16"/>
                <w:color w:val="auto"/>
                <w:w w:val="74"/>
              </w:rPr>
              <w:t>X</w:t>
            </w:r>
          </w:p>
        </w:tc>
      </w:tr>
      <w:tr>
        <w:trPr>
          <w:trHeight w:val="215"/>
        </w:trPr>
        <w:tc>
          <w:tcPr>
            <w:tcW w:w="900" w:type="dxa"/>
            <w:vAlign w:val="bottom"/>
          </w:tcPr>
          <w:p>
            <w:pPr>
              <w:spacing w:after="0"/>
              <w:rPr>
                <w:sz w:val="18"/>
                <w:szCs w:val="18"/>
                <w:color w:val="auto"/>
              </w:rPr>
            </w:pPr>
          </w:p>
        </w:tc>
        <w:tc>
          <w:tcPr>
            <w:tcW w:w="4780" w:type="dxa"/>
            <w:vAlign w:val="bottom"/>
            <w:gridSpan w:val="17"/>
          </w:tcPr>
          <w:p>
            <w:pPr>
              <w:spacing w:after="0"/>
              <w:rPr>
                <w:sz w:val="20"/>
                <w:szCs w:val="20"/>
                <w:color w:val="auto"/>
              </w:rPr>
            </w:pPr>
            <w:r>
              <w:rPr>
                <w:rFonts w:ascii="Arial" w:cs="Arial" w:eastAsia="Arial" w:hAnsi="Arial"/>
                <w:sz w:val="16"/>
                <w:szCs w:val="16"/>
                <w:color w:val="auto"/>
              </w:rPr>
              <w:t>contained in Exhibit 101)</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3" w:lineRule="exact"/>
        <w:rPr>
          <w:sz w:val="20"/>
          <w:szCs w:val="20"/>
          <w:color w:val="auto"/>
        </w:rPr>
      </w:pPr>
    </w:p>
    <w:p>
      <w:pPr>
        <w:ind w:left="1120" w:hanging="600"/>
        <w:spacing w:after="0" w:line="22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3" w:lineRule="exact"/>
        <w:rPr>
          <w:sz w:val="20"/>
          <w:szCs w:val="20"/>
          <w:color w:val="auto"/>
        </w:rPr>
      </w:pPr>
    </w:p>
    <w:p>
      <w:pPr>
        <w:ind w:left="1120" w:hanging="635"/>
        <w:spacing w:after="0" w:line="221"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November 6, 2024.</w:t>
      </w:r>
    </w:p>
    <w:p>
      <w:pPr>
        <w:spacing w:after="0" w:line="1" w:lineRule="exact"/>
        <w:rPr>
          <w:sz w:val="20"/>
          <w:szCs w:val="20"/>
          <w:color w:val="auto"/>
        </w:rPr>
      </w:pPr>
    </w:p>
    <w:tbl>
      <w:tblPr>
        <w:tblLayout w:type="fixed"/>
        <w:tblInd w:w="628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440" w:type="dxa"/>
            <w:vAlign w:val="bottom"/>
          </w:tcPr>
          <w:p>
            <w:pPr>
              <w:jc w:val="right"/>
              <w:spacing w:after="0"/>
              <w:rPr>
                <w:sz w:val="20"/>
                <w:szCs w:val="20"/>
                <w:color w:val="auto"/>
              </w:rPr>
            </w:pPr>
            <w:r>
              <w:rPr>
                <w:rFonts w:ascii="Arial" w:cs="Arial" w:eastAsia="Arial" w:hAnsi="Arial"/>
                <w:sz w:val="18"/>
                <w:szCs w:val="18"/>
                <w:color w:val="auto"/>
              </w:rPr>
              <w:t>/s/ Christopher Gibson</w:t>
            </w:r>
          </w:p>
        </w:tc>
      </w:tr>
      <w:tr>
        <w:trPr>
          <w:trHeight w:val="245"/>
        </w:trPr>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Christopher Gibson</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Michael Secora</w:t>
            </w:r>
          </w:p>
        </w:tc>
      </w:tr>
      <w:tr>
        <w:trPr>
          <w:trHeight w:val="24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Michael Secora</w:t>
            </w:r>
          </w:p>
        </w:tc>
      </w:tr>
      <w:tr>
        <w:trPr>
          <w:trHeight w:val="256"/>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ectPr>
          <w:pgSz w:w="11900" w:h="16838" w:orient="portrait"/>
          <w:cols w:equalWidth="0" w:num="1">
            <w:col w:w="11240"/>
          </w:cols>
          <w:pgMar w:left="320" w:top="141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Date: November 6, 2024</w:t>
      </w:r>
    </w:p>
    <w:p>
      <w:pPr>
        <w:sectPr>
          <w:pgSz w:w="11900" w:h="16838" w:orient="portrait"/>
          <w:cols w:equalWidth="0" w:num="1">
            <w:col w:w="10139"/>
          </w:cols>
          <w:pgMar w:left="320" w:top="1417"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ectPr>
          <w:pgSz w:w="11900" w:h="16838" w:orient="portrait"/>
          <w:cols w:equalWidth="0" w:num="1">
            <w:col w:w="11240"/>
          </w:cols>
          <w:pgMar w:left="320" w:top="141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Date: November 6, 2024</w:t>
      </w:r>
    </w:p>
    <w:p>
      <w:pPr>
        <w:sectPr>
          <w:pgSz w:w="11900" w:h="16838" w:orient="portrait"/>
          <w:cols w:equalWidth="0" w:num="1">
            <w:col w:w="10139"/>
          </w:cols>
          <w:pgMar w:left="320" w:top="1417" w:right="1440" w:bottom="1440" w:gutter="0" w:footer="0" w:header="0"/>
        </w:sectPr>
      </w:pPr>
    </w:p>
    <w:bookmarkStart w:id="46" w:name="page47"/>
    <w:bookmarkEnd w:id="46"/>
    <w:p>
      <w:pPr>
        <w:ind w:left="1024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September 30, 2024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2024</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1" Type="http://schemas.openxmlformats.org/officeDocument/2006/relationships/image" Target="media/image45.png"/><Relationship Id="rId66" Type="http://schemas.openxmlformats.org/officeDocument/2006/relationships/image" Target="media/image46.png"/><Relationship Id="rId52" Type="http://schemas.openxmlformats.org/officeDocument/2006/relationships/hyperlink" Target="https://www.sec.gov/Archives/edgar/data/1601830/000119312524196505/d856792dex21.htm" TargetMode="External"/><Relationship Id="rId53" Type="http://schemas.openxmlformats.org/officeDocument/2006/relationships/hyperlink" Target="https://www.sec.gov/Archives/edgar/data/0001601830/000119312521123764/d149444dex31.htm" TargetMode="External"/><Relationship Id="rId54" Type="http://schemas.openxmlformats.org/officeDocument/2006/relationships/hyperlink" Target="https://www.sec.gov/Archives/edgar/data/1601830/000160183024000009/a1-25x24amendedbylaws.htm" TargetMode="External"/><Relationship Id="rId55" Type="http://schemas.openxmlformats.org/officeDocument/2006/relationships/hyperlink" Target="https://www.sec.gov/Archives/edgar/data/0001601830/000119312521089610/d89478dex42.htm" TargetMode="External"/><Relationship Id="rId56" Type="http://schemas.openxmlformats.org/officeDocument/2006/relationships/hyperlink" Target="https://www.sec.gov/Archives/edgar/data/1601830/000160183023000036/exhibit42-valencexexchange.htm" TargetMode="External"/><Relationship Id="rId57" Type="http://schemas.openxmlformats.org/officeDocument/2006/relationships/hyperlink" Target="https://www.sec.gov/Archives/edgar/data/1601830/000119312522268003/d365090dex102.htm" TargetMode="External"/><Relationship Id="rId58" Type="http://schemas.openxmlformats.org/officeDocument/2006/relationships/hyperlink" Target="https://www.sec.gov/Archives/edgar/data/1601830/000160183023000036/exhibit43-valencexregistra.htm" TargetMode="External"/><Relationship Id="rId59" Type="http://schemas.openxmlformats.org/officeDocument/2006/relationships/hyperlink" Target="https://www.sec.gov/Archives/edgar/data/1601830/000160183023000044/exhibit41registrationagree.htm" TargetMode="External"/><Relationship Id="rId60" Type="http://schemas.openxmlformats.org/officeDocument/2006/relationships/hyperlink" Target="https://www.sec.gov/Archives/edgar/data/1601830/000160183023000050/ex102-rxrxxnvidiaregrights.htm" TargetMode="External"/><Relationship Id="rId62" Type="http://schemas.openxmlformats.org/officeDocument/2006/relationships/hyperlink" Target="https://www.sec.gov/Archives/edgar/data/1601830/000119312524196505/d856792dex101.htm" TargetMode="External"/><Relationship Id="rId63" Type="http://schemas.openxmlformats.org/officeDocument/2006/relationships/hyperlink" Target="https://www.sec.gov/Archives/edgar/data/1601830/000119312524196505/d856792dex102.htm" TargetMode="External"/><Relationship Id="rId64" Type="http://schemas.openxmlformats.org/officeDocument/2006/relationships/hyperlink" Target="https://www.sec.gov/Archives/edgar/data/1601830/000119312524196505/d856792dex103.htm" TargetMode="External"/><Relationship Id="rId65" Type="http://schemas.openxmlformats.org/officeDocument/2006/relationships/hyperlink" Target="https://www.sec.gov/Archives/edgar/data/0001601830/000160183024000140/exhibit101-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2024-11-06T15:56:58Z</dcterms:created>
  <dcterms:modified xsi:type="dcterms:W3CDTF">2024-11-06T15:56:58Z</dcterms:modified>
</cp:coreProperties>
</file>