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March 31, 2026</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680"/>
        <w:spacing w:after="0" w:line="251" w:lineRule="auto"/>
        <w:rPr>
          <w:sz w:val="20"/>
          <w:szCs w:val="20"/>
          <w:color w:val="auto"/>
        </w:rPr>
      </w:pPr>
      <w:r>
        <w:rPr>
          <w:rFonts w:ascii="Arial" w:cs="Arial" w:eastAsia="Arial" w:hAnsi="Arial"/>
          <w:sz w:val="16"/>
          <w:szCs w:val="16"/>
          <w:color w:val="auto"/>
        </w:rPr>
        <w:t>As of May 1, 2026, there were 524,677,865 and 5,227,334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19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27</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27</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31</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18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achieve milestones and receive associated milestone payments and royalties from current and future collaborations;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use our combined assets from our business combination to create a fully integrated, technology-first drug discovery platform;</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our cash burn;</w:t>
      </w:r>
    </w:p>
    <w:p>
      <w:pPr>
        <w:spacing w:after="0" w:line="7" w:lineRule="exact"/>
        <w:rPr>
          <w:rFonts w:ascii="Arial" w:cs="Arial" w:eastAsia="Arial" w:hAnsi="Arial"/>
          <w:sz w:val="17"/>
          <w:szCs w:val="17"/>
          <w:color w:val="auto"/>
        </w:rPr>
      </w:pPr>
    </w:p>
    <w:p>
      <w:pPr>
        <w:ind w:left="340" w:right="42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likelihood of our ability to shift our wet-lab from a source of data generation to a model for validating data from AI-generated results and the projected impact of our ClinTech platform on our business;</w:t>
      </w:r>
    </w:p>
    <w:p>
      <w:pPr>
        <w:spacing w:after="0" w:line="1" w:lineRule="exact"/>
        <w:rPr>
          <w:rFonts w:ascii="Arial" w:cs="Arial" w:eastAsia="Arial" w:hAnsi="Arial"/>
          <w:sz w:val="17"/>
          <w:szCs w:val="17"/>
          <w:color w:val="auto"/>
        </w:rPr>
      </w:pPr>
    </w:p>
    <w:p>
      <w:pPr>
        <w:ind w:left="340" w:right="44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7" w:lineRule="exact"/>
        <w:rPr>
          <w:rFonts w:ascii="Arial" w:cs="Arial" w:eastAsia="Arial" w:hAnsi="Arial"/>
          <w:sz w:val="17"/>
          <w:szCs w:val="17"/>
          <w:color w:val="auto"/>
        </w:rPr>
      </w:pPr>
    </w:p>
    <w:p>
      <w:pPr>
        <w:ind w:left="34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TechBio companies, including the expected impact of AI-enabled technologies;</w:t>
      </w:r>
    </w:p>
    <w:p>
      <w:pPr>
        <w:spacing w:after="0" w:line="7" w:lineRule="exact"/>
        <w:rPr>
          <w:rFonts w:ascii="Arial" w:cs="Arial" w:eastAsia="Arial" w:hAnsi="Arial"/>
          <w:sz w:val="17"/>
          <w:szCs w:val="17"/>
          <w:color w:val="auto"/>
        </w:rPr>
      </w:pPr>
    </w:p>
    <w:p>
      <w:pPr>
        <w:ind w:left="340" w:right="54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w:t>
      </w:r>
    </w:p>
    <w:p>
      <w:pPr>
        <w:spacing w:after="0" w:line="1" w:lineRule="exact"/>
        <w:rPr>
          <w:rFonts w:ascii="Arial" w:cs="Arial" w:eastAsia="Arial" w:hAnsi="Arial"/>
          <w:sz w:val="17"/>
          <w:szCs w:val="17"/>
          <w:color w:val="auto"/>
        </w:rPr>
      </w:pPr>
    </w:p>
    <w:p>
      <w:pPr>
        <w:ind w:left="340" w:right="18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7" w:lineRule="exact"/>
        <w:rPr>
          <w:rFonts w:ascii="Arial" w:cs="Arial" w:eastAsia="Arial" w:hAnsi="Arial"/>
          <w:sz w:val="17"/>
          <w:szCs w:val="17"/>
          <w:color w:val="auto"/>
        </w:rPr>
      </w:pPr>
    </w:p>
    <w:p>
      <w:pPr>
        <w:ind w:left="340" w:right="56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spacing w:after="0" w:line="1" w:lineRule="exact"/>
        <w:rPr>
          <w:rFonts w:ascii="Arial" w:cs="Arial" w:eastAsia="Arial" w:hAnsi="Arial"/>
          <w:sz w:val="17"/>
          <w:szCs w:val="17"/>
          <w:color w:val="auto"/>
        </w:rPr>
      </w:pPr>
    </w:p>
    <w:p>
      <w:pPr>
        <w:ind w:left="340" w:right="2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use machine learning and artificial intelligence in our drug development process;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our collaborations and partnerships to develop our products and grow our business;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BioHive-2 supercomputer, Recursion OS, and our digital chemistry platform;</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sell or license assets and re-invest proceeds into funding our long-term strategy;</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and to add more programs to our pipeline each year;</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generate datasets to train and develop our AI-enabled technologies;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7" w:lineRule="exact"/>
        <w:rPr>
          <w:rFonts w:ascii="Arial" w:cs="Arial" w:eastAsia="Arial" w:hAnsi="Arial"/>
          <w:sz w:val="17"/>
          <w:szCs w:val="17"/>
          <w:color w:val="auto"/>
        </w:rPr>
      </w:pPr>
    </w:p>
    <w:p>
      <w:pPr>
        <w:ind w:left="340" w:right="380" w:hanging="251"/>
        <w:spacing w:after="0" w:line="26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right="200" w:hanging="251"/>
        <w:spacing w:after="0" w:line="25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 including with respect to our AI-enabled technologies;</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7" w:lineRule="exact"/>
        <w:rPr>
          <w:rFonts w:ascii="Arial" w:cs="Arial" w:eastAsia="Arial" w:hAnsi="Arial"/>
          <w:sz w:val="17"/>
          <w:szCs w:val="17"/>
          <w:color w:val="auto"/>
        </w:rPr>
      </w:pPr>
    </w:p>
    <w:p>
      <w:pPr>
        <w:ind w:left="34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 including with respect to AI;</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13" w:lineRule="exact"/>
        <w:rPr>
          <w:rFonts w:ascii="Arial" w:cs="Arial" w:eastAsia="Arial" w:hAnsi="Arial"/>
          <w:sz w:val="17"/>
          <w:szCs w:val="17"/>
          <w:color w:val="auto"/>
        </w:rPr>
      </w:pPr>
    </w:p>
    <w:p>
      <w:pPr>
        <w:ind w:left="340" w:right="460" w:hanging="251"/>
        <w:spacing w:after="0" w:line="251"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7" w:lineRule="exact"/>
        <w:rPr>
          <w:rFonts w:ascii="Arial" w:cs="Arial" w:eastAsia="Arial" w:hAnsi="Arial"/>
          <w:sz w:val="17"/>
          <w:szCs w:val="17"/>
          <w:color w:val="auto"/>
        </w:rPr>
      </w:pPr>
    </w:p>
    <w:p>
      <w:pPr>
        <w:ind w:left="340" w:right="40" w:hanging="251"/>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spacing w:after="0" w:line="1" w:lineRule="exact"/>
        <w:rPr>
          <w:rFonts w:ascii="Arial" w:cs="Arial" w:eastAsia="Arial" w:hAnsi="Arial"/>
          <w:sz w:val="17"/>
          <w:szCs w:val="17"/>
          <w:color w:val="auto"/>
        </w:rPr>
      </w:pPr>
    </w:p>
    <w:p>
      <w:pPr>
        <w:ind w:left="340" w:right="14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4" w:lineRule="exact"/>
        <w:rPr>
          <w:rFonts w:ascii="Arial" w:cs="Arial" w:eastAsia="Arial" w:hAnsi="Arial"/>
          <w:sz w:val="17"/>
          <w:szCs w:val="17"/>
          <w:color w:val="auto"/>
        </w:rPr>
      </w:pPr>
    </w:p>
    <w:p>
      <w:pPr>
        <w:ind w:left="340" w:right="3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14" w:lineRule="exact"/>
        <w:rPr>
          <w:rFonts w:ascii="Arial" w:cs="Arial" w:eastAsia="Arial" w:hAnsi="Arial"/>
          <w:sz w:val="17"/>
          <w:szCs w:val="17"/>
          <w:color w:val="auto"/>
        </w:rPr>
      </w:pPr>
    </w:p>
    <w:p>
      <w:pPr>
        <w:ind w:left="340" w:right="8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 and disclosure controls and procedures, including our ability to remediate the material weaknesses in internal control over financial reporting;</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public offerings; and</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1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654,473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743,294</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5,511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24,649</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Prepaid data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11,742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11,742</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24,246</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709,557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812,845</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95,811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103,931</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42,816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45,339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lease right-of-use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294,073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309,903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160,170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162,158</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12,248</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12,754</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1,474,130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20,348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18,118</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32,794</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37,605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Notes payable and financing lease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129,699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147,707</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revenue, non-current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114,723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114,012</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42,842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46,647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payable and financing lease liabilities, non-current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9,564</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18,283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23,255</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314,753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343,265</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Commitments and contingencies (Note 7)</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$0.00001 par value; 2,000,000,000 shares (Class A 1,989,032,117 and Class B 10,967,883) authorized as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March 31, 2026 and December 31, 2025; 530,628,653 shares (Class A 524,464,320, Class B 5,307,334 and</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Exchangeable 856,999) and 528,182,693 shares (Class A 521,831,046, Class B 5,547,334 and Exchangeable 804,313)</w:t>
            </w: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issued and outstanding as of March 31, 2026 and December 31, 2025, respectively</w:t>
            </w: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3,191,608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3,170,145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(2,193,506)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(2,076,002)</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26,662</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1,024,769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1,130,865</w:t>
            </w:r>
          </w:p>
        </w:tc>
        <w:tc>
          <w:tcPr>
            <w:tcW w:w="0" w:type="dxa"/>
            <w:vAlign w:val="bottom"/>
          </w:tcPr>
          <w:p>
            <w:pPr>
              <w:spacing w:after="0"/>
              <w:rPr>
                <w:sz w:val="1"/>
                <w:szCs w:val="1"/>
                <w:color w:val="auto"/>
              </w:rPr>
            </w:pPr>
          </w:p>
        </w:tc>
      </w:tr>
      <w:tr>
        <w:trPr>
          <w:trHeight w:val="108"/>
        </w:trPr>
        <w:tc>
          <w:tcPr>
            <w:tcW w:w="79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1,339,522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1,474,130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726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Recursion Pharmaceuticals, Inc.</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6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7"/>
        </w:trPr>
        <w:tc>
          <w:tcPr>
            <w:tcW w:w="1280" w:type="dxa"/>
            <w:vAlign w:val="bottom"/>
          </w:tcPr>
          <w:p>
            <w:pPr>
              <w:spacing w:after="0"/>
              <w:rPr>
                <w:sz w:val="21"/>
                <w:szCs w:val="21"/>
                <w:color w:val="auto"/>
              </w:rPr>
            </w:pPr>
          </w:p>
        </w:tc>
        <w:tc>
          <w:tcPr>
            <w:tcW w:w="726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1E1E1E"/>
              </w:rPr>
              <w:t>(</w:t>
            </w:r>
            <w:r>
              <w:rPr>
                <w:rFonts w:ascii="Arial" w:cs="Arial" w:eastAsia="Arial" w:hAnsi="Arial"/>
                <w:sz w:val="18"/>
                <w:szCs w:val="18"/>
                <w:b w:val="1"/>
                <w:bCs w:val="1"/>
                <w:color w:val="000000"/>
              </w:rPr>
              <w:t>in thousands, except share and per share amounts)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522"/>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128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16"/>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r>
      <w:tr>
        <w:trPr>
          <w:trHeight w:val="229"/>
        </w:trPr>
        <w:tc>
          <w:tcPr>
            <w:tcW w:w="8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r>
      <w:tr>
        <w:trPr>
          <w:trHeight w:val="270"/>
        </w:trPr>
        <w:tc>
          <w:tcPr>
            <w:tcW w:w="85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12,490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21,829</w:t>
            </w: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129,634</w:t>
            </w:r>
          </w:p>
        </w:tc>
      </w:tr>
      <w:tr>
        <w:trPr>
          <w:trHeight w:val="229"/>
        </w:trPr>
        <w:tc>
          <w:tcPr>
            <w:tcW w:w="8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54,650</w:t>
            </w:r>
          </w:p>
        </w:tc>
      </w:tr>
      <w:tr>
        <w:trPr>
          <w:trHeight w:val="22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206,113</w:t>
            </w:r>
          </w:p>
        </w:tc>
      </w:tr>
      <w:tr>
        <w:trPr>
          <w:trHeight w:val="270"/>
        </w:trPr>
        <w:tc>
          <w:tcPr>
            <w:tcW w:w="8540" w:type="dxa"/>
            <w:vAlign w:val="bottom"/>
            <w:tcBorders>
              <w:bottom w:val="single" w:sz="8" w:color="auto"/>
            </w:tcBorders>
            <w:gridSpan w:val="2"/>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2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(191,368)</w:t>
            </w:r>
          </w:p>
        </w:tc>
      </w:tr>
      <w:tr>
        <w:trPr>
          <w:trHeight w:val="230"/>
        </w:trPr>
        <w:tc>
          <w:tcPr>
            <w:tcW w:w="8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(loss), net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r>
      <w:tr>
        <w:trPr>
          <w:trHeight w:val="223"/>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(202,645)</w:t>
            </w:r>
          </w:p>
        </w:tc>
      </w:tr>
      <w:tr>
        <w:trPr>
          <w:trHeight w:val="230"/>
        </w:trPr>
        <w:tc>
          <w:tcPr>
            <w:tcW w:w="8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8"/>
        </w:trPr>
        <w:tc>
          <w:tcPr>
            <w:tcW w:w="8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(202,487)</w:t>
            </w:r>
          </w:p>
        </w:tc>
      </w:tr>
      <w:tr>
        <w:trPr>
          <w:trHeight w:val="20"/>
        </w:trPr>
        <w:tc>
          <w:tcPr>
            <w:tcW w:w="854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8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loss per share of Class A, B and Exchangeable common stock, basic and diluted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8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(Class A, B and Exchangeable) outstanding,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529,303,984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402,771,972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1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(202,487)</w:t>
            </w:r>
          </w:p>
        </w:tc>
      </w:tr>
      <w:tr>
        <w:trPr>
          <w:trHeight w:val="270"/>
        </w:trPr>
        <w:tc>
          <w:tcPr>
            <w:tcW w:w="8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r>
      <w:tr>
        <w:trPr>
          <w:trHeight w:val="223"/>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21,782</w:t>
            </w:r>
          </w:p>
        </w:tc>
      </w:tr>
      <w:tr>
        <w:trPr>
          <w:trHeight w:val="248"/>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(180,705)</w:t>
            </w: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31" w:right="33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02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528,182,693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3,170,145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1,130,865</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(117,504)</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(117,504)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2,613,410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22,215</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22,215</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530,796,103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3,191,608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(2,193,506)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1,024,769</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3820" w:type="dxa"/>
            <w:vAlign w:val="bottom"/>
          </w:tcPr>
          <w:p>
            <w:pPr>
              <w:spacing w:after="0"/>
              <w:rPr>
                <w:sz w:val="24"/>
                <w:szCs w:val="2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line="12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2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2"/>
                <w:szCs w:val="2"/>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396,802,394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(202,487)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(202,487)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21,782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4,108,659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2,712</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36,058</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 issuance</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5,499,680</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41,024</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41,024</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costs</w:t>
            </w: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406,410,733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2,553,492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(1,633,694)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933,947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See the accompanying notes to these c</w:t>
      </w:r>
      <w:r>
        <w:rPr>
          <w:rFonts w:ascii="Arial" w:cs="Arial" w:eastAsia="Arial" w:hAnsi="Arial"/>
          <w:sz w:val="17"/>
          <w:szCs w:val="17"/>
          <w:color w:val="000000"/>
        </w:rPr>
        <w:t>ondensed</w:t>
      </w:r>
      <w:r>
        <w:rPr>
          <w:rFonts w:ascii="Arial" w:cs="Arial" w:eastAsia="Arial" w:hAnsi="Arial"/>
          <w:sz w:val="17"/>
          <w:szCs w:val="17"/>
          <w:color w:val="1E1E1E"/>
        </w:rPr>
        <w:t xml:space="preserve"> consolidated financial statements</w:t>
      </w:r>
    </w:p>
    <w:p>
      <w:pPr>
        <w:sectPr>
          <w:pgSz w:w="11900" w:h="16838" w:orient="portrait"/>
          <w:cols w:equalWidth="0" w:num="1">
            <w:col w:w="11200"/>
          </w:cols>
          <w:pgMar w:left="320" w:top="121" w:right="379" w:bottom="95"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1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2"/>
        </w:trPr>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080" w:type="dxa"/>
            <w:vAlign w:val="bottom"/>
          </w:tcPr>
          <w:p>
            <w:pPr>
              <w:ind w:left="2960"/>
              <w:spacing w:after="0"/>
              <w:rPr>
                <w:sz w:val="20"/>
                <w:szCs w:val="20"/>
                <w:color w:val="auto"/>
              </w:rPr>
            </w:pPr>
            <w:r>
              <w:rPr>
                <w:rFonts w:ascii="Arial" w:cs="Arial" w:eastAsia="Arial" w:hAnsi="Arial"/>
                <w:sz w:val="18"/>
                <w:szCs w:val="18"/>
                <w:b w:val="1"/>
                <w:bCs w:val="1"/>
                <w:color w:val="auto"/>
              </w:rPr>
              <w:t>Recursion Pharmaceuticals,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7"/>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r>
      <w:tr>
        <w:trPr>
          <w:trHeight w:val="223"/>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(117,504)</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(202,487)</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22,215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36,058</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Lease expense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5,243</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6,130</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 business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(4,597)</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 and assets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Prepaid data assets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27,131</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3,692</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development expense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(18,451)</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(26,591)</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r>
      <w:tr>
        <w:trPr>
          <w:trHeight w:val="257"/>
        </w:trPr>
        <w:tc>
          <w:tcPr>
            <w:tcW w:w="120" w:type="dxa"/>
            <w:vAlign w:val="bottom"/>
          </w:tcPr>
          <w:p>
            <w:pPr>
              <w:spacing w:after="0"/>
              <w:rPr>
                <w:sz w:val="22"/>
                <w:szCs w:val="22"/>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(81,101)</w:t>
            </w:r>
          </w:p>
        </w:tc>
        <w:tc>
          <w:tcPr>
            <w:tcW w:w="4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(131,957)</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of an intangible asset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related to disposal of a business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Purchases of investments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r>
      <w:tr>
        <w:trPr>
          <w:trHeight w:val="54"/>
        </w:trPr>
        <w:tc>
          <w:tcPr>
            <w:tcW w:w="120" w:type="dxa"/>
            <w:vAlign w:val="bottom"/>
          </w:tcPr>
          <w:p>
            <w:pPr>
              <w:spacing w:after="0"/>
              <w:rPr>
                <w:sz w:val="4"/>
                <w:szCs w:val="4"/>
                <w:color w:val="auto"/>
              </w:rPr>
            </w:pPr>
          </w:p>
        </w:tc>
        <w:tc>
          <w:tcPr>
            <w:tcW w:w="724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shares, net of issuance costs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41,024</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Repayment of long-term debt and finance lease liabilities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40,527</w:t>
            </w:r>
          </w:p>
        </w:tc>
      </w:tr>
      <w:tr>
        <w:trPr>
          <w:trHeight w:val="148"/>
        </w:trPr>
        <w:tc>
          <w:tcPr>
            <w:tcW w:w="120" w:type="dxa"/>
            <w:vAlign w:val="bottom"/>
          </w:tcPr>
          <w:p>
            <w:pPr>
              <w:spacing w:after="0"/>
              <w:rPr>
                <w:sz w:val="12"/>
                <w:szCs w:val="12"/>
                <w:color w:val="auto"/>
              </w:rPr>
            </w:pPr>
          </w:p>
        </w:tc>
        <w:tc>
          <w:tcPr>
            <w:tcW w:w="724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148"/>
        </w:trPr>
        <w:tc>
          <w:tcPr>
            <w:tcW w:w="120" w:type="dxa"/>
            <w:vAlign w:val="bottom"/>
          </w:tcPr>
          <w:p>
            <w:pPr>
              <w:spacing w:after="0"/>
              <w:rPr>
                <w:sz w:val="12"/>
                <w:szCs w:val="12"/>
                <w:color w:val="auto"/>
              </w:rPr>
            </w:pPr>
          </w:p>
        </w:tc>
        <w:tc>
          <w:tcPr>
            <w:tcW w:w="72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(88,741)</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(93,867)</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603,024</w:t>
            </w:r>
          </w:p>
        </w:tc>
      </w:tr>
      <w:tr>
        <w:trPr>
          <w:trHeight w:val="248"/>
        </w:trPr>
        <w:tc>
          <w:tcPr>
            <w:tcW w:w="120" w:type="dxa"/>
            <w:vAlign w:val="bottom"/>
          </w:tcPr>
          <w:p>
            <w:pPr>
              <w:spacing w:after="0"/>
              <w:rPr>
                <w:sz w:val="21"/>
                <w:szCs w:val="21"/>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665,180</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509,157</w:t>
            </w:r>
          </w:p>
        </w:tc>
      </w:tr>
      <w:tr>
        <w:trPr>
          <w:trHeight w:val="20"/>
        </w:trPr>
        <w:tc>
          <w:tcPr>
            <w:tcW w:w="120" w:type="dxa"/>
            <w:vAlign w:val="bottom"/>
          </w:tcPr>
          <w:p>
            <w:pPr>
              <w:spacing w:after="0" w:line="20" w:lineRule="exact"/>
              <w:rPr>
                <w:sz w:val="1"/>
                <w:szCs w:val="1"/>
                <w:color w:val="auto"/>
              </w:rPr>
            </w:pPr>
          </w:p>
        </w:tc>
        <w:tc>
          <w:tcPr>
            <w:tcW w:w="724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of an intangible asset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 of an equity investment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Recursion Pharmaceuticals, Inc. (Recursion, the Company, we or our) is a clinical stage TechBio company decoding biology and chemistry to industrialize drug discovery. The Recursion Operating System (Recursion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March 31, 2026, the Company had an accumulated deficit of $2.2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March 31, 2026,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 from the issuance date of these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2025.</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In December 2025, the FASB issued ASU No. 2025-10, </w:t>
      </w:r>
      <w:r>
        <w:rPr>
          <w:rFonts w:ascii="Arial" w:cs="Arial" w:eastAsia="Arial" w:hAnsi="Arial"/>
          <w:sz w:val="18"/>
          <w:szCs w:val="18"/>
          <w:i w:val="1"/>
          <w:iCs w:val="1"/>
          <w:color w:val="auto"/>
        </w:rPr>
        <w:t>Government Grants (Topic 832).</w:t>
      </w:r>
      <w:r>
        <w:rPr>
          <w:rFonts w:ascii="Arial" w:cs="Arial" w:eastAsia="Arial" w:hAnsi="Arial"/>
          <w:sz w:val="18"/>
          <w:szCs w:val="18"/>
          <w:color w:val="auto"/>
        </w:rPr>
        <w:t xml:space="preserve"> The new standard adds guidance to ASC 832 on the recognition, measurement and presentation of government grants. This standard will be effective for Recursion starting the annual period of 2029 and for interim reporting periods within that annual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Early adoption is permitted. The amendments can be applied on a prospective, modified prospective or retrospective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Recursion is currently assessing the impact of adopting this guidance on its consolidated financial statements.</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(Topic 350) and Revenue from Contracts with Customers (Topic 606). </w:t>
      </w:r>
      <w:r>
        <w:rPr>
          <w:rFonts w:ascii="Arial" w:cs="Arial" w:eastAsia="Arial" w:hAnsi="Arial"/>
          <w:sz w:val="18"/>
          <w:szCs w:val="18"/>
          <w:color w:val="auto"/>
        </w:rPr>
        <w:t>The new standard refines the scope of the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Topic 815 and clarifies the guidance on shared-based payments from a customer in ASC 606. This standard will be effective for Recursion starting the annual period of 2027 and for interim reporting periods within that annual reporting period. Early adoption is permitted. Recursion is currently assessing the impact of adopting this guidance on its consolidated financial statements.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internal-use software costs (Topic 350)</w:t>
      </w:r>
      <w:r>
        <w:rPr>
          <w:rFonts w:ascii="Arial" w:cs="Arial" w:eastAsia="Arial" w:hAnsi="Arial"/>
          <w:sz w:val="18"/>
          <w:szCs w:val="18"/>
          <w:color w:val="auto"/>
        </w:rPr>
        <w:t>. The new standard amends specific aspects of the accounting for internal-use software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criteria for capitalizing software costs. It also amends the related disclosure requirements. This standard will be effective for Recursion starting the annual period ending 2028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of 2027. Early adoption is permitted. The amendments can be applied on a prospective or retrospective basis. Recursion is currently assessing the impact of adopting this guidance on its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November 2023, Recursion entered into a five-year agreement (the Tempus Agreement) with Tempus AI,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$22.0 million and $42.0 million, up to $160.0 million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“Prepaid data assets” or “Accrued data liability” on the Condensed Consolidated Balance Sheet, respectively. Recursion did not purchase any records for the three months ended March 31, 2026. For the three months ended March 31, 2025, record purchases were $27.1 million.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482"/>
        </w:trPr>
        <w:tc>
          <w:tcPr>
            <w:tcW w:w="5660" w:type="dxa"/>
            <w:vAlign w:val="bottom"/>
          </w:tcPr>
          <w:p>
            <w:pPr>
              <w:spacing w:after="0"/>
              <w:rPr>
                <w:sz w:val="24"/>
                <w:szCs w:val="24"/>
                <w:color w:val="auto"/>
              </w:rPr>
            </w:pPr>
          </w:p>
        </w:tc>
        <w:tc>
          <w:tcPr>
            <w:tcW w:w="39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2025</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compute liabilities</w:t>
            </w: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expenses</w:t>
            </w:r>
          </w:p>
        </w:tc>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early discovery expenses</w:t>
            </w: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license fees</w:t>
            </w:r>
          </w:p>
        </w:tc>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2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27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70,230</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3"/>
        </w:trPr>
        <w:tc>
          <w:tcPr>
            <w:tcW w:w="5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9"/>
              </w:rPr>
              <w:t>Three months ended</w:t>
            </w:r>
          </w:p>
        </w:tc>
      </w:tr>
      <w:tr>
        <w:trPr>
          <w:trHeight w:val="243"/>
        </w:trPr>
        <w:tc>
          <w:tcPr>
            <w:tcW w:w="56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March 31, 2026 and 2025,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Ventures I</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July 2025, Recursion acquired Rallybio’s interest in the joint venture, RE Ventures I, such that Recursion now owns 100% of the interest in RE Ventures I for total consideration of $20.2 million. Recursion determined that this transaction met the criteria for as an asset acquisition since the lead asset, ENPP1 (Rec-102), an inhibitor program for the treatment of hypophosphatasia (HPP), represented substantially all of the fair value of the gross assets acquired.</w:t>
      </w:r>
    </w:p>
    <w:p>
      <w:pPr>
        <w:spacing w:after="0" w:line="20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Subsequent to closing, in August 2025, Recursion issued additional consideration as part of a required milestone payment. As a result, Recursion recorded an additional expense of $2.4 million</w:t>
      </w:r>
    </w:p>
    <w:p>
      <w:pPr>
        <w:spacing w:after="0" w:line="180" w:lineRule="exact"/>
        <w:rPr>
          <w:sz w:val="20"/>
          <w:szCs w:val="20"/>
          <w:color w:val="auto"/>
        </w:rPr>
      </w:pPr>
    </w:p>
    <w:p>
      <w:pPr>
        <w:ind w:right="860"/>
        <w:spacing w:after="0" w:line="318" w:lineRule="auto"/>
        <w:rPr>
          <w:sz w:val="20"/>
          <w:szCs w:val="20"/>
          <w:color w:val="auto"/>
        </w:rPr>
      </w:pPr>
      <w:r>
        <w:rPr>
          <w:rFonts w:ascii="Arial" w:cs="Arial" w:eastAsia="Arial" w:hAnsi="Arial"/>
          <w:sz w:val="17"/>
          <w:szCs w:val="17"/>
          <w:color w:val="auto"/>
        </w:rPr>
        <w:t>As part of the agreement, Rallybio is eligible to receive additional milestone payments under certain conditions. Milestone payment obligations that are incurred prior to regulatory approval of the compound will be expensed as acquired IPR&amp;D when recognized.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March 2025, Recursion completed the sale of its Austrian operations (Exscientia GmbH) to Alpha Biotechnology GmbH (Alpha). As part of the sale, Recursion obtained a 49% equity interest in Alpha. For the year ended December 31, 2025, Recursion recorded a loss on the disposal of Exscientia GmbH of $4.5 million, which was classified as “Other income (loss), net” on the Condensed Consolidated Statement of Operations. Recursion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recorded a $4.4 million investment on the Condensed Consolidated Balance Sheet within “Other assets, non-current” related to its 49% equity interest in Alpha, which was determined to be an equity method investment.</w:t>
      </w:r>
    </w:p>
    <w:p>
      <w:pPr>
        <w:spacing w:after="0" w:line="200" w:lineRule="exact"/>
        <w:rPr>
          <w:sz w:val="20"/>
          <w:szCs w:val="20"/>
          <w:color w:val="auto"/>
        </w:rPr>
      </w:pP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an equipment financing lease related to the supercomputer. The Company’s leases have remaining terms from under one year to seven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For the three months ended March 31, 2025, Recursion entered into operating lease modifications and terminations resulting in a decrease to the right-of-use asset and lease liability of $10.1 million. The modifications had no impact to the Condensed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4,316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5,265</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2,178</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57"/>
        </w:trPr>
        <w:tc>
          <w:tcPr>
            <w:tcW w:w="7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Right-of-use assets additions, modifications and termination:</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r>
      <w:tr>
        <w:trPr>
          <w:trHeight w:val="808"/>
        </w:trPr>
        <w:tc>
          <w:tcPr>
            <w:tcW w:w="7620" w:type="dxa"/>
            <w:vAlign w:val="bottom"/>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762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1"/>
        </w:trPr>
        <w:tc>
          <w:tcPr>
            <w:tcW w:w="7620" w:type="dxa"/>
            <w:vAlign w:val="bottom"/>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4"/>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162,158</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r>
      <w:tr>
        <w:trPr>
          <w:trHeight w:val="248"/>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2026</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160,170</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was recorded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2025</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6"/>
              <w:spacing w:after="0" w:line="147"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right"/>
              <w:ind w:right="136"/>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7"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233,086</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(79,725)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153,361</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236,497</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(69,156)</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167,341</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13,072</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(7,908)</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5,164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11,158</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135,548</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135,548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381,706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294,073</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385,678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309,903</w:t>
            </w:r>
          </w:p>
        </w:tc>
        <w:tc>
          <w:tcPr>
            <w:tcW w:w="0" w:type="dxa"/>
            <w:vAlign w:val="bottom"/>
          </w:tcPr>
          <w:p>
            <w:pPr>
              <w:spacing w:after="0"/>
              <w:rPr>
                <w:sz w:val="1"/>
                <w:szCs w:val="1"/>
                <w:color w:val="auto"/>
              </w:rPr>
            </w:pP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Amortization expense was $12.7 million and $11.7 million during the three months ended March 31, 2026 and 2025, respectively. Amortization expense was included in “Research and Development” in the Condensed Consolidated Statements of Operations. Intangible assets, net decreased by $5.2 million during the three months ended March 31, 2026 due to foreign currency translation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indefinite-lived intangible asset impairment charges were recorded during the three months ended March 31, 2026 and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March 31, 2026 and December 31, 2025,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(collectively, the Claims). On June 23, 2023,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March 31, 2026, the Company had no liability recorded for these events as an unfavorable outcome was not probable.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2026, assets pledged as collateral against finance leases totaled $15.2 million. Assets pledged as collateral are Lab Equipment reported in “Property and Equipment, net” on the Condensed Consolidated Balance Sheet. As of March 31, 2026, the liabilities associated with collateral pledged were solely comprised of a finance lease and had a carrying value of $16.2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March 31, 2026 and December 31, 2025,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Offerings</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February 2026</w:t>
      </w:r>
      <w:r>
        <w:rPr>
          <w:rFonts w:ascii="Arial" w:cs="Arial" w:eastAsia="Arial" w:hAnsi="Arial"/>
          <w:sz w:val="18"/>
          <w:szCs w:val="18"/>
          <w:color w:val="auto"/>
        </w:rPr>
        <w:t>, the Company entered into a Sales Agreement (the TD Cowen Sales Agreement) with TD Securities (USA), LLC (the TD Cowen Sales Agent), to provide for the offering, issuance and sale of up to an aggregate amount of $300 million of its Class A common stock from time to time in at-the-market offerings (the TD Cowen ATM Offering). The TD Cowen ATM Offering was made under a prospectus supplement dated February 24, 2026 and related prospectus filed with the Securities and Exchange Commission pursuant to the Company’s automatically effective shelf registration statement on Form S-3 (Registration No. 333-284878).</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three months ended March 31, 2026, the Company sold no shares. As of March 31, 2026, an amount of $300.0 million remained available for future sales under the Sales Agreement.</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 xml:space="preserve">Prior to </w:t>
      </w:r>
      <w:r>
        <w:rPr>
          <w:rFonts w:ascii="Arial" w:cs="Arial" w:eastAsia="Arial" w:hAnsi="Arial"/>
          <w:sz w:val="18"/>
          <w:szCs w:val="18"/>
          <w:color w:val="1E1E1E"/>
        </w:rPr>
        <w:t>February 2026, Recursion had entered into sales agreements with Citigroup Capital Markets Inc. and Jefferies LLC. See Note 8,</w:t>
      </w:r>
      <w:r>
        <w:rPr>
          <w:rFonts w:ascii="Arial" w:cs="Arial" w:eastAsia="Arial" w:hAnsi="Arial"/>
          <w:sz w:val="18"/>
          <w:szCs w:val="18"/>
          <w:color w:val="auto"/>
        </w:rPr>
        <w:t xml:space="preserve"> </w:t>
      </w:r>
      <w:r>
        <w:rPr>
          <w:rFonts w:ascii="Arial" w:cs="Arial" w:eastAsia="Arial" w:hAnsi="Arial"/>
          <w:sz w:val="18"/>
          <w:szCs w:val="18"/>
          <w:color w:val="1E1E1E"/>
        </w:rPr>
        <w:t xml:space="preserve">“Common Stock,” in the Company’s Annual Report on Form 10-K for the year ended </w:t>
      </w:r>
      <w:r>
        <w:rPr>
          <w:rFonts w:ascii="Arial" w:cs="Arial" w:eastAsia="Arial" w:hAnsi="Arial"/>
          <w:sz w:val="18"/>
          <w:szCs w:val="18"/>
          <w:color w:val="000000"/>
        </w:rPr>
        <w:t>December 31, 2025</w:t>
      </w:r>
      <w:r>
        <w:rPr>
          <w:rFonts w:ascii="Arial" w:cs="Arial" w:eastAsia="Arial" w:hAnsi="Arial"/>
          <w:sz w:val="14"/>
          <w:szCs w:val="14"/>
          <w:color w:val="00000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Discovery Inc. (Valence), the Company entered into an agreement to issue up to 5.9 million shares of Class A common stock (the Exchangeable Shares), that may be issued upon exchange of exchangeable shares of a subsidiary of Recursion. The Exchangeable Shares are substantially the economic equivalent of the Class A shares and classified as common stock within the Company’s stockholders’ equity. The Company’s calculation of weighted-average shares outstanding includes the exchangeable shares. As of March 31, 2026, 4.9 million Exchangeable Shares have been redeemed for Class A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in connection with the Tempus Agreement, the Company filed a registration statement for resale of the shares of Class A common stock issued or issuable under the Tempus Agreement. A new registration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statement (333-284878) was filed in February 2025 and a prospectus supplement covering all shares that have been issued under the Tempus Agreement and remained held by Tempus was filed in May 2025 and in November 2025, a prospectus supplement was filed to register shares issued to Tempus in payment for the 2025 annual fee.</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2024, in connection with the acquisition of Exscientia plc (Exscientia), the Company filed a Registration Agreement providing for the resale of the shares of Class A common stock issued for Recursion stock options and RSUs. A registration statement on Form S-8 (File No. 333-283347) was filed to register the shares for resale by the holders. The registration statement must remain effective as long as such Recursion stock options and RSUs remain outstanding.</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May 2023, in connection with the acquisition of Valence, the Company filed a Registration Agreement providing for the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January 2022</w:t>
      </w:r>
      <w:r>
        <w:rPr>
          <w:rFonts w:ascii="Arial" w:cs="Arial" w:eastAsia="Arial" w:hAnsi="Arial"/>
          <w:sz w:val="18"/>
          <w:szCs w:val="18"/>
          <w:color w:val="auto"/>
        </w:rPr>
        <w:t>,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received a $100.0 million non-refundable upfront payment. The Company has received multiple milestone payments related to this agreement totaling approximately $34.0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has determined the transaction price to be $ 154.5 million, for the initial performance obligations, comprised of the upfront payment, several milestones that have been achieved and estimated additional target exercises. Recursion has fully constrained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was unable to estimate the completion date of the performance obligations due to the current stage of 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September 2023</w:t>
      </w:r>
      <w:r>
        <w:rPr>
          <w:rFonts w:ascii="Arial" w:cs="Arial" w:eastAsia="Arial" w:hAnsi="Arial"/>
          <w:sz w:val="18"/>
          <w:szCs w:val="18"/>
          <w:color w:val="auto"/>
        </w:rPr>
        <w:t>,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Recursion has determined that it has three performance obligations related to the small molecule projects and the transaction price to be $20.1 million. Recursion has fully constrained the amounts of remaining variable consideration to be received from potential milestones. Recursion will re-evaluate the transaction price each reporting period.</w:t>
      </w:r>
    </w:p>
    <w:p>
      <w:pPr>
        <w:spacing w:after="0" w:line="20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was unable to estimate the completion date of the performance obligations due to the current stage of 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 “acceptance fee 1”), which was an acceptance fee related to the first accepted neuroscience Phenomap. In October 2025, Recursion received another $30.0 million milestone payment (“acceptance fee 2”), which was an acceptance fee related to the second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the transaction price to be $210.0 million, comprised of the upfront payment and the acceptance fees. The</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consideration did not include the $30.0 million variable consideration for the first acceptance fee until the map was accepted, which was during the third quarter of 2024. As a result of Roche’s acceptance of the neuroscience Phenomap, Recursion is now recognizing the</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acceptance fee as part of the transaction price over the completion period of one of the neuroscience performance obligations. The consideration did not include the $30.0 million variable consideration for the second acceptance fee until the map was accepted, which was during the fourth quarter of 2025. As a result of Roche’s acceptance of the neuroscience Phenomap, Recursion is now recognizing the acceptance fees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2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The Company recognizes revenue over time based on costs incurred relative to total expected costs to perform the research and development services. Recursion has estimated the completion of the performance obligations by 2028.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 the revenue recognized during the three months ended March 31, 2026 and 2025, $4.4 million and $14.7 million was included in the unearned revenue balance as of December 31, 2025 and December 31, 2024, respectively. Revenue recognized was from the upfront and variable consideration payments received from the related contracts, which decreased the aggregate unearned revenue recognized. As of March 31, 2026, the Company had $5.2 million of costs incurred to fulfill a contract on its Condensed Consolidated Balance Sheet within “Other Current Assets.”</w:t>
      </w:r>
    </w:p>
    <w:p>
      <w:pPr>
        <w:spacing w:after="0" w:line="2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March 31, 2026, 27.1 million shares of Class A common stock were available for grant in the 2021 plan. In November 2024, the Board of Directors and the stockholders of the Company adopted the 2024 Inducement Equity Incentive Plan (the 2024 Plan) as part of the Exscientia acquisition. As of March 31, 2026, 11.3 million shares of Class A common stock were available for grant in the 2024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5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w:t>
            </w:r>
          </w:p>
        </w:tc>
      </w:tr>
      <w:tr>
        <w:trPr>
          <w:trHeight w:val="243"/>
        </w:trPr>
        <w:tc>
          <w:tcPr>
            <w:tcW w:w="8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21"/>
                <w:szCs w:val="21"/>
                <w:color w:val="auto"/>
              </w:rPr>
            </w:pPr>
          </w:p>
        </w:tc>
      </w:tr>
      <w:tr>
        <w:trPr>
          <w:trHeight w:val="22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17,800</w:t>
            </w:r>
          </w:p>
        </w:tc>
      </w:tr>
      <w:tr>
        <w:trPr>
          <w:trHeight w:val="229"/>
        </w:trPr>
        <w:tc>
          <w:tcPr>
            <w:tcW w:w="8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2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35,589</w:t>
            </w: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three months ended March 31,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6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2025</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27,489,925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spacing w:after="0"/>
              <w:rPr>
                <w:sz w:val="20"/>
                <w:szCs w:val="20"/>
                <w:color w:val="auto"/>
              </w:rPr>
            </w:pPr>
            <w:r>
              <w:rPr>
                <w:rFonts w:ascii="Arial" w:cs="Arial" w:eastAsia="Arial" w:hAnsi="Arial"/>
                <w:sz w:val="18"/>
                <w:szCs w:val="18"/>
                <w:color w:val="auto"/>
              </w:rPr>
              <w:t>6,154,778</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(2,703,740)</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(2,375,565)</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2026</w:t>
            </w:r>
          </w:p>
        </w:tc>
        <w:tc>
          <w:tcPr>
            <w:tcW w:w="3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28,565,398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fair market value of RSUs vested was $18.1 million during the three months ended March 31, 2026. As of March 31, 2026, $159.1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did not incur a significant amount of U.S. income tax expense during the three months ended March 31, 2026 and 2025. The Company has historically incurred operating losses and continues to maintain a full valuation allowance against most of its U.S. net deferred tax assets. Foreign income tax benefits were $5.5 million for the three months ended March 31, 2026 and the Company did not incur a significant amount for 2025.</w:t>
      </w:r>
    </w:p>
    <w:p>
      <w:pPr>
        <w:spacing w:after="0" w:line="20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U.S. net operating loss (“NOL”) and tax credit carryforwards are subject to review and adjustment by the Internal Revenue Service (“IRS”) and may be subject to annual limitations under Section 382 of the Internal Revenue Code, as amended and similar state provisions in the event of certain ownership changes. These ownership changes may limit the amount of NOLs and other tax attributes that can be utilized annually to offset future taxable income. In general, an ownership change, as defined by Section 382, occurs when the ownership of certain shareholders or public groups increases by more than 50% over a rolling three-year period. As of March 31, 2026, the Company completed a Section 382 study covering the period through January 31, 2025 and concluded that a deemed ownership change occurred on September 25, 2017. As a result, the Company’s ability to utilize its NOLs and other tax attributes may be subject to annual limitations. The Company will continue to monitor ownership changes that could result in additional limitations on the utilization of its tax attributes.</w:t>
      </w:r>
    </w:p>
    <w:p>
      <w:pPr>
        <w:spacing w:after="0" w:line="20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Company files income tax returns in the United States (federal and various state jurisdictions), Canada and the United Kingdom and is subject to examination by taxing authorities in these jurisdictions. The Company is not currently under examination by any taxing authority. For U.S. federal income tax purposes, tax years beginning with 2016 remain open for examination.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three months ended March 31, 2026 and 2025,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three months ended March 31, 2026 and 2025, the Company reported a net loss and therefore basic and diluted loss per share were the same.</w:t>
      </w: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months ended March 31, 2026 and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529,303,984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402,771,972</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60" w:type="dxa"/>
            <w:vAlign w:val="bottom"/>
          </w:tcPr>
          <w:p>
            <w:pPr>
              <w:spacing w:after="0"/>
              <w:rPr>
                <w:sz w:val="20"/>
                <w:szCs w:val="20"/>
                <w:color w:val="auto"/>
              </w:rPr>
            </w:pPr>
          </w:p>
        </w:tc>
        <w:tc>
          <w:tcPr>
            <w:tcW w:w="29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2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5,504,219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11,896,288</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Tempus agreement</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5,369,128</w:t>
            </w:r>
          </w:p>
        </w:tc>
      </w:tr>
      <w:tr>
        <w:trPr>
          <w:trHeight w:val="275"/>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5,504,219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17,265,416</w:t>
            </w:r>
          </w:p>
        </w:tc>
      </w:tr>
      <w:tr>
        <w:trPr>
          <w:trHeight w:val="20"/>
        </w:trPr>
        <w:tc>
          <w:tcPr>
            <w:tcW w:w="8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 The Company also holds restricted cash as required by several grant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March 31, 2026</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609,031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609,031</w:t>
            </w:r>
          </w:p>
        </w:tc>
        <w:tc>
          <w:tcPr>
            <w:tcW w:w="26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665,180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665,180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2025</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5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670,667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670,667</w:t>
            </w:r>
          </w:p>
        </w:tc>
        <w:tc>
          <w:tcPr>
            <w:tcW w:w="26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5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753,921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4"/>
          </w:tcPr>
          <w:p>
            <w:pPr>
              <w:ind w:left="1220"/>
              <w:spacing w:after="0"/>
              <w:rPr>
                <w:sz w:val="20"/>
                <w:szCs w:val="20"/>
                <w:color w:val="auto"/>
              </w:rPr>
            </w:pPr>
            <w:r>
              <w:rPr>
                <w:rFonts w:ascii="Arial" w:cs="Arial" w:eastAsia="Arial" w:hAnsi="Arial"/>
                <w:sz w:val="16"/>
                <w:szCs w:val="16"/>
                <w:b w:val="1"/>
                <w:bCs w:val="1"/>
                <w:color w:val="auto"/>
              </w:rPr>
              <w:t>Book values</w:t>
            </w:r>
          </w:p>
        </w:tc>
        <w:tc>
          <w:tcPr>
            <w:tcW w:w="260" w:type="dxa"/>
            <w:vAlign w:val="bottom"/>
          </w:tcPr>
          <w:p>
            <w:pPr>
              <w:spacing w:after="0"/>
              <w:rPr>
                <w:sz w:val="18"/>
                <w:szCs w:val="18"/>
                <w:color w:val="auto"/>
              </w:rPr>
            </w:pPr>
          </w:p>
        </w:tc>
        <w:tc>
          <w:tcPr>
            <w:tcW w:w="370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2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3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260" w:type="dxa"/>
            <w:vAlign w:val="bottom"/>
            <w:vMerge w:val="continue"/>
            <w:shd w:val="clear" w:color="auto" w:fill="CCEEFF"/>
          </w:tcPr>
          <w:p>
            <w:pPr>
              <w:spacing w:after="0"/>
              <w:rPr>
                <w:sz w:val="20"/>
                <w:szCs w:val="20"/>
                <w:color w:val="auto"/>
              </w:rPr>
            </w:pPr>
          </w:p>
        </w:tc>
        <w:tc>
          <w:tcPr>
            <w:tcW w:w="168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7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68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080" w:type="dxa"/>
            <w:vAlign w:val="bottom"/>
          </w:tcPr>
          <w:p>
            <w:pPr>
              <w:ind w:left="20"/>
              <w:spacing w:after="0" w:line="183" w:lineRule="exact"/>
              <w:rPr>
                <w:sz w:val="20"/>
                <w:szCs w:val="20"/>
                <w:color w:val="auto"/>
              </w:rPr>
            </w:pPr>
            <w:r>
              <w:rPr>
                <w:rFonts w:ascii="Arial" w:cs="Arial" w:eastAsia="Arial" w:hAnsi="Arial"/>
                <w:sz w:val="18"/>
                <w:szCs w:val="18"/>
                <w:color w:val="auto"/>
              </w:rPr>
              <w:t>Notes payable and financing lease</w:t>
            </w: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(CODM) is its Chief Executive Officer. The CODM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Recursion’s segment revenue, significant segment expenses, and segment net loss:</w:t>
      </w:r>
    </w:p>
    <w:p>
      <w:pPr>
        <w:spacing w:after="0" w:line="29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5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r>
      <w:tr>
        <w:trPr>
          <w:trHeight w:val="270"/>
        </w:trPr>
        <w:tc>
          <w:tcPr>
            <w:tcW w:w="8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8460" w:type="dxa"/>
            <w:vAlign w:val="bottom"/>
          </w:tcPr>
          <w:p>
            <w:pPr>
              <w:ind w:left="20"/>
              <w:spacing w:after="0"/>
              <w:rPr>
                <w:sz w:val="20"/>
                <w:szCs w:val="20"/>
                <w:color w:val="auto"/>
              </w:rPr>
            </w:pPr>
            <w:r>
              <w:rPr>
                <w:rFonts w:ascii="Arial" w:cs="Arial" w:eastAsia="Arial" w:hAnsi="Arial"/>
                <w:sz w:val="18"/>
                <w:szCs w:val="18"/>
                <w:color w:val="auto"/>
              </w:rPr>
              <w:t>Salaries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74,298</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83,554</w:t>
            </w:r>
          </w:p>
        </w:tc>
      </w:tr>
      <w:tr>
        <w:trPr>
          <w:trHeight w:val="25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54,677</w:t>
            </w:r>
          </w:p>
        </w:tc>
      </w:tr>
      <w:tr>
        <w:trPr>
          <w:trHeight w:val="257"/>
        </w:trPr>
        <w:tc>
          <w:tcPr>
            <w:tcW w:w="8460" w:type="dxa"/>
            <w:vAlign w:val="bottom"/>
          </w:tcPr>
          <w:p>
            <w:pPr>
              <w:ind w:left="20"/>
              <w:spacing w:after="0"/>
              <w:rPr>
                <w:sz w:val="20"/>
                <w:szCs w:val="20"/>
                <w:color w:val="auto"/>
              </w:rPr>
            </w:pPr>
            <w:r>
              <w:rPr>
                <w:rFonts w:ascii="Arial" w:cs="Arial" w:eastAsia="Arial" w:hAnsi="Arial"/>
                <w:sz w:val="18"/>
                <w:szCs w:val="18"/>
                <w:color w:val="auto"/>
              </w:rPr>
              <w:t>Platform</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7,614</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8,765</w:t>
            </w:r>
          </w:p>
        </w:tc>
      </w:tr>
      <w:tr>
        <w:trPr>
          <w:trHeight w:val="25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r>
      <w:tr>
        <w:trPr>
          <w:trHeight w:val="256"/>
        </w:trPr>
        <w:tc>
          <w:tcPr>
            <w:tcW w:w="84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6,569</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10,564</w:t>
            </w:r>
          </w:p>
        </w:tc>
      </w:tr>
      <w:tr>
        <w:trPr>
          <w:trHeight w:val="25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r>
      <w:tr>
        <w:trPr>
          <w:trHeight w:val="25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segment items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r>
      <w:tr>
        <w:trPr>
          <w:trHeight w:val="25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128,505</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191,368</w:t>
            </w:r>
          </w:p>
        </w:tc>
      </w:tr>
      <w:tr>
        <w:trPr>
          <w:trHeight w:val="256"/>
        </w:trPr>
        <w:tc>
          <w:tcPr>
            <w:tcW w:w="8460" w:type="dxa"/>
            <w:vAlign w:val="bottom"/>
          </w:tcPr>
          <w:p>
            <w:pPr>
              <w:ind w:left="20"/>
              <w:spacing w:after="0"/>
              <w:rPr>
                <w:sz w:val="20"/>
                <w:szCs w:val="20"/>
                <w:color w:val="auto"/>
              </w:rPr>
            </w:pPr>
            <w:r>
              <w:rPr>
                <w:rFonts w:ascii="Arial" w:cs="Arial" w:eastAsia="Arial" w:hAnsi="Arial"/>
                <w:sz w:val="18"/>
                <w:szCs w:val="18"/>
                <w:color w:val="auto"/>
              </w:rPr>
              <w:t>Other non-operating income (loss),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6,397</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(11,277)</w:t>
            </w:r>
          </w:p>
        </w:tc>
      </w:tr>
      <w:tr>
        <w:trPr>
          <w:trHeight w:val="257"/>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segment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202,487</w:t>
            </w: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2"/>
        </w:trPr>
        <w:tc>
          <w:tcPr>
            <w:tcW w:w="8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2"/>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1"/>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b w:val="1"/>
          <w:bCs w:val="1"/>
          <w:color w:val="1E1E1E"/>
        </w:rPr>
        <w:t>.</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and the results of our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2025 (the 2025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2025 Annual Report and in our subsequent Quarterly Reports on Form 10-Q, including this Quarterly Report on Form 10-Q,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Recursion is a clinical-stage TechBio company with a mission to decode biology to radically improve lives. We have advanced a portfolio of differentiated internal programs and strategic partnerships powered by our integrated drug discovery and development platform, the Recursion Operating System (OS). This platform provides end-to-end, AI-native capabilities that span from novel biological ideas through the clinic, integrating multimodal biological data</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generation, AI-powered small molecule synthesis, and AI-enabled clinical development. All of our technologies are designed to translate complex science into medicines that matter — faster, better, and at scale — for patients who are waiting.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Wholly Owned Pipeline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6350</wp:posOffset>
            </wp:positionV>
            <wp:extent cx="5006340" cy="263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63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Favorable Safety and PK Data for REC-1245 (RBM39):</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Preliminary safety and pharmacokinetic (PK) data from REC-1245, a potential first-in-class RBM39 degrader discovered and developed using Recursion’s platform, highlight early clinical progress for a novel approach to targeting cancer vulnerabilities linked to replication stress and DNA repair.</w:t>
      </w:r>
    </w:p>
    <w:p>
      <w:pPr>
        <w:spacing w:after="0" w:line="198"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REC-1245 advanced from biological discovery to development candidate in 18 months, more than twice as fast as the industry average, demonstrating Recursion’s ability to identify novel targets and design differentiated molecules using its integrated AI-enabled platform.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data from the ongoing Phase 1/2 DAHLIA study show:</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REC-1245 was well-tolerated across select solid tumors (n=16)</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dose-limiting toxicities (DLTs) have been observed to date, and the maximum tolerated dose has not yet been reached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majority of TRAEs were Grade 1 or 2, most common GI-related events were constipation, nausea, and vomiting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Pharmacokinetic analysis demonstrates predictable, dose-dependent exposure across evaluated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Pharmacodynamic assessments demonstrate target engagement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Dose escalation is ongoing to determine the recommended Phase 2 dose for monotherapy expansion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212090</wp:posOffset>
            </wp:positionV>
            <wp:extent cx="3600450" cy="934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0" cy="934720"/>
                    </a:xfrm>
                    <a:prstGeom prst="rect">
                      <a:avLst/>
                    </a:prstGeom>
                    <a:noFill/>
                  </pic:spPr>
                </pic:pic>
              </a:graphicData>
            </a:graphic>
          </wp:anchor>
        </w:drawing>
      </w:r>
    </w:p>
    <w:p>
      <w:pPr>
        <w:spacing w:after="0" w:line="32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Treatment-Related Adverse Event (TRAE)</w:t>
      </w:r>
    </w:p>
    <w:p>
      <w:pPr>
        <w:spacing w:after="0" w:line="4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Patients (n=16)</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9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Patients with any TRAE</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(62.5%)</w:t>
            </w:r>
          </w:p>
        </w:tc>
      </w:tr>
      <w:tr>
        <w:trPr>
          <w:trHeight w:val="223"/>
        </w:trPr>
        <w:tc>
          <w:tcPr>
            <w:tcW w:w="2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Grade 1-2</w:t>
            </w:r>
          </w:p>
        </w:tc>
        <w:tc>
          <w:tcPr>
            <w:tcW w:w="274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9 (56.3%)</w:t>
            </w:r>
          </w:p>
        </w:tc>
      </w:tr>
      <w:tr>
        <w:trPr>
          <w:trHeight w:val="223"/>
        </w:trPr>
        <w:tc>
          <w:tcPr>
            <w:tcW w:w="2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Grade 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w:t>
            </w:r>
          </w:p>
        </w:tc>
      </w:tr>
      <w:tr>
        <w:trPr>
          <w:trHeight w:val="232"/>
        </w:trPr>
        <w:tc>
          <w:tcPr>
            <w:tcW w:w="2920" w:type="dxa"/>
            <w:vAlign w:val="bottom"/>
          </w:tcPr>
          <w:p>
            <w:pPr>
              <w:ind w:left="240"/>
              <w:spacing w:after="0"/>
              <w:rPr>
                <w:sz w:val="20"/>
                <w:szCs w:val="20"/>
                <w:color w:val="auto"/>
              </w:rPr>
            </w:pPr>
            <w:r>
              <w:rPr>
                <w:rFonts w:ascii="Arial" w:cs="Arial" w:eastAsia="Arial" w:hAnsi="Arial"/>
                <w:sz w:val="18"/>
                <w:szCs w:val="18"/>
                <w:color w:val="auto"/>
              </w:rPr>
              <w:t>Grade 4-5</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tcPr>
          <w:p>
            <w:pPr>
              <w:ind w:left="20"/>
              <w:spacing w:after="0"/>
              <w:rPr>
                <w:sz w:val="20"/>
                <w:szCs w:val="20"/>
                <w:color w:val="auto"/>
              </w:rPr>
            </w:pPr>
            <w:r>
              <w:rPr>
                <w:rFonts w:ascii="Arial" w:cs="Arial" w:eastAsia="Arial" w:hAnsi="Arial"/>
                <w:sz w:val="18"/>
                <w:szCs w:val="18"/>
                <w:color w:val="auto"/>
              </w:rPr>
              <w:t>(0.0%)</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Momentum for REC-4881 (MEK1/2):</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REC-4881 is an allosteric MEK1/2 inhibitor being developed for familial adenomatous polyposis (FAP), a genetically defined disease driven by APC loss. Based on platform insights into MAPK pathway modulation in APC-deficient systems, REC-4881 represents a targeted approach to addressing the underlying biology of disease progression:</w:t>
      </w:r>
    </w:p>
    <w:p>
      <w:pPr>
        <w:spacing w:after="0" w:line="198" w:lineRule="exact"/>
        <w:rPr>
          <w:sz w:val="20"/>
          <w:szCs w:val="20"/>
          <w:color w:val="auto"/>
        </w:rPr>
      </w:pPr>
    </w:p>
    <w:p>
      <w:pPr>
        <w:ind w:left="660" w:right="18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 positive proof-of-concept clinical data showed a median 43% reduction in polyp burden at Week 13, deepening to 53% at Week 25 following a treatment break, with 40% of patients demonstrating improvement in Spigelman stage, supporting a differentiated and durable profile in FAP.</w:t>
      </w:r>
    </w:p>
    <w:p>
      <w:pPr>
        <w:spacing w:after="0" w:line="1" w:lineRule="exact"/>
        <w:rPr>
          <w:rFonts w:ascii="Arial" w:cs="Arial" w:eastAsia="Arial" w:hAnsi="Arial"/>
          <w:sz w:val="18"/>
          <w:szCs w:val="18"/>
          <w:color w:val="auto"/>
        </w:rPr>
      </w:pPr>
    </w:p>
    <w:p>
      <w:pPr>
        <w:ind w:left="660" w:right="38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was consistent with MEK1/2 inhibition, with mostly Grade 1–2 TRAEs, Grade 3 events in 15.8% of patients, no Grade ≥4 TRAEs, and commonly including dermatitis acneiform/rash and increased CPK.</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Recursion has initiated FDA engagement to align on a potential registrational study design, with an update expected in the second half of 2026. Expansion of TUPELO to include patients aged 18+ to support a broader development strategy is also ongoing.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Patient Dosed in REC-4539 (LSD1 inhibitor):</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REC-4539, an AI-designed, LSD1 inhibitor, highlights early progress for a differentiated approach to targeting epigenetic drivers in cancer. In April, the first patient was dosed in the ENLYGHT Phase 1 clinical study for solid tumors, including small cell lung cancer (SCLC).</w:t>
      </w:r>
    </w:p>
    <w:p>
      <w:pPr>
        <w:spacing w:after="0" w:line="18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REC-4539 was precision designed to have a reversible mechanism and shorter predicted human half-life to address treatment-limiting platelet toxicity observed with other LSD1 inhibitors, enabling a potentially differentiated profile across solid tumors and hematologic malignancies.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differentiated, CNS-penetrant development candidate was delivered in approximately 20 months through Recursion’s AI-native design platform, demonstrating the Company’s ability to rapidly translate platform insights into optimized clinical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rest of the portfolio, programs continue to progress as planned.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upcoming milestones across Recursion’s wholly-owned pipeline:</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REC-4881 (MEK1/2):</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Regulatory update expected in 2H26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Additional Phase 1b/2 clinical data expected in 1H27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REC-1245 (RBM39): Additional Phase 1 dose escalation data expected in 2H26</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REC-7735 (PI3Kα H1047R) and REC-102 (ENPP1): IND-enabling studies ongoing; data-driven go/no-go decision on Phase 1 initiation expected in 2H26</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REC-617 (CDK7): Early Phase 1 safety and PK combination data expected in 1H27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REC-3565 (MALT1): Early Phase 1 safety and PK monotherapy data expected in 1H27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REC-4539 (LSD1): Early Phase 1 safety and PK monotherapy data expected in 2H27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Advancing partnered discovery, with over $500 million in milestone and upfront payments achieved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172085</wp:posOffset>
            </wp:positionV>
            <wp:extent cx="4937760" cy="241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776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Meaningful upcoming milestones across partnered discovery: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 continues to advance partnered programs that leverage complementary strengths of the Recursion OS.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AI-enabled chemistry, Sanofi and Recursion joint programs continue progressing toward development candidate designation and earlier-stage milestones over the next 12 months, including programs designed against challenging targets in immunology and oncology.</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AI-enabled biology, Recursion expects to continue jointly translating insights from its large-scale maps of biology delivered to Roche and Genentech into potential target validation milestones over the next 12 months. The maps, jointly built by Recursion, Roche and Genentech are disease-relevant high-content maps built at large scale, including a Neuron map generated from a subset of 1 trillion internally manufactured iPSC-derived neuronal cells and a Microglia map generated from more than 100 billion internally manufactured iPSC-derived microglial cells. Additionally, we are combining our phenomics dataset with Roche and Genentech’s proprietary transcriptomics data to build multi-modal maps designed to explore potential novel targets and pathways by systematically linking gene perturbations to cellular phenotypes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Recursion OS Advances: Driving platform innovations, grounded in impact</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Full Stack AI-powered Platform: </w:t>
      </w:r>
      <w:r>
        <w:rPr>
          <w:rFonts w:ascii="Arial" w:cs="Arial" w:eastAsia="Arial" w:hAnsi="Arial"/>
          <w:sz w:val="18"/>
          <w:szCs w:val="18"/>
          <w:color w:val="auto"/>
        </w:rPr>
        <w:t>The Recursion Operating System (OS) is continuing to drive program development by integrating AI</w:t>
      </w:r>
      <w:r>
        <w:rPr>
          <w:rFonts w:ascii="Arial" w:cs="Arial" w:eastAsia="Arial" w:hAnsi="Arial"/>
          <w:sz w:val="18"/>
          <w:szCs w:val="18"/>
          <w:b w:val="1"/>
          <w:bCs w:val="1"/>
          <w:color w:val="auto"/>
        </w:rPr>
        <w:t xml:space="preserve"> </w:t>
      </w:r>
      <w:r>
        <w:rPr>
          <w:rFonts w:ascii="Arial" w:cs="Arial" w:eastAsia="Arial" w:hAnsi="Arial"/>
          <w:sz w:val="18"/>
          <w:szCs w:val="18"/>
          <w:color w:val="auto"/>
        </w:rPr>
        <w:t>across multimodal biology, precision design, and next-generation clinical development—enabling faster, more efficient, and more innovative drug discovery and development from biology to insight, insight to molecule, and molecule to patient.</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 xml:space="preserve">State of the Art Transcriptomics Models: </w:t>
      </w:r>
      <w:r>
        <w:rPr>
          <w:rFonts w:ascii="Arial" w:cs="Arial" w:eastAsia="Arial" w:hAnsi="Arial"/>
          <w:sz w:val="18"/>
          <w:szCs w:val="18"/>
          <w:color w:val="auto"/>
        </w:rPr>
        <w:t>Built to better connect Recursion’s proprietary perturbational biology with patient biology to find</w:t>
      </w:r>
      <w:r>
        <w:rPr>
          <w:rFonts w:ascii="Arial" w:cs="Arial" w:eastAsia="Arial" w:hAnsi="Arial"/>
          <w:sz w:val="18"/>
          <w:szCs w:val="18"/>
          <w:b w:val="1"/>
          <w:bCs w:val="1"/>
          <w:color w:val="auto"/>
        </w:rPr>
        <w:t xml:space="preserve"> </w:t>
      </w:r>
      <w:r>
        <w:rPr>
          <w:rFonts w:ascii="Arial" w:cs="Arial" w:eastAsia="Arial" w:hAnsi="Arial"/>
          <w:sz w:val="18"/>
          <w:szCs w:val="18"/>
          <w:color w:val="auto"/>
        </w:rPr>
        <w:t>novel insights and medicines, the integration of these models help bridge the translation gap between what we see in the lab and what matters in disease:</w:t>
      </w:r>
    </w:p>
    <w:p>
      <w:pPr>
        <w:spacing w:after="0" w:line="198" w:lineRule="exact"/>
        <w:rPr>
          <w:sz w:val="20"/>
          <w:szCs w:val="20"/>
          <w:color w:val="auto"/>
        </w:rPr>
      </w:pPr>
    </w:p>
    <w:p>
      <w:pPr>
        <w:ind w:left="660" w:right="30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TxPert, recently featured in Nature Biotechnology, is a proof-of-principle model for predicting transcriptomic responses to perturbations. The model can generalize beyond its training data, including predicting responses to unseen single-gene perturbations, novel combinations, and known perturbations in new cell types—enabling more efficient hypothesis generation and experimental prioritization, and laying the foundation for Recursion's Virtual Cell.</w:t>
      </w:r>
    </w:p>
    <w:p>
      <w:pPr>
        <w:spacing w:after="0" w:line="2"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TxFM, presented at the ICLR Workshop on Foundation Models for Science, is a transcriptomics foundation model designed to connect lab perturbations with patient biology within the Recursion OS. Trained on a large, curated dataset of public and proprietary data, it outperforms 16 leading foundation models and baselines, including models trained on datasets 10–100x larger. Beyond enabling target identification, mechanistic understanding, and patient stratification, TxFM's superior batch correction and denoising drive operational efficiency—reducing experimental re-runs, enabling cross-experiment comparisons, and increasing the value of every sequencing dollar spent.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2024</w:t>
      </w:r>
      <w:r>
        <w:rPr>
          <w:rFonts w:ascii="Arial" w:cs="Arial" w:eastAsia="Arial" w:hAnsi="Arial"/>
          <w:sz w:val="18"/>
          <w:szCs w:val="18"/>
          <w:color w:val="auto"/>
        </w:rPr>
        <w:t xml:space="preserve">, our financing and operations activities include the following: In June 2024, we issued an aggregate of 35.4 million shares of our Class A common stock at a purchase price of </w:t>
      </w:r>
      <w:r>
        <w:rPr>
          <w:rFonts w:ascii="Arial" w:cs="Arial" w:eastAsia="Arial" w:hAnsi="Arial"/>
          <w:sz w:val="18"/>
          <w:szCs w:val="18"/>
          <w:color w:val="1E1E1E"/>
        </w:rPr>
        <w:t>$6.50</w:t>
      </w:r>
      <w:r>
        <w:rPr>
          <w:rFonts w:ascii="Arial" w:cs="Arial" w:eastAsia="Arial" w:hAnsi="Arial"/>
          <w:sz w:val="18"/>
          <w:szCs w:val="18"/>
          <w:color w:val="auto"/>
        </w:rPr>
        <w:t xml:space="preserve"> per share and received net proceeds of $216.4 million</w:t>
      </w:r>
      <w:r>
        <w:rPr>
          <w:rFonts w:ascii="Arial" w:cs="Arial" w:eastAsia="Arial" w:hAnsi="Arial"/>
          <w:sz w:val="18"/>
          <w:szCs w:val="18"/>
          <w:color w:val="1E1E1E"/>
        </w:rPr>
        <w:t>, after deducting</w:t>
      </w:r>
      <w:r>
        <w:rPr>
          <w:rFonts w:ascii="Arial" w:cs="Arial" w:eastAsia="Arial" w:hAnsi="Arial"/>
          <w:sz w:val="18"/>
          <w:szCs w:val="18"/>
          <w:color w:val="auto"/>
        </w:rPr>
        <w:t xml:space="preserve"> transaction costs of $13.6 million. </w:t>
      </w:r>
      <w:r>
        <w:rPr>
          <w:rFonts w:ascii="Arial" w:cs="Arial" w:eastAsia="Arial" w:hAnsi="Arial"/>
          <w:sz w:val="18"/>
          <w:szCs w:val="18"/>
          <w:color w:val="1E1E1E"/>
        </w:rPr>
        <w:t>In September 2024, we received a Phenomap acceptance fee of</w:t>
      </w:r>
      <w:r>
        <w:rPr>
          <w:rFonts w:ascii="Arial" w:cs="Arial" w:eastAsia="Arial" w:hAnsi="Arial"/>
          <w:sz w:val="18"/>
          <w:szCs w:val="18"/>
          <w:color w:val="auto"/>
        </w:rPr>
        <w:t xml:space="preserve"> $30.0 million </w:t>
      </w:r>
      <w:r>
        <w:rPr>
          <w:rFonts w:ascii="Arial" w:cs="Arial" w:eastAsia="Arial" w:hAnsi="Arial"/>
          <w:sz w:val="18"/>
          <w:szCs w:val="18"/>
          <w:color w:val="1E1E1E"/>
        </w:rPr>
        <w:t>from our collaboration with Roche. In</w:t>
      </w:r>
      <w:r>
        <w:rPr>
          <w:rFonts w:ascii="Arial" w:cs="Arial" w:eastAsia="Arial" w:hAnsi="Arial"/>
          <w:sz w:val="18"/>
          <w:szCs w:val="18"/>
          <w:color w:val="auto"/>
        </w:rPr>
        <w:t xml:space="preserve"> </w:t>
      </w:r>
      <w:r>
        <w:rPr>
          <w:rFonts w:ascii="Arial" w:cs="Arial" w:eastAsia="Arial" w:hAnsi="Arial"/>
          <w:sz w:val="18"/>
          <w:szCs w:val="18"/>
          <w:color w:val="1E1E1E"/>
        </w:rPr>
        <w:t xml:space="preserve">February 2025, the Company terminated the Sales Agreement with Jefferies LLC and entered into a Sales Agreement with Citigroup Capital Markets Inc., to provide for the offering, issuance and sale of up to an aggregate amount of </w:t>
      </w:r>
      <w:r>
        <w:rPr>
          <w:rFonts w:ascii="Arial" w:cs="Arial" w:eastAsia="Arial" w:hAnsi="Arial"/>
          <w:sz w:val="18"/>
          <w:szCs w:val="18"/>
          <w:color w:val="000000"/>
        </w:rPr>
        <w:t>$500.0 million</w:t>
      </w:r>
      <w:r>
        <w:rPr>
          <w:rFonts w:ascii="Arial" w:cs="Arial" w:eastAsia="Arial" w:hAnsi="Arial"/>
          <w:sz w:val="18"/>
          <w:szCs w:val="18"/>
          <w:color w:val="1E1E1E"/>
        </w:rPr>
        <w:t xml:space="preserve"> of its Class A common stock. In </w:t>
      </w:r>
      <w:r>
        <w:rPr>
          <w:rFonts w:ascii="Arial" w:cs="Arial" w:eastAsia="Arial" w:hAnsi="Arial"/>
          <w:sz w:val="18"/>
          <w:szCs w:val="18"/>
          <w:color w:val="000000"/>
        </w:rPr>
        <w:t>2025</w:t>
      </w:r>
      <w:r>
        <w:rPr>
          <w:rFonts w:ascii="Arial" w:cs="Arial" w:eastAsia="Arial" w:hAnsi="Arial"/>
          <w:sz w:val="18"/>
          <w:szCs w:val="18"/>
          <w:color w:val="1E1E1E"/>
        </w:rPr>
        <w:t>, the Company sold</w:t>
      </w:r>
      <w:r>
        <w:rPr>
          <w:rFonts w:ascii="Arial" w:cs="Arial" w:eastAsia="Arial" w:hAnsi="Arial"/>
          <w:sz w:val="18"/>
          <w:szCs w:val="18"/>
          <w:color w:val="000000"/>
        </w:rPr>
        <w:t xml:space="preserve"> 99.9 million </w:t>
      </w:r>
      <w:r>
        <w:rPr>
          <w:rFonts w:ascii="Arial" w:cs="Arial" w:eastAsia="Arial" w:hAnsi="Arial"/>
          <w:sz w:val="18"/>
          <w:szCs w:val="18"/>
          <w:color w:val="1E1E1E"/>
        </w:rPr>
        <w:t>shares and received net proceeds of</w:t>
      </w:r>
      <w:r>
        <w:rPr>
          <w:rFonts w:ascii="Arial" w:cs="Arial" w:eastAsia="Arial" w:hAnsi="Arial"/>
          <w:sz w:val="18"/>
          <w:szCs w:val="18"/>
          <w:color w:val="000000"/>
        </w:rPr>
        <w:t xml:space="preserve"> $491.7 million </w:t>
      </w:r>
      <w:r>
        <w:rPr>
          <w:rFonts w:ascii="Arial" w:cs="Arial" w:eastAsia="Arial" w:hAnsi="Arial"/>
          <w:sz w:val="18"/>
          <w:szCs w:val="18"/>
          <w:color w:val="1E1E1E"/>
        </w:rPr>
        <w:t>under the agreement. Pursuant to its terms, the</w:t>
      </w:r>
      <w:r>
        <w:rPr>
          <w:rFonts w:ascii="Arial" w:cs="Arial" w:eastAsia="Arial" w:hAnsi="Arial"/>
          <w:sz w:val="18"/>
          <w:szCs w:val="18"/>
          <w:color w:val="000000"/>
        </w:rPr>
        <w:t xml:space="preserve"> </w:t>
      </w:r>
      <w:r>
        <w:rPr>
          <w:rFonts w:ascii="Arial" w:cs="Arial" w:eastAsia="Arial" w:hAnsi="Arial"/>
          <w:sz w:val="18"/>
          <w:szCs w:val="18"/>
          <w:color w:val="1E1E1E"/>
        </w:rPr>
        <w:t xml:space="preserve">Sales Agreement was completed and no amount remained available for future sales. In </w:t>
      </w:r>
      <w:r>
        <w:rPr>
          <w:rFonts w:ascii="Arial" w:cs="Arial" w:eastAsia="Arial" w:hAnsi="Arial"/>
          <w:sz w:val="18"/>
          <w:szCs w:val="18"/>
          <w:color w:val="000000"/>
        </w:rPr>
        <w:t>2025</w:t>
      </w:r>
      <w:r>
        <w:rPr>
          <w:rFonts w:ascii="Arial" w:cs="Arial" w:eastAsia="Arial" w:hAnsi="Arial"/>
          <w:sz w:val="18"/>
          <w:szCs w:val="18"/>
          <w:color w:val="1E1E1E"/>
        </w:rPr>
        <w:t xml:space="preserve">, we received multiple milestone payments related to our collaborative development contracts totaling </w:t>
      </w:r>
      <w:r>
        <w:rPr>
          <w:rFonts w:ascii="Arial" w:cs="Arial" w:eastAsia="Arial" w:hAnsi="Arial"/>
          <w:sz w:val="18"/>
          <w:szCs w:val="18"/>
          <w:color w:val="000000"/>
        </w:rPr>
        <w:t>$37.0 million, with aggregate milestone inflows in 2026 of $4.0 million.</w:t>
      </w:r>
      <w:r>
        <w:rPr>
          <w:rFonts w:ascii="Arial" w:cs="Arial" w:eastAsia="Arial" w:hAnsi="Arial"/>
          <w:sz w:val="18"/>
          <w:szCs w:val="18"/>
          <w:color w:val="1E1E1E"/>
        </w:rPr>
        <w:t xml:space="preserve"> In February 2026, the Company entered into a Sales Agreement with TD Securities (USA) LLC (TD Cowan), to provide for the offering, issuance and sale of up to an aggregate amount of $300.0 million of its Class A common stock. As of </w:t>
      </w:r>
      <w:r>
        <w:rPr>
          <w:rFonts w:ascii="Arial" w:cs="Arial" w:eastAsia="Arial" w:hAnsi="Arial"/>
          <w:sz w:val="18"/>
          <w:szCs w:val="18"/>
          <w:color w:val="000000"/>
        </w:rPr>
        <w:t>March 31, 2026</w:t>
      </w:r>
      <w:r>
        <w:rPr>
          <w:rFonts w:ascii="Arial" w:cs="Arial" w:eastAsia="Arial" w:hAnsi="Arial"/>
          <w:sz w:val="18"/>
          <w:szCs w:val="18"/>
          <w:color w:val="1E1E1E"/>
        </w:rPr>
        <w:t>, no amounts have been sold under the Sales Agreement with TD Cowan.</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Cash, cash equivalents and restricted cash totaled $665.2 million as of March 31, 2026. Based on our current operating plan, we believe that our cash and cash equivalents will be sufficient to fund our operations for at least the next twelve months.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Since inception, we have incurred significant operating losses. Our net losses were $117.5 million and $202.5 million during the three months ended March 31, 2026 and 2025, respectively. As of March 31, 2026, our accumulated deficit was $2.2 billion.</w:t>
      </w:r>
    </w:p>
    <w:p>
      <w:pPr>
        <w:spacing w:after="0" w:line="18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March 31, 2026, we did not have any unconditional outstanding commitments for additional funding. 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are unable to raise additional capital when desired, our business, results of operations and financial condition may be adversely affected.</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had a valuation allowance against all of our Canadian subsidiary deferred tax assets (DTAs) as of March 31, 2026, and December 31, 2025. We intend to continue maintaining a full valuation allowance on the Canadian DTAs until there is sufficient evidence to support the reversal of all or some portion of these allowances. However, given our current earnings and anticipated future earnings of our Canadian operations,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20" w:type="dxa"/>
            <w:vAlign w:val="bottom"/>
          </w:tcPr>
          <w:p>
            <w:pPr>
              <w:spacing w:after="0"/>
              <w:rPr>
                <w:sz w:val="19"/>
                <w:szCs w:val="19"/>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19"/>
                <w:szCs w:val="19"/>
                <w:color w:val="auto"/>
              </w:rPr>
            </w:pPr>
          </w:p>
        </w:tc>
      </w:tr>
      <w:tr>
        <w:trPr>
          <w:trHeight w:val="24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(8,517)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(8,273)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56"/>
        </w:trPr>
        <w:tc>
          <w:tcPr>
            <w:tcW w:w="6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5"/>
        </w:trPr>
        <w:tc>
          <w:tcPr>
            <w:tcW w:w="672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12,490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21,829</w:t>
            </w:r>
          </w:p>
        </w:tc>
        <w:tc>
          <w:tcPr>
            <w:tcW w:w="280" w:type="dxa"/>
            <w:vAlign w:val="bottom"/>
          </w:tcPr>
          <w:p>
            <w:pPr>
              <w:spacing w:after="0"/>
              <w:rPr>
                <w:sz w:val="18"/>
                <w:szCs w:val="18"/>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(9,339)</w:t>
            </w: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129,634</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(41,738)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34,591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(20,059)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206,113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(71,136)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6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(128,505)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(191,368)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62,863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17,674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 benefit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(202,645)</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80,537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5"/>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4,446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(202,487)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84,983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6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6720" w:type="dxa"/>
            <w:vAlign w:val="bottom"/>
          </w:tcPr>
          <w:p>
            <w:pPr>
              <w:spacing w:after="0"/>
              <w:rPr>
                <w:sz w:val="20"/>
                <w:szCs w:val="20"/>
                <w:color w:val="auto"/>
              </w:rPr>
            </w:pPr>
            <w:r>
              <w:rPr>
                <w:rFonts w:ascii="Arial" w:cs="Arial" w:eastAsia="Arial" w:hAnsi="Arial"/>
                <w:sz w:val="14"/>
                <w:szCs w:val="14"/>
                <w:color w:val="auto"/>
              </w:rPr>
              <w:t>n/m = Not meaningful</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52"/>
        </w:trPr>
        <w:tc>
          <w:tcPr>
            <w:tcW w:w="67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51"/>
        </w:trPr>
        <w:tc>
          <w:tcPr>
            <w:tcW w:w="6720" w:type="dxa"/>
            <w:vAlign w:val="bottom"/>
          </w:tcPr>
          <w:p>
            <w:pPr>
              <w:spacing w:after="0"/>
              <w:rPr>
                <w:sz w:val="20"/>
                <w:szCs w:val="20"/>
                <w:color w:val="auto"/>
              </w:rPr>
            </w:pPr>
            <w:r>
              <w:rPr>
                <w:rFonts w:ascii="Arial" w:cs="Arial" w:eastAsia="Arial" w:hAnsi="Arial"/>
                <w:sz w:val="18"/>
                <w:szCs w:val="18"/>
                <w:color w:val="auto"/>
              </w:rPr>
              <w:t>The following table summarizes our components of revenue: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160" w:type="dxa"/>
            <w:vAlign w:val="bottom"/>
            <w:gridSpan w:val="4"/>
          </w:tcPr>
          <w:p>
            <w:pPr>
              <w:ind w:left="20"/>
              <w:spacing w:after="0"/>
              <w:rPr>
                <w:sz w:val="20"/>
                <w:szCs w:val="20"/>
                <w:color w:val="auto"/>
              </w:rPr>
            </w:pPr>
            <w:r>
              <w:rPr>
                <w:rFonts w:ascii="Arial" w:cs="Arial" w:eastAsia="Arial" w:hAnsi="Arial"/>
                <w:sz w:val="16"/>
                <w:szCs w:val="16"/>
                <w:b w:val="1"/>
                <w:bCs w:val="1"/>
                <w:color w:val="auto"/>
              </w:rPr>
              <w:t>Three months ended March</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6"/>
        </w:trPr>
        <w:tc>
          <w:tcPr>
            <w:tcW w:w="7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r>
      <w:tr>
        <w:trPr>
          <w:trHeight w:val="239"/>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(8,517)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70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14,745</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(8,273)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
        </w:trPr>
        <w:tc>
          <w:tcPr>
            <w:tcW w:w="7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For the three months ended March 31, 2026, the decrease in revenue compared to the prior period was due to a decrease in revenue recognized from Roche due to the successful completion of certain project phases in the prior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311"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Three months ended March</w:t>
      </w:r>
    </w:p>
    <w:p>
      <w:pPr>
        <w:spacing w:after="0" w:line="21" w:lineRule="exact"/>
        <w:rPr>
          <w:sz w:val="20"/>
          <w:szCs w:val="20"/>
          <w:color w:val="auto"/>
        </w:rPr>
      </w:pPr>
    </w:p>
    <w:p>
      <w:pPr>
        <w:ind w:left="8060"/>
        <w:spacing w:after="0"/>
        <w:tabs>
          <w:tab w:leader="none" w:pos="994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27940</wp:posOffset>
            </wp:positionV>
            <wp:extent cx="2631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35"/>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(9,339)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For the three months ended March 31, 2026, the change in cost of revenue compared to the prior period was due to a decrease in costs of revenue recognized from Roche, which was due to the shifting scope of work across our various performance obligations as certain phases of the projects reached completion.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0"/>
        </w:trPr>
        <w:tc>
          <w:tcPr>
            <w:tcW w:w="7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31,</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0"/>
                <w:szCs w:val="20"/>
                <w:color w:val="auto"/>
              </w:rPr>
            </w:pPr>
          </w:p>
        </w:tc>
      </w:tr>
      <w:tr>
        <w:trPr>
          <w:trHeight w:val="415"/>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(27,599)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718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17,940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20,849</w:t>
            </w:r>
          </w:p>
        </w:tc>
        <w:tc>
          <w:tcPr>
            <w:tcW w:w="22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(2,909)</w:t>
            </w: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718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12,915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17,800</w:t>
            </w:r>
          </w:p>
        </w:tc>
        <w:tc>
          <w:tcPr>
            <w:tcW w:w="22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(4,885)</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UK R&amp;D tax credit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521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(6,904)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5"/>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87,896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129,634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(41,738)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w:t>
      </w:r>
    </w:p>
    <w:p>
      <w:pPr>
        <w:spacing w:after="0" w:line="9" w:lineRule="exact"/>
        <w:rPr>
          <w:rFonts w:ascii="Arial" w:cs="Arial" w:eastAsia="Arial" w:hAnsi="Arial"/>
          <w:sz w:val="18"/>
          <w:szCs w:val="18"/>
          <w:color w:val="auto"/>
        </w:rPr>
      </w:pPr>
    </w:p>
    <w:p>
      <w:pPr>
        <w:ind w:left="980" w:right="420" w:hanging="324"/>
        <w:spacing w:after="0" w:line="266"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980" w:right="620" w:hanging="324"/>
        <w:spacing w:after="0" w:line="271" w:lineRule="auto"/>
        <w:tabs>
          <w:tab w:leader="none" w:pos="975" w:val="left"/>
        </w:tabs>
        <w:numPr>
          <w:ilvl w:val="0"/>
          <w:numId w:val="11"/>
        </w:numPr>
        <w:rPr>
          <w:rFonts w:ascii="Arial" w:cs="Arial" w:eastAsia="Arial" w:hAnsi="Arial"/>
          <w:sz w:val="18"/>
          <w:szCs w:val="18"/>
          <w:color w:val="1E1E1E"/>
        </w:rPr>
      </w:pPr>
      <w:r>
        <w:rPr>
          <w:rFonts w:ascii="Arial" w:cs="Arial" w:eastAsia="Arial" w:hAnsi="Arial"/>
          <w:sz w:val="18"/>
          <w:szCs w:val="18"/>
          <w:color w:val="auto"/>
        </w:rPr>
        <w:t>certain cash refundable research and development tax credits including the research and development expenditure credit (RDEC) in the United Kingdom.</w:t>
      </w:r>
    </w:p>
    <w:p>
      <w:pPr>
        <w:spacing w:after="0" w:line="19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three months ended March 31, 2026, the decrease in research and development expenses compared to the prior period was primarily driven by platform expense. Platform expense decreased due to Tempus record purchases, which were $27.1 million for the three months ended March 31, 2025. There were no Tempus record purchases for the three months ended March 31,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311"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Three months ended March</w:t>
      </w:r>
    </w:p>
    <w:p>
      <w:pPr>
        <w:spacing w:after="0" w:line="21" w:lineRule="exact"/>
        <w:rPr>
          <w:sz w:val="20"/>
          <w:szCs w:val="20"/>
          <w:color w:val="auto"/>
        </w:rPr>
      </w:pPr>
    </w:p>
    <w:p>
      <w:pPr>
        <w:ind w:left="8060"/>
        <w:spacing w:after="0"/>
        <w:tabs>
          <w:tab w:leader="none" w:pos="994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27940</wp:posOffset>
            </wp:positionV>
            <wp:extent cx="2631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35"/>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2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54,650</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(20,059)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three months ended March 31, 2026, the decrease relative to the three months ended March 31, 2025, was primarily driven by a decrease in salaries of $6.7 million as a result of headcount reductions in the year, in addition to one-time transaction costs in the prior year associated with the Exscientia acquisition including impairment charges of $6.0 million in relation to leasehold improvements.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(loss),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7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405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w:t>
            </w:r>
          </w:p>
        </w:tc>
        <w:tc>
          <w:tcPr>
            <w:tcW w:w="24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158</w:t>
            </w: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(16,327)</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17,111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(loss),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17,674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2026, the decrease in other income (loss), net compared to the prior period related to our loss on</w:t>
      </w:r>
      <w:r>
        <w:rPr>
          <w:rFonts w:ascii="Arial" w:cs="Arial" w:eastAsia="Arial" w:hAnsi="Arial"/>
          <w:sz w:val="18"/>
          <w:szCs w:val="18"/>
          <w:color w:val="1E1E1E"/>
        </w:rPr>
        <w:t xml:space="preserve"> </w:t>
      </w:r>
      <w:r>
        <w:rPr>
          <w:rFonts w:ascii="Arial" w:cs="Arial" w:eastAsia="Arial" w:hAnsi="Arial"/>
          <w:sz w:val="18"/>
          <w:szCs w:val="18"/>
          <w:color w:val="000000"/>
        </w:rPr>
        <w:t>disposal of Exscientia GmbH and our Vienna lease termination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cash equivalents and restricted cash totaled $665.2 million and $753.9 million as of March 31, 2026 and December 31, 2025, respectively.</w:t>
      </w:r>
    </w:p>
    <w:p>
      <w:pPr>
        <w:spacing w:after="0" w:line="198"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have incurred operating losses and experienced negative operating cash flows and we anticipate that the Company will continue to incur losses for at least the foreseeable future. Our net loss was $117.5 million and $202.5 million during the three months ended March 31, 2026 and 2025, respectively. As of March 31, 2026, we had an accumulated deficit of $2.2 billion.</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2024</w:t>
      </w:r>
      <w:r>
        <w:rPr>
          <w:rFonts w:ascii="Arial" w:cs="Arial" w:eastAsia="Arial" w:hAnsi="Arial"/>
          <w:sz w:val="18"/>
          <w:szCs w:val="18"/>
          <w:color w:val="auto"/>
        </w:rPr>
        <w:t>, we have financed our operations primarily through Class A common stock issuances. As of March 31, 2026, we have received net proceeds of $829.0 million from Class A common stock issuances. See Note 8, “Common Stock” to the Condensed Consolidated Financial Statements for additional details on Class A common stock issuances. Additionally, as of March 31, 2026, we have received proceeds of $ 78.0 million from our strategic partnerships. See Note 9, “Collaborative Development Contracts” to the Condensed Consolidated Financial Statements for additional details on the strategic partnerships.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528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9"/>
              </w:rPr>
              <w:t>Three months ended</w:t>
            </w:r>
          </w:p>
        </w:tc>
      </w:tr>
      <w:tr>
        <w:trPr>
          <w:trHeight w:val="247"/>
        </w:trPr>
        <w:tc>
          <w:tcPr>
            <w:tcW w:w="5960" w:type="dxa"/>
            <w:vAlign w:val="bottom"/>
          </w:tcPr>
          <w:p>
            <w:pPr>
              <w:spacing w:after="0"/>
              <w:rPr>
                <w:sz w:val="21"/>
                <w:szCs w:val="21"/>
                <w:color w:val="auto"/>
              </w:rPr>
            </w:pPr>
          </w:p>
        </w:tc>
        <w:tc>
          <w:tcPr>
            <w:tcW w:w="400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rPr>
              <w:t>March 31,</w:t>
            </w:r>
          </w:p>
        </w:tc>
        <w:tc>
          <w:tcPr>
            <w:tcW w:w="1280" w:type="dxa"/>
            <w:vAlign w:val="bottom"/>
          </w:tcPr>
          <w:p>
            <w:pPr>
              <w:spacing w:after="0"/>
              <w:rPr>
                <w:sz w:val="21"/>
                <w:szCs w:val="21"/>
                <w:color w:val="auto"/>
              </w:rPr>
            </w:pPr>
          </w:p>
        </w:tc>
      </w:tr>
      <w:tr>
        <w:trPr>
          <w:trHeight w:val="26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20" w:type="dxa"/>
            <w:vAlign w:val="bottom"/>
          </w:tcPr>
          <w:p>
            <w:pPr>
              <w:jc w:val="right"/>
              <w:spacing w:after="0"/>
              <w:rPr>
                <w:sz w:val="20"/>
                <w:szCs w:val="20"/>
                <w:color w:val="auto"/>
              </w:rPr>
            </w:pPr>
            <w:r>
              <w:rPr>
                <w:rFonts w:ascii="Arial" w:cs="Arial" w:eastAsia="Arial" w:hAnsi="Arial"/>
                <w:sz w:val="18"/>
                <w:szCs w:val="18"/>
                <w:color w:val="auto"/>
              </w:rPr>
              <w:t>(338)</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(7,270)</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Cash used by operating activities decreased during the three months ended March 31, 2026 as a result of lower costs incurred for research and development and general and administrative primarily due to improved operating efficiency and the strategic reprioritization of our clinical portfolio.</w:t>
      </w:r>
    </w:p>
    <w:p>
      <w:pPr>
        <w:spacing w:after="0" w:line="20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Cash used by operating activities increased during the three months ended March 31, 2025 as a result of higher costs incurred for research and development and general and administrative primarily due to the Company’s acquisition of Exscientia. This included Exscientia GmbH disposal related payments of $9.7 million and severance payments of $6.5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Cash used by investing activities during the three months ended March 31, 2026 was not significant.</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Cash used by investing activities during the three months ended March 31, 2025 consisted of the disposal of Exscientia GmbH of $4.4 million and property and equipment purchases of $1.8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color w:val="auto"/>
        </w:rPr>
        <w:t>Cash used by financing activities during the three months ended March 31, 2026 primarily included repayment of long-term debt and financing lease liabilities of $2.2 million from common stock issuances.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Cash provided by financing activities during the three months ended March 31, 2025 primarily included proceeds of $ 41.0 million from common stock issuances. Financing outflows included a $1.6 million payment for the purchase of an intangible asset that was not soon after the purchase.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2025 Annual Report. There were no significant changes in the Company’s application of its critical accounting policies during the three months ended March 31,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are exposed to market risk related to changes in interest rates on our investment portfolio of cash and cash equivalents. As of March 31, 2026, our cash and cash equivalents consisted of money market funds. Our primary exposure to market risk is interest income sensitivity, which is affected by changes in interest rates. A hypothetical 100 basis point decrease in interest rates as of March 31, 2026</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three months ended March 31, 2026 and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2026, our disclosure controls and procedures were ineffective due to the material weaknesses in internal control over financial reporting disclosed in Part II, Item 9A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37"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 following remediation actions have been taken as of March 31, 2026 related to the material weaknesses for the acquired Exscientia business:</w:t>
      </w:r>
    </w:p>
    <w:p>
      <w:pPr>
        <w:spacing w:after="0" w:line="207" w:lineRule="exact"/>
        <w:rPr>
          <w:sz w:val="20"/>
          <w:szCs w:val="20"/>
          <w:color w:val="auto"/>
        </w:rPr>
      </w:pPr>
    </w:p>
    <w:p>
      <w:pPr>
        <w:jc w:val="both"/>
        <w:ind w:left="660" w:right="70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designed and implemented certain information technology general controls and are in the process of implementing additional information technology general controls within the Exscientia business, including controls over the maintenance of appropriate segregation of duties, controls over change management and controls over program development and</w:t>
      </w:r>
    </w:p>
    <w:p>
      <w:pPr>
        <w:spacing w:after="0" w:line="1" w:lineRule="exact"/>
        <w:rPr>
          <w:rFonts w:ascii="Arial" w:cs="Arial" w:eastAsia="Arial" w:hAnsi="Arial"/>
          <w:sz w:val="18"/>
          <w:szCs w:val="18"/>
          <w:color w:val="auto"/>
        </w:rPr>
      </w:pPr>
    </w:p>
    <w:p>
      <w:pPr>
        <w:ind w:left="660" w:right="360" w:hanging="328"/>
        <w:spacing w:after="0" w:line="26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designed and implemented certain processes and controls to appropriately analyze, record and disclose accounting matters timely and accurately while maintaining appropriate segregation of duties and are in the process of implementing others.</w:t>
      </w: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completed an implementation of a new enterprise resource planning ("ERP") system and a Purchase to Pay (P2P) system. In the process of deploying these new systems, we designed and implemented new, or otherwise enhanced existing, internal control activities to complement operational and administrative process changes required to support the functionality of our new ERP and P2P systems.</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connection with the remediation actions described above, we are in the process of integrating Exscientia’s operations into our overall system of internal control over financial reporting.</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March 31, 2026.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the three months ended March 31, 2026, management implemented new ERP and P2P systems, replacing legacy systems that had supported a significant portion of our transaction origination, processing and recording. We updated our internal control over financial reporting to accommodate related changes in our financial management processes resulting from these implementations. While management believes that these new systems will ultimately enhance the effectiveness of its internal control over financial reporting, there are inherent risks in implementing new ERP and P2P systems. Accordingly, we will continue to evaluate the design and operating effectiveness of controls impacted by these system implementations.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management is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 titled Part I, Item 1A. “Risk Factors” of our 2025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For the three months ended March 31, 2026, we issued 4,800 shares of our Class A common stock to our employees, directors, advisors and consultants upon the exercise of stock options under our Key Personnel Incentive Stock Plan for aggregate consideration of approximately $2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On March 3, 2026, Namandjé Bumpus, a member of our Board of Directors, adopted a Rule 10b5-1 trading arrangement that is intended to satisfy the affirmative defense of Rule 10b5-1(c) for the potential sale of up to 12,735 shares of the Company’s Class A common stock until June 2, 2027.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12"/>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2"/>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660" w:type="dxa"/>
            <w:vAlign w:val="bottom"/>
            <w:gridSpan w:val="17"/>
          </w:tcPr>
          <w:p>
            <w:pPr>
              <w:spacing w:after="0" w:line="169" w:lineRule="exact"/>
              <w:rPr>
                <w:rFonts w:ascii="Arial" w:cs="Arial" w:eastAsia="Arial" w:hAnsi="Arial"/>
                <w:sz w:val="16"/>
                <w:szCs w:val="16"/>
                <w:color w:val="0000FF"/>
              </w:rPr>
            </w:pPr>
            <w:hyperlink r:id="rId45">
              <w:r>
                <w:rPr>
                  <w:rFonts w:ascii="Arial" w:cs="Arial" w:eastAsia="Arial" w:hAnsi="Arial"/>
                  <w:sz w:val="16"/>
                  <w:szCs w:val="16"/>
                  <w:color w:val="0000FF"/>
                </w:rPr>
                <w:t>Transaction Agreement by and between Recursion</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45">
              <w:r>
                <w:rPr>
                  <w:rFonts w:ascii="Arial" w:cs="Arial" w:eastAsia="Arial" w:hAnsi="Arial"/>
                  <w:sz w:val="16"/>
                  <w:szCs w:val="16"/>
                  <w:color w:val="0000FF"/>
                </w:rPr>
                <w:t>Pharmaceuticals, Inc. and Exscientia plc dated as</w:t>
              </w:r>
            </w:hyperlink>
          </w:p>
        </w:tc>
        <w:tc>
          <w:tcPr>
            <w:tcW w:w="1020" w:type="dxa"/>
            <w:vAlign w:val="bottom"/>
            <w:gridSpan w:val="10"/>
          </w:tcPr>
          <w:p>
            <w:pPr>
              <w:spacing w:after="0" w:line="142" w:lineRule="exact"/>
              <w:rPr>
                <w:rFonts w:ascii="Arial" w:cs="Arial" w:eastAsia="Arial" w:hAnsi="Arial"/>
                <w:sz w:val="16"/>
                <w:szCs w:val="16"/>
                <w:color w:val="0000FF"/>
              </w:rPr>
            </w:pPr>
            <w:hyperlink r:id="rId45">
              <w:r>
                <w:rPr>
                  <w:rFonts w:ascii="Arial" w:cs="Arial" w:eastAsia="Arial" w:hAnsi="Arial"/>
                  <w:sz w:val="16"/>
                  <w:szCs w:val="16"/>
                  <w:color w:val="0000FF"/>
                </w:rPr>
                <w:t>of August 8,</w:t>
              </w:r>
            </w:hyperlink>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45">
              <w:r>
                <w:rPr>
                  <w:rFonts w:ascii="Arial" w:cs="Arial" w:eastAsia="Arial" w:hAnsi="Arial"/>
                  <w:sz w:val="16"/>
                  <w:szCs w:val="16"/>
                  <w:color w:val="0000FF"/>
                  <w:w w:val="94"/>
                </w:rPr>
                <w:t>2024.</w:t>
              </w:r>
            </w:hyperlink>
          </w:p>
        </w:tc>
        <w:tc>
          <w:tcPr>
            <w:tcW w:w="42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660" w:type="dxa"/>
            <w:vAlign w:val="bottom"/>
            <w:gridSpan w:val="17"/>
          </w:tcPr>
          <w:p>
            <w:pPr>
              <w:spacing w:after="0"/>
              <w:rPr>
                <w:rFonts w:ascii="Arial" w:cs="Arial" w:eastAsia="Arial" w:hAnsi="Arial"/>
                <w:sz w:val="16"/>
                <w:szCs w:val="16"/>
                <w:color w:val="0000FF"/>
              </w:rPr>
            </w:pPr>
            <w:hyperlink r:id="rId46">
              <w:r>
                <w:rPr>
                  <w:rFonts w:ascii="Arial" w:cs="Arial" w:eastAsia="Arial" w:hAnsi="Arial"/>
                  <w:sz w:val="16"/>
                  <w:szCs w:val="16"/>
                  <w:color w:val="0000FF"/>
                </w:rPr>
                <w:t>Amended and Restated Certificate of Incorporation of Recursion</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46">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17"/>
          </w:tcPr>
          <w:p>
            <w:pPr>
              <w:spacing w:after="0"/>
              <w:rPr>
                <w:rFonts w:ascii="Arial" w:cs="Arial" w:eastAsia="Arial" w:hAnsi="Arial"/>
                <w:sz w:val="16"/>
                <w:szCs w:val="16"/>
                <w:color w:val="0000FF"/>
              </w:rPr>
            </w:pPr>
            <w:hyperlink r:id="rId47">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17"/>
          </w:tcPr>
          <w:p>
            <w:pPr>
              <w:spacing w:after="0"/>
              <w:rPr>
                <w:rFonts w:ascii="Arial" w:cs="Arial" w:eastAsia="Arial" w:hAnsi="Arial"/>
                <w:sz w:val="16"/>
                <w:szCs w:val="16"/>
                <w:color w:val="0000FF"/>
              </w:rPr>
            </w:pPr>
            <w:hyperlink r:id="rId48">
              <w:r>
                <w:rPr>
                  <w:rFonts w:ascii="Arial" w:cs="Arial" w:eastAsia="Arial" w:hAnsi="Arial"/>
                  <w:sz w:val="16"/>
                  <w:szCs w:val="16"/>
                  <w:color w:val="0000FF"/>
                </w:rPr>
                <w:t>Specimen Class A common stock certificate of the Registrant.</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9"/>
          </w:tcPr>
          <w:p>
            <w:pPr>
              <w:spacing w:after="0"/>
              <w:rPr>
                <w:rFonts w:ascii="Arial" w:cs="Arial" w:eastAsia="Arial" w:hAnsi="Arial"/>
                <w:sz w:val="16"/>
                <w:szCs w:val="16"/>
                <w:color w:val="0000FF"/>
              </w:rPr>
            </w:pPr>
            <w:hyperlink r:id="rId49">
              <w:r>
                <w:rPr>
                  <w:rFonts w:ascii="Arial" w:cs="Arial" w:eastAsia="Arial" w:hAnsi="Arial"/>
                  <w:sz w:val="16"/>
                  <w:szCs w:val="16"/>
                  <w:color w:val="0000FF"/>
                </w:rPr>
                <w:t>Exchangeable Share Support Agreement, dated May 8, 2023.</w:t>
              </w:r>
            </w:hyperlink>
          </w:p>
        </w:tc>
        <w:tc>
          <w:tcPr>
            <w:tcW w:w="220" w:type="dxa"/>
            <w:vAlign w:val="bottom"/>
            <w:gridSpan w:val="8"/>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17"/>
          </w:tcPr>
          <w:p>
            <w:pPr>
              <w:spacing w:after="0"/>
              <w:rPr>
                <w:rFonts w:ascii="Arial" w:cs="Arial" w:eastAsia="Arial" w:hAnsi="Arial"/>
                <w:sz w:val="16"/>
                <w:szCs w:val="16"/>
                <w:color w:val="0000FF"/>
              </w:rPr>
            </w:pPr>
            <w:hyperlink r:id="rId50">
              <w:r>
                <w:rPr>
                  <w:rFonts w:ascii="Arial" w:cs="Arial" w:eastAsia="Arial" w:hAnsi="Arial"/>
                  <w:sz w:val="16"/>
                  <w:szCs w:val="16"/>
                  <w:color w:val="0000FF"/>
                </w:rPr>
                <w:t>Registration Rights Agreement, dated October 24, 2022,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50">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17"/>
          </w:tcPr>
          <w:p>
            <w:pPr>
              <w:spacing w:after="0"/>
              <w:rPr>
                <w:rFonts w:ascii="Arial" w:cs="Arial" w:eastAsia="Arial" w:hAnsi="Arial"/>
                <w:sz w:val="16"/>
                <w:szCs w:val="16"/>
                <w:color w:val="0000FF"/>
              </w:rPr>
            </w:pPr>
            <w:hyperlink r:id="rId51">
              <w:r>
                <w:rPr>
                  <w:rFonts w:ascii="Arial" w:cs="Arial" w:eastAsia="Arial" w:hAnsi="Arial"/>
                  <w:sz w:val="16"/>
                  <w:szCs w:val="16"/>
                  <w:color w:val="0000FF"/>
                </w:rPr>
                <w:t>Registration Agreement, dated May 16,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Registrant, Valence Discovery, Inc., and certain shareholders of</w:t>
              </w:r>
            </w:hyperlink>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Valence Discovery, Inc.</w:t>
              </w:r>
            </w:hyperlink>
          </w:p>
        </w:tc>
        <w:tc>
          <w:tcPr>
            <w:tcW w:w="12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17"/>
          </w:tcPr>
          <w:p>
            <w:pPr>
              <w:spacing w:after="0"/>
              <w:rPr>
                <w:rFonts w:ascii="Arial" w:cs="Arial" w:eastAsia="Arial" w:hAnsi="Arial"/>
                <w:sz w:val="16"/>
                <w:szCs w:val="16"/>
                <w:color w:val="0000FF"/>
              </w:rPr>
            </w:pPr>
            <w:hyperlink r:id="rId52">
              <w:r>
                <w:rPr>
                  <w:rFonts w:ascii="Arial" w:cs="Arial" w:eastAsia="Arial" w:hAnsi="Arial"/>
                  <w:sz w:val="16"/>
                  <w:szCs w:val="16"/>
                  <w:color w:val="0000FF"/>
                </w:rPr>
                <w:t>Registration Agreement, dated May 25,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Registrant, Recursion Canada Inc., and certain shareholders of</w:t>
              </w:r>
            </w:hyperlink>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Cyclica Inc.</w:t>
              </w:r>
            </w:hyperlink>
          </w:p>
        </w:tc>
        <w:tc>
          <w:tcPr>
            <w:tcW w:w="140" w:type="dxa"/>
            <w:vAlign w:val="bottom"/>
            <w:gridSpan w:val="5"/>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4.6</w:t>
            </w:r>
          </w:p>
        </w:tc>
        <w:tc>
          <w:tcPr>
            <w:tcW w:w="4760" w:type="dxa"/>
            <w:vAlign w:val="bottom"/>
            <w:gridSpan w:val="17"/>
          </w:tcPr>
          <w:p>
            <w:pPr>
              <w:spacing w:after="0"/>
              <w:rPr>
                <w:rFonts w:ascii="Arial" w:cs="Arial" w:eastAsia="Arial" w:hAnsi="Arial"/>
                <w:sz w:val="16"/>
                <w:szCs w:val="16"/>
                <w:color w:val="0000FF"/>
              </w:rPr>
            </w:pPr>
            <w:hyperlink r:id="rId54">
              <w:r>
                <w:rPr>
                  <w:rFonts w:ascii="Arial" w:cs="Arial" w:eastAsia="Arial" w:hAnsi="Arial"/>
                  <w:sz w:val="16"/>
                  <w:szCs w:val="16"/>
                  <w:color w:val="0000FF"/>
                </w:rPr>
                <w:t>Registration Rights Agreement, dated July 11, 2023, by and</w:t>
              </w:r>
            </w:hyperlink>
          </w:p>
        </w:tc>
        <w:tc>
          <w:tcPr>
            <w:tcW w:w="72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2180" w:type="dxa"/>
            <w:vAlign w:val="bottom"/>
          </w:tcPr>
          <w:p>
            <w:pPr>
              <w:ind w:left="320"/>
              <w:spacing w:after="0"/>
              <w:rPr>
                <w:sz w:val="20"/>
                <w:szCs w:val="20"/>
                <w:color w:val="auto"/>
              </w:rPr>
            </w:pPr>
            <w:r>
              <w:rPr>
                <w:rFonts w:ascii="Arial" w:cs="Arial" w:eastAsia="Arial" w:hAnsi="Arial"/>
                <w:sz w:val="16"/>
                <w:szCs w:val="16"/>
                <w:color w:val="auto"/>
              </w:rPr>
              <w:t>July 12. 2023</w:t>
            </w:r>
          </w:p>
        </w:tc>
      </w:tr>
      <w:tr>
        <w:trPr>
          <w:trHeight w:val="142"/>
        </w:trPr>
        <w:tc>
          <w:tcPr>
            <w:tcW w:w="90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w:t>
            </w:r>
          </w:p>
        </w:tc>
        <w:tc>
          <w:tcPr>
            <w:tcW w:w="4760" w:type="dxa"/>
            <w:vAlign w:val="bottom"/>
            <w:gridSpan w:val="17"/>
          </w:tcPr>
          <w:p>
            <w:pPr>
              <w:spacing w:after="0"/>
              <w:rPr>
                <w:rFonts w:ascii="Arial" w:cs="Arial" w:eastAsia="Arial" w:hAnsi="Arial"/>
                <w:sz w:val="16"/>
                <w:szCs w:val="16"/>
                <w:color w:val="0000FF"/>
              </w:rPr>
            </w:pPr>
            <w:hyperlink r:id="rId55">
              <w:r>
                <w:rPr>
                  <w:rFonts w:ascii="Arial" w:cs="Arial" w:eastAsia="Arial" w:hAnsi="Arial"/>
                  <w:sz w:val="16"/>
                  <w:szCs w:val="16"/>
                  <w:color w:val="0000FF"/>
                </w:rPr>
                <w:t>Sales Agreement dated February 25, 2026 by and between the</w:t>
              </w:r>
            </w:hyperlink>
          </w:p>
        </w:tc>
        <w:tc>
          <w:tcPr>
            <w:tcW w:w="720" w:type="dxa"/>
            <w:vAlign w:val="bottom"/>
          </w:tcPr>
          <w:p>
            <w:pPr>
              <w:jc w:val="center"/>
              <w:ind w:right="19"/>
              <w:spacing w:after="0"/>
              <w:rPr>
                <w:sz w:val="20"/>
                <w:szCs w:val="20"/>
                <w:color w:val="auto"/>
              </w:rPr>
            </w:pPr>
            <w:r>
              <w:rPr>
                <w:rFonts w:ascii="Arial" w:cs="Arial" w:eastAsia="Arial" w:hAnsi="Arial"/>
                <w:sz w:val="16"/>
                <w:szCs w:val="16"/>
                <w:color w:val="auto"/>
              </w:rPr>
              <w:t>10-K</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001-40323</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10.35</w:t>
            </w:r>
          </w:p>
        </w:tc>
        <w:tc>
          <w:tcPr>
            <w:tcW w:w="2180" w:type="dxa"/>
            <w:vAlign w:val="bottom"/>
          </w:tcPr>
          <w:p>
            <w:pPr>
              <w:ind w:left="140"/>
              <w:spacing w:after="0"/>
              <w:rPr>
                <w:sz w:val="20"/>
                <w:szCs w:val="20"/>
                <w:color w:val="auto"/>
              </w:rPr>
            </w:pPr>
            <w:r>
              <w:rPr>
                <w:rFonts w:ascii="Arial" w:cs="Arial" w:eastAsia="Arial" w:hAnsi="Arial"/>
                <w:sz w:val="16"/>
                <w:szCs w:val="16"/>
                <w:color w:val="auto"/>
              </w:rPr>
              <w:t>February 25, 2026</w:t>
            </w:r>
          </w:p>
        </w:tc>
      </w:tr>
      <w:tr>
        <w:trPr>
          <w:trHeight w:val="142"/>
        </w:trPr>
        <w:tc>
          <w:tcPr>
            <w:tcW w:w="900" w:type="dxa"/>
            <w:vAlign w:val="bottom"/>
          </w:tcPr>
          <w:p>
            <w:pPr>
              <w:spacing w:after="0"/>
              <w:rPr>
                <w:sz w:val="12"/>
                <w:szCs w:val="12"/>
                <w:color w:val="auto"/>
              </w:rPr>
            </w:pPr>
          </w:p>
        </w:tc>
        <w:tc>
          <w:tcPr>
            <w:tcW w:w="45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Registrant and TD Securities (USA), LLC.</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31.1</w:t>
            </w:r>
          </w:p>
        </w:tc>
        <w:tc>
          <w:tcPr>
            <w:tcW w:w="4760" w:type="dxa"/>
            <w:vAlign w:val="bottom"/>
            <w:gridSpan w:val="17"/>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32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440" w:type="dxa"/>
            <w:vAlign w:val="bottom"/>
            <w:gridSpan w:val="7"/>
          </w:tcPr>
          <w:p>
            <w:pPr>
              <w:ind w:left="20"/>
              <w:spacing w:after="0" w:line="142" w:lineRule="exact"/>
              <w:rPr>
                <w:sz w:val="20"/>
                <w:szCs w:val="20"/>
                <w:color w:val="auto"/>
              </w:rPr>
            </w:pPr>
            <w:r>
              <w:rPr>
                <w:rFonts w:ascii="Arial" w:cs="Arial" w:eastAsia="Arial" w:hAnsi="Arial"/>
                <w:sz w:val="16"/>
                <w:szCs w:val="16"/>
                <w:color w:val="0000FF"/>
              </w:rPr>
              <w:t>of</w:t>
            </w: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3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31.2</w:t>
            </w:r>
          </w:p>
        </w:tc>
        <w:tc>
          <w:tcPr>
            <w:tcW w:w="4760" w:type="dxa"/>
            <w:vAlign w:val="bottom"/>
            <w:gridSpan w:val="17"/>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6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6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5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of 2002.</w:t>
            </w:r>
          </w:p>
        </w:tc>
        <w:tc>
          <w:tcPr>
            <w:tcW w:w="22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32.1**</w:t>
            </w:r>
          </w:p>
        </w:tc>
        <w:tc>
          <w:tcPr>
            <w:tcW w:w="4760" w:type="dxa"/>
            <w:vAlign w:val="bottom"/>
            <w:gridSpan w:val="17"/>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42"/>
        </w:trPr>
        <w:tc>
          <w:tcPr>
            <w:tcW w:w="900" w:type="dxa"/>
            <w:vAlign w:val="bottom"/>
          </w:tcPr>
          <w:p>
            <w:pPr>
              <w:spacing w:after="0"/>
              <w:rPr>
                <w:sz w:val="12"/>
                <w:szCs w:val="12"/>
                <w:color w:val="auto"/>
              </w:rPr>
            </w:pPr>
          </w:p>
        </w:tc>
        <w:tc>
          <w:tcPr>
            <w:tcW w:w="4760" w:type="dxa"/>
            <w:vAlign w:val="bottom"/>
            <w:gridSpan w:val="17"/>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720" w:type="dxa"/>
            <w:vAlign w:val="bottom"/>
            <w:gridSpan w:val="10"/>
          </w:tcPr>
          <w:p>
            <w:pPr>
              <w:ind w:left="40"/>
              <w:spacing w:after="0" w:line="142" w:lineRule="exact"/>
              <w:rPr>
                <w:sz w:val="20"/>
                <w:szCs w:val="20"/>
                <w:color w:val="auto"/>
              </w:rPr>
            </w:pPr>
            <w:r>
              <w:rPr>
                <w:rFonts w:ascii="Arial" w:cs="Arial" w:eastAsia="Arial" w:hAnsi="Arial"/>
                <w:sz w:val="16"/>
                <w:szCs w:val="16"/>
                <w:color w:val="0000FF"/>
              </w:rPr>
              <w:t>Act of</w:t>
            </w: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234"/>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101.INS</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101.SCH</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101.CAL</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39"/>
              <w:spacing w:after="0"/>
              <w:rPr>
                <w:sz w:val="20"/>
                <w:szCs w:val="20"/>
                <w:color w:val="auto"/>
              </w:rPr>
            </w:pPr>
            <w:r>
              <w:rPr>
                <w:rFonts w:ascii="Arial" w:cs="Arial" w:eastAsia="Arial" w:hAnsi="Arial"/>
                <w:sz w:val="16"/>
                <w:szCs w:val="16"/>
                <w:color w:val="auto"/>
              </w:rPr>
              <w:t>101.DEF</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101.LAB</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99"/>
              <w:spacing w:after="0"/>
              <w:rPr>
                <w:sz w:val="20"/>
                <w:szCs w:val="20"/>
                <w:color w:val="auto"/>
              </w:rPr>
            </w:pPr>
            <w:r>
              <w:rPr>
                <w:rFonts w:ascii="Arial" w:cs="Arial" w:eastAsia="Arial" w:hAnsi="Arial"/>
                <w:sz w:val="16"/>
                <w:szCs w:val="16"/>
                <w:color w:val="auto"/>
                <w:w w:val="99"/>
              </w:rPr>
              <w:t>101.PRE</w:t>
            </w:r>
          </w:p>
        </w:tc>
        <w:tc>
          <w:tcPr>
            <w:tcW w:w="476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ind w:left="2080"/>
              <w:spacing w:after="0"/>
              <w:rPr>
                <w:sz w:val="20"/>
                <w:szCs w:val="20"/>
                <w:color w:val="auto"/>
              </w:rPr>
            </w:pPr>
            <w:r>
              <w:rPr>
                <w:rFonts w:ascii="Arial" w:cs="Arial" w:eastAsia="Arial" w:hAnsi="Arial"/>
                <w:sz w:val="16"/>
                <w:szCs w:val="16"/>
                <w:color w:val="auto"/>
                <w:w w:val="74"/>
              </w:rPr>
              <w:t>X</w:t>
            </w:r>
          </w:p>
        </w:tc>
      </w:tr>
      <w:tr>
        <w:trPr>
          <w:trHeight w:val="164"/>
        </w:trPr>
        <w:tc>
          <w:tcPr>
            <w:tcW w:w="90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7"/>
              </w:rPr>
              <w:t>104</w:t>
            </w:r>
          </w:p>
        </w:tc>
        <w:tc>
          <w:tcPr>
            <w:tcW w:w="4760" w:type="dxa"/>
            <w:vAlign w:val="bottom"/>
            <w:gridSpan w:val="1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tcPr>
          <w:p>
            <w:pPr>
              <w:ind w:left="2080"/>
              <w:spacing w:after="0" w:line="164" w:lineRule="exact"/>
              <w:rPr>
                <w:sz w:val="20"/>
                <w:szCs w:val="20"/>
                <w:color w:val="auto"/>
              </w:rPr>
            </w:pPr>
            <w:r>
              <w:rPr>
                <w:rFonts w:ascii="Arial" w:cs="Arial" w:eastAsia="Arial" w:hAnsi="Arial"/>
                <w:sz w:val="16"/>
                <w:szCs w:val="16"/>
                <w:color w:val="auto"/>
                <w:w w:val="74"/>
              </w:rPr>
              <w:t>X</w:t>
            </w:r>
          </w:p>
        </w:tc>
      </w:tr>
      <w:tr>
        <w:trPr>
          <w:trHeight w:val="215"/>
        </w:trPr>
        <w:tc>
          <w:tcPr>
            <w:tcW w:w="900" w:type="dxa"/>
            <w:vAlign w:val="bottom"/>
          </w:tcPr>
          <w:p>
            <w:pPr>
              <w:spacing w:after="0"/>
              <w:rPr>
                <w:sz w:val="18"/>
                <w:szCs w:val="18"/>
                <w:color w:val="auto"/>
              </w:rPr>
            </w:pPr>
          </w:p>
        </w:tc>
        <w:tc>
          <w:tcPr>
            <w:tcW w:w="4760" w:type="dxa"/>
            <w:vAlign w:val="bottom"/>
            <w:gridSpan w:val="17"/>
          </w:tcPr>
          <w:p>
            <w:pPr>
              <w:spacing w:after="0"/>
              <w:rPr>
                <w:sz w:val="20"/>
                <w:szCs w:val="20"/>
                <w:color w:val="auto"/>
              </w:rPr>
            </w:pPr>
            <w:r>
              <w:rPr>
                <w:rFonts w:ascii="Arial" w:cs="Arial" w:eastAsia="Arial" w:hAnsi="Arial"/>
                <w:sz w:val="16"/>
                <w:szCs w:val="16"/>
                <w:color w:val="auto"/>
              </w:rPr>
              <w:t>contained in Exhibit 101)</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r>
    </w:tbl>
    <w:p>
      <w:pPr>
        <w:spacing w:after="0" w:line="149" w:lineRule="exact"/>
        <w:rPr>
          <w:sz w:val="20"/>
          <w:szCs w:val="20"/>
          <w:color w:val="auto"/>
        </w:rPr>
      </w:pPr>
    </w:p>
    <w:p>
      <w:pPr>
        <w:ind w:left="1120" w:hanging="61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Indicates a management contract or compensatory plan.</w:t>
      </w:r>
    </w:p>
    <w:p>
      <w:pPr>
        <w:spacing w:after="0" w:line="27" w:lineRule="exact"/>
        <w:rPr>
          <w:sz w:val="20"/>
          <w:szCs w:val="20"/>
          <w:color w:val="auto"/>
        </w:rPr>
      </w:pPr>
    </w:p>
    <w:p>
      <w:pPr>
        <w:ind w:left="1120" w:right="80" w:hanging="607"/>
        <w:spacing w:after="0" w:line="228"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Certain schedules and exhibits have been omitted pursuant to Item 601(a)(5) of Regulation S-K. A copy of any omitted schedule and/or exhibit will be furnished to the SEC upon request.</w:t>
      </w:r>
    </w:p>
    <w:p>
      <w:pPr>
        <w:spacing w:after="0" w:line="2" w:lineRule="exact"/>
        <w:rPr>
          <w:sz w:val="20"/>
          <w:szCs w:val="20"/>
          <w:color w:val="auto"/>
        </w:rPr>
      </w:pPr>
    </w:p>
    <w:p>
      <w:pPr>
        <w:ind w:left="1120" w:hanging="600"/>
        <w:spacing w:after="0" w:line="22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hanging="635"/>
        <w:spacing w:after="0" w:line="221"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May 6, 2026.</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Najat Khan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Najat Khan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Ben Taylor</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Ben Taylor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Najat Khan,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86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2026</w:t>
      </w:r>
    </w:p>
    <w:p>
      <w:pPr>
        <w:sectPr>
          <w:pgSz w:w="11900" w:h="16838" w:orient="portrait"/>
          <w:cols w:equalWidth="0" w:num="1">
            <w:col w:w="11240"/>
          </w:cols>
          <w:pgMar w:left="320" w:top="36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40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2026</w:t>
      </w:r>
    </w:p>
    <w:p>
      <w:pPr>
        <w:sectPr>
          <w:pgSz w:w="11900" w:h="16838" w:orient="portrait"/>
          <w:cols w:equalWidth="0" w:num="1">
            <w:col w:w="11240"/>
          </w:cols>
          <w:pgMar w:left="320" w:top="36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March 31, 2026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Najat Khan, Chief Executive Officer (principal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2026</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3"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45" Type="http://schemas.openxmlformats.org/officeDocument/2006/relationships/hyperlink" Target="https://www.sec.gov/Archives/edgar/data/1601830/000119312524196505/d856792dex21.htm" TargetMode="External"/><Relationship Id="rId46" Type="http://schemas.openxmlformats.org/officeDocument/2006/relationships/hyperlink" Target="https://www.sec.gov/Archives/edgar/data/0001601830/000119312521123764/d149444dex31.htm" TargetMode="External"/><Relationship Id="rId47" Type="http://schemas.openxmlformats.org/officeDocument/2006/relationships/hyperlink" Target="https://www.sec.gov/Archives/edgar/data/1601830/000160183024000009/a1-25x24amendedbylaws.htm" TargetMode="External"/><Relationship Id="rId48" Type="http://schemas.openxmlformats.org/officeDocument/2006/relationships/hyperlink" Target="https://www.sec.gov/Archives/edgar/data/0001601830/000119312521089610/d89478dex42.htm" TargetMode="External"/><Relationship Id="rId49" Type="http://schemas.openxmlformats.org/officeDocument/2006/relationships/hyperlink" Target="https://www.sec.gov/Archives/edgar/data/1601830/000160183023000036/exhibit42-valencexexchange.htm" TargetMode="External"/><Relationship Id="rId50" Type="http://schemas.openxmlformats.org/officeDocument/2006/relationships/hyperlink" Target="https://www.sec.gov/Archives/edgar/data/1601830/000119312522268003/d365090dex102.htm" TargetMode="External"/><Relationship Id="rId51" Type="http://schemas.openxmlformats.org/officeDocument/2006/relationships/hyperlink" Target="https://www.sec.gov/Archives/edgar/data/1601830/000160183023000036/exhibit43-valencexregistra.htm" TargetMode="External"/><Relationship Id="rId52" Type="http://schemas.openxmlformats.org/officeDocument/2006/relationships/hyperlink" Target="https://www.sec.gov/Archives/edgar/data/1601830/000160183023000044/exhibit41registrationagree.htm" TargetMode="External"/><Relationship Id="rId54" Type="http://schemas.openxmlformats.org/officeDocument/2006/relationships/hyperlink" Target="https://www.sec.gov/Archives/edgar/data/1601830/000160183023000050/ex102-rxrxxnvidiaregrights.htm" TargetMode="External"/><Relationship Id="rId55" Type="http://schemas.openxmlformats.org/officeDocument/2006/relationships/hyperlink" Target="https://www.sec.gov/Archives/edgar/data/1601830/000160183026000039/exhibit1035-tdcowe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2026-05-06T05:35:34Z</dcterms:created>
  <dcterms:modified xsi:type="dcterms:W3CDTF">2026-05-06T05:35:34Z</dcterms:modified>
</cp:coreProperties>
</file>